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60"/>
        <w:spacing w:after="0"/>
        <w:rPr>
          <w:sz w:val="20"/>
          <w:szCs w:val="20"/>
          <w:color w:val="auto"/>
        </w:rPr>
      </w:pPr>
      <w:r>
        <w:rPr>
          <w:rFonts w:ascii="Arial" w:cs="Arial" w:eastAsia="Arial" w:hAnsi="Arial"/>
          <w:sz w:val="14"/>
          <w:szCs w:val="14"/>
          <w:b w:val="1"/>
          <w:bCs w:val="1"/>
          <w:color w:val="auto"/>
        </w:rPr>
        <w:t>UNITED STATES</w:t>
      </w:r>
    </w:p>
    <w:p>
      <w:pPr>
        <w:spacing w:after="0" w:line="84" w:lineRule="exact"/>
        <w:rPr>
          <w:sz w:val="24"/>
          <w:szCs w:val="24"/>
          <w:color w:val="auto"/>
        </w:rPr>
      </w:pPr>
    </w:p>
    <w:p>
      <w:pPr>
        <w:jc w:val="center"/>
        <w:ind w:right="-1060"/>
        <w:spacing w:after="0"/>
        <w:rPr>
          <w:sz w:val="20"/>
          <w:szCs w:val="20"/>
          <w:color w:val="auto"/>
        </w:rPr>
      </w:pPr>
      <w:r>
        <w:rPr>
          <w:rFonts w:ascii="Arial" w:cs="Arial" w:eastAsia="Arial" w:hAnsi="Arial"/>
          <w:sz w:val="14"/>
          <w:szCs w:val="14"/>
          <w:b w:val="1"/>
          <w:bCs w:val="1"/>
          <w:color w:val="auto"/>
        </w:rPr>
        <w:t>SECURITIES AND EXCHANGE COMMISSION</w:t>
      </w:r>
    </w:p>
    <w:p>
      <w:pPr>
        <w:spacing w:after="0" w:line="84" w:lineRule="exact"/>
        <w:rPr>
          <w:sz w:val="24"/>
          <w:szCs w:val="24"/>
          <w:color w:val="auto"/>
        </w:rPr>
      </w:pPr>
    </w:p>
    <w:p>
      <w:pPr>
        <w:jc w:val="center"/>
        <w:ind w:right="-1060"/>
        <w:spacing w:after="0"/>
        <w:rPr>
          <w:sz w:val="20"/>
          <w:szCs w:val="20"/>
          <w:color w:val="auto"/>
        </w:rPr>
      </w:pPr>
      <w:r>
        <w:rPr>
          <w:rFonts w:ascii="Arial" w:cs="Arial" w:eastAsia="Arial" w:hAnsi="Arial"/>
          <w:sz w:val="14"/>
          <w:szCs w:val="14"/>
          <w:color w:val="auto"/>
        </w:rPr>
        <w:t>Washington, D.C. 20549</w:t>
      </w:r>
    </w:p>
    <w:p>
      <w:pPr>
        <w:spacing w:after="0" w:line="148" w:lineRule="exact"/>
        <w:rPr>
          <w:sz w:val="24"/>
          <w:szCs w:val="24"/>
          <w:color w:val="auto"/>
        </w:rPr>
      </w:pPr>
    </w:p>
    <w:p>
      <w:pPr>
        <w:jc w:val="center"/>
        <w:ind w:right="-1060"/>
        <w:spacing w:after="0"/>
        <w:rPr>
          <w:sz w:val="20"/>
          <w:szCs w:val="20"/>
          <w:color w:val="auto"/>
        </w:rPr>
      </w:pPr>
      <w:r>
        <w:rPr>
          <w:rFonts w:ascii="Arial" w:cs="Arial" w:eastAsia="Arial" w:hAnsi="Arial"/>
          <w:sz w:val="25"/>
          <w:szCs w:val="25"/>
          <w:b w:val="1"/>
          <w:bCs w:val="1"/>
          <w:color w:val="auto"/>
        </w:rPr>
        <w:t>SCHEDULE 14A</w:t>
      </w:r>
    </w:p>
    <w:p>
      <w:pPr>
        <w:spacing w:after="0" w:line="184" w:lineRule="exact"/>
        <w:rPr>
          <w:sz w:val="24"/>
          <w:szCs w:val="24"/>
          <w:color w:val="auto"/>
        </w:rPr>
      </w:pPr>
    </w:p>
    <w:p>
      <w:pPr>
        <w:jc w:val="center"/>
        <w:ind w:right="-1060"/>
        <w:spacing w:after="0"/>
        <w:rPr>
          <w:sz w:val="20"/>
          <w:szCs w:val="20"/>
          <w:color w:val="auto"/>
        </w:rPr>
      </w:pPr>
      <w:r>
        <w:rPr>
          <w:rFonts w:ascii="Arial" w:cs="Arial" w:eastAsia="Arial" w:hAnsi="Arial"/>
          <w:sz w:val="14"/>
          <w:szCs w:val="14"/>
          <w:b w:val="1"/>
          <w:bCs w:val="1"/>
          <w:color w:val="auto"/>
        </w:rPr>
        <w:t>Proxy Statement Pursuant to Section 14(a) of the Securities</w:t>
      </w:r>
    </w:p>
    <w:p>
      <w:pPr>
        <w:spacing w:after="0" w:line="16" w:lineRule="exact"/>
        <w:rPr>
          <w:sz w:val="24"/>
          <w:szCs w:val="24"/>
          <w:color w:val="auto"/>
        </w:rPr>
      </w:pPr>
    </w:p>
    <w:p>
      <w:pPr>
        <w:jc w:val="center"/>
        <w:ind w:right="-1060"/>
        <w:spacing w:after="0"/>
        <w:rPr>
          <w:sz w:val="20"/>
          <w:szCs w:val="20"/>
          <w:color w:val="auto"/>
        </w:rPr>
      </w:pPr>
      <w:r>
        <w:rPr>
          <w:rFonts w:ascii="Arial" w:cs="Arial" w:eastAsia="Arial" w:hAnsi="Arial"/>
          <w:sz w:val="14"/>
          <w:szCs w:val="14"/>
          <w:b w:val="1"/>
          <w:bCs w:val="1"/>
          <w:color w:val="auto"/>
        </w:rPr>
        <w:t>Exchange Act of 1934 (Amendment No.)</w:t>
      </w:r>
    </w:p>
    <w:p>
      <w:pPr>
        <w:spacing w:after="0" w:line="143" w:lineRule="exact"/>
        <w:rPr>
          <w:sz w:val="24"/>
          <w:szCs w:val="24"/>
          <w:color w:val="auto"/>
        </w:rPr>
      </w:pPr>
    </w:p>
    <w:p>
      <w:pPr>
        <w:jc w:val="right"/>
        <w:ind w:right="1179"/>
        <w:spacing w:after="0"/>
        <w:rPr>
          <w:sz w:val="20"/>
          <w:szCs w:val="20"/>
          <w:color w:val="auto"/>
        </w:rPr>
      </w:pPr>
      <w:r>
        <w:rPr>
          <w:sz w:val="1"/>
          <w:szCs w:val="1"/>
          <w:color w:val="auto"/>
        </w:rPr>
        <w:drawing>
          <wp:inline distT="0" distB="0" distL="0" distR="0">
            <wp:extent cx="184785" cy="18478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4785" cy="184785"/>
                    </a:xfrm>
                    <a:prstGeom prst="rect">
                      <a:avLst/>
                    </a:prstGeom>
                    <a:noFill/>
                    <a:ln>
                      <a:noFill/>
                    </a:ln>
                  </pic:spPr>
                </pic:pic>
              </a:graphicData>
            </a:graphic>
          </wp:inline>
        </w:drawing>
      </w:r>
      <w:r>
        <w:rPr>
          <w:rFonts w:ascii="Arial" w:cs="Arial" w:eastAsia="Arial" w:hAnsi="Arial"/>
          <w:sz w:val="14"/>
          <w:szCs w:val="14"/>
          <w:color w:val="auto"/>
        </w:rPr>
        <w:t xml:space="preserve"> Filed by the Registrant                                       </w:t>
      </w:r>
      <w:r>
        <w:rPr>
          <w:sz w:val="1"/>
          <w:szCs w:val="1"/>
          <w:color w:val="auto"/>
        </w:rPr>
        <w:drawing>
          <wp:inline distT="0" distB="0" distL="0" distR="0">
            <wp:extent cx="184785" cy="18478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4785" cy="184785"/>
                    </a:xfrm>
                    <a:prstGeom prst="rect">
                      <a:avLst/>
                    </a:prstGeom>
                    <a:noFill/>
                    <a:ln>
                      <a:noFill/>
                    </a:ln>
                  </pic:spPr>
                </pic:pic>
              </a:graphicData>
            </a:graphic>
          </wp:inline>
        </w:drawing>
      </w:r>
      <w:r>
        <w:rPr>
          <w:rFonts w:ascii="Arial" w:cs="Arial" w:eastAsia="Arial" w:hAnsi="Arial"/>
          <w:sz w:val="14"/>
          <w:szCs w:val="14"/>
          <w:color w:val="auto"/>
        </w:rPr>
        <w:t xml:space="preserve"> Filed by a Party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-29210</wp:posOffset>
            </wp:positionH>
            <wp:positionV relativeFrom="paragraph">
              <wp:posOffset>97790</wp:posOffset>
            </wp:positionV>
            <wp:extent cx="7150735" cy="14211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0735" cy="1421130"/>
                    </a:xfrm>
                    <a:prstGeom prst="rect">
                      <a:avLst/>
                    </a:prstGeom>
                    <a:noFill/>
                  </pic:spPr>
                </pic:pic>
              </a:graphicData>
            </a:graphic>
          </wp:anchor>
        </w:drawing>
      </w:r>
    </w:p>
    <w:p>
      <w:pPr>
        <w:spacing w:after="0" w:line="17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Check the appropriate box:</w:t>
      </w:r>
    </w:p>
    <w:p>
      <w:pPr>
        <w:spacing w:after="0" w:line="193" w:lineRule="exact"/>
        <w:rPr>
          <w:sz w:val="24"/>
          <w:szCs w:val="24"/>
          <w:color w:val="auto"/>
        </w:rPr>
      </w:pPr>
    </w:p>
    <w:p>
      <w:pPr>
        <w:ind w:left="560"/>
        <w:spacing w:after="0"/>
        <w:rPr>
          <w:sz w:val="20"/>
          <w:szCs w:val="20"/>
          <w:color w:val="auto"/>
        </w:rPr>
      </w:pPr>
      <w:r>
        <w:rPr>
          <w:rFonts w:ascii="Arial" w:cs="Arial" w:eastAsia="Arial" w:hAnsi="Arial"/>
          <w:sz w:val="14"/>
          <w:szCs w:val="14"/>
          <w:color w:val="auto"/>
        </w:rPr>
        <w:t>Preliminary Proxy Statement</w:t>
      </w:r>
    </w:p>
    <w:p>
      <w:pPr>
        <w:spacing w:after="0" w:line="235" w:lineRule="exact"/>
        <w:rPr>
          <w:sz w:val="24"/>
          <w:szCs w:val="24"/>
          <w:color w:val="auto"/>
        </w:rPr>
      </w:pPr>
    </w:p>
    <w:p>
      <w:pPr>
        <w:ind w:left="560"/>
        <w:spacing w:after="0"/>
        <w:rPr>
          <w:sz w:val="20"/>
          <w:szCs w:val="20"/>
          <w:color w:val="auto"/>
        </w:rPr>
      </w:pPr>
      <w:r>
        <w:rPr>
          <w:rFonts w:ascii="Arial" w:cs="Arial" w:eastAsia="Arial" w:hAnsi="Arial"/>
          <w:sz w:val="14"/>
          <w:szCs w:val="14"/>
          <w:b w:val="1"/>
          <w:bCs w:val="1"/>
          <w:color w:val="auto"/>
        </w:rPr>
        <w:t>Confidential, for use of the Commission only (as permitted by Rule 14a-6(e)(2))</w:t>
      </w:r>
    </w:p>
    <w:p>
      <w:pPr>
        <w:spacing w:after="0" w:line="235" w:lineRule="exact"/>
        <w:rPr>
          <w:sz w:val="24"/>
          <w:szCs w:val="24"/>
          <w:color w:val="auto"/>
        </w:rPr>
      </w:pPr>
    </w:p>
    <w:p>
      <w:pPr>
        <w:ind w:left="560"/>
        <w:spacing w:after="0"/>
        <w:rPr>
          <w:sz w:val="20"/>
          <w:szCs w:val="20"/>
          <w:color w:val="auto"/>
        </w:rPr>
      </w:pPr>
      <w:r>
        <w:rPr>
          <w:rFonts w:ascii="Arial" w:cs="Arial" w:eastAsia="Arial" w:hAnsi="Arial"/>
          <w:sz w:val="14"/>
          <w:szCs w:val="14"/>
          <w:color w:val="auto"/>
        </w:rPr>
        <w:t>Definitive Proxy Statement</w:t>
      </w:r>
    </w:p>
    <w:p>
      <w:pPr>
        <w:spacing w:after="0" w:line="235" w:lineRule="exact"/>
        <w:rPr>
          <w:sz w:val="24"/>
          <w:szCs w:val="24"/>
          <w:color w:val="auto"/>
        </w:rPr>
      </w:pPr>
    </w:p>
    <w:p>
      <w:pPr>
        <w:ind w:left="560"/>
        <w:spacing w:after="0"/>
        <w:rPr>
          <w:sz w:val="20"/>
          <w:szCs w:val="20"/>
          <w:color w:val="auto"/>
        </w:rPr>
      </w:pPr>
      <w:r>
        <w:rPr>
          <w:rFonts w:ascii="Arial" w:cs="Arial" w:eastAsia="Arial" w:hAnsi="Arial"/>
          <w:sz w:val="14"/>
          <w:szCs w:val="14"/>
          <w:color w:val="auto"/>
        </w:rPr>
        <w:t>Definitive Additional Materials</w:t>
      </w:r>
    </w:p>
    <w:p>
      <w:pPr>
        <w:spacing w:after="0" w:line="235" w:lineRule="exact"/>
        <w:rPr>
          <w:sz w:val="24"/>
          <w:szCs w:val="24"/>
          <w:color w:val="auto"/>
        </w:rPr>
      </w:pPr>
    </w:p>
    <w:p>
      <w:pPr>
        <w:ind w:left="560"/>
        <w:spacing w:after="0"/>
        <w:rPr>
          <w:sz w:val="20"/>
          <w:szCs w:val="20"/>
          <w:color w:val="auto"/>
        </w:rPr>
      </w:pPr>
      <w:r>
        <w:rPr>
          <w:rFonts w:ascii="Arial" w:cs="Arial" w:eastAsia="Arial" w:hAnsi="Arial"/>
          <w:sz w:val="14"/>
          <w:szCs w:val="14"/>
          <w:color w:val="auto"/>
        </w:rPr>
        <w:t>Soliciting Material Pursuant to §240.14a-12</w:t>
      </w:r>
    </w:p>
    <w:p>
      <w:pPr>
        <w:spacing w:after="0" w:line="203" w:lineRule="exact"/>
        <w:rPr>
          <w:sz w:val="24"/>
          <w:szCs w:val="24"/>
          <w:color w:val="auto"/>
        </w:rPr>
      </w:pPr>
    </w:p>
    <w:p>
      <w:pPr>
        <w:ind w:left="2660"/>
        <w:spacing w:after="0"/>
        <w:rPr>
          <w:sz w:val="20"/>
          <w:szCs w:val="20"/>
          <w:color w:val="auto"/>
        </w:rPr>
      </w:pPr>
      <w:r>
        <w:rPr>
          <w:rFonts w:ascii="Arial" w:cs="Arial" w:eastAsia="Arial" w:hAnsi="Arial"/>
          <w:sz w:val="31"/>
          <w:szCs w:val="31"/>
          <w:b w:val="1"/>
          <w:bCs w:val="1"/>
          <w:color w:val="auto"/>
        </w:rPr>
        <w:t>ULTRAGENYX PHARMACEUTICAL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157480</wp:posOffset>
            </wp:positionV>
            <wp:extent cx="1739900" cy="6591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39900" cy="6591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jc w:val="center"/>
        <w:ind w:right="-1060"/>
        <w:spacing w:after="0"/>
        <w:rPr>
          <w:sz w:val="20"/>
          <w:szCs w:val="20"/>
          <w:color w:val="auto"/>
        </w:rPr>
      </w:pPr>
      <w:r>
        <w:rPr>
          <w:rFonts w:ascii="Arial" w:cs="Arial" w:eastAsia="Arial" w:hAnsi="Arial"/>
          <w:sz w:val="14"/>
          <w:szCs w:val="14"/>
          <w:b w:val="1"/>
          <w:bCs w:val="1"/>
          <w:i w:val="1"/>
          <w:iCs w:val="1"/>
          <w:color w:val="auto"/>
        </w:rPr>
        <w:t>(Name of Registrant as Specified In Its Charter)</w:t>
      </w:r>
    </w:p>
    <w:p>
      <w:pPr>
        <w:spacing w:after="0" w:line="165" w:lineRule="exact"/>
        <w:rPr>
          <w:sz w:val="24"/>
          <w:szCs w:val="24"/>
          <w:color w:val="auto"/>
        </w:rPr>
      </w:pPr>
    </w:p>
    <w:p>
      <w:pPr>
        <w:ind w:left="3200"/>
        <w:spacing w:after="0"/>
        <w:rPr>
          <w:sz w:val="20"/>
          <w:szCs w:val="20"/>
          <w:color w:val="auto"/>
        </w:rPr>
      </w:pPr>
      <w:r>
        <w:rPr>
          <w:rFonts w:ascii="Arial" w:cs="Arial" w:eastAsia="Arial" w:hAnsi="Arial"/>
          <w:sz w:val="14"/>
          <w:szCs w:val="14"/>
          <w:b w:val="1"/>
          <w:bCs w:val="1"/>
          <w:i w:val="1"/>
          <w:iCs w:val="1"/>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-29210</wp:posOffset>
            </wp:positionH>
            <wp:positionV relativeFrom="paragraph">
              <wp:posOffset>111760</wp:posOffset>
            </wp:positionV>
            <wp:extent cx="7150735" cy="9182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0735" cy="918210"/>
                    </a:xfrm>
                    <a:prstGeom prst="rect">
                      <a:avLst/>
                    </a:prstGeom>
                    <a:noFill/>
                  </pic:spPr>
                </pic:pic>
              </a:graphicData>
            </a:graphic>
          </wp:anchor>
        </w:drawing>
      </w:r>
    </w:p>
    <w:p>
      <w:pPr>
        <w:spacing w:after="0" w:line="19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Payment of Filing Fee (Check all boxes that apply):</w:t>
      </w:r>
    </w:p>
    <w:p>
      <w:pPr>
        <w:spacing w:after="0" w:line="193" w:lineRule="exact"/>
        <w:rPr>
          <w:sz w:val="24"/>
          <w:szCs w:val="24"/>
          <w:color w:val="auto"/>
        </w:rPr>
      </w:pPr>
    </w:p>
    <w:p>
      <w:pPr>
        <w:ind w:left="560"/>
        <w:spacing w:after="0"/>
        <w:rPr>
          <w:sz w:val="20"/>
          <w:szCs w:val="20"/>
          <w:color w:val="auto"/>
        </w:rPr>
      </w:pPr>
      <w:r>
        <w:rPr>
          <w:rFonts w:ascii="Arial" w:cs="Arial" w:eastAsia="Arial" w:hAnsi="Arial"/>
          <w:sz w:val="14"/>
          <w:szCs w:val="14"/>
          <w:b w:val="1"/>
          <w:bCs w:val="1"/>
          <w:color w:val="auto"/>
        </w:rPr>
        <w:t>No fee required</w:t>
      </w:r>
    </w:p>
    <w:p>
      <w:pPr>
        <w:spacing w:after="0" w:line="235" w:lineRule="exact"/>
        <w:rPr>
          <w:sz w:val="24"/>
          <w:szCs w:val="24"/>
          <w:color w:val="auto"/>
        </w:rPr>
      </w:pPr>
    </w:p>
    <w:p>
      <w:pPr>
        <w:ind w:left="560"/>
        <w:spacing w:after="0"/>
        <w:rPr>
          <w:sz w:val="20"/>
          <w:szCs w:val="20"/>
          <w:color w:val="auto"/>
        </w:rPr>
      </w:pPr>
      <w:r>
        <w:rPr>
          <w:rFonts w:ascii="Arial" w:cs="Arial" w:eastAsia="Arial" w:hAnsi="Arial"/>
          <w:sz w:val="14"/>
          <w:szCs w:val="14"/>
          <w:b w:val="1"/>
          <w:bCs w:val="1"/>
          <w:color w:val="auto"/>
        </w:rPr>
        <w:t>Fee paid previously with preliminary materials</w:t>
      </w:r>
    </w:p>
    <w:p>
      <w:pPr>
        <w:spacing w:after="0" w:line="235" w:lineRule="exact"/>
        <w:rPr>
          <w:sz w:val="24"/>
          <w:szCs w:val="24"/>
          <w:color w:val="auto"/>
        </w:rPr>
      </w:pPr>
    </w:p>
    <w:p>
      <w:pPr>
        <w:ind w:left="560"/>
        <w:spacing w:after="0"/>
        <w:rPr>
          <w:sz w:val="20"/>
          <w:szCs w:val="20"/>
          <w:color w:val="auto"/>
        </w:rPr>
      </w:pPr>
      <w:r>
        <w:rPr>
          <w:rFonts w:ascii="Arial" w:cs="Arial" w:eastAsia="Arial" w:hAnsi="Arial"/>
          <w:sz w:val="14"/>
          <w:szCs w:val="14"/>
          <w:b w:val="1"/>
          <w:bCs w:val="1"/>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-29210</wp:posOffset>
            </wp:positionH>
            <wp:positionV relativeFrom="paragraph">
              <wp:posOffset>179705</wp:posOffset>
            </wp:positionV>
            <wp:extent cx="715073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0735" cy="29845"/>
                    </a:xfrm>
                    <a:prstGeom prst="rect">
                      <a:avLst/>
                    </a:prstGeom>
                    <a:noFill/>
                  </pic:spPr>
                </pic:pic>
              </a:graphicData>
            </a:graphic>
          </wp:anchor>
        </w:drawing>
      </w:r>
    </w:p>
    <w:p>
      <w:pPr>
        <w:sectPr>
          <w:pgSz w:w="11900" w:h="16838" w:orient="portrait"/>
          <w:cols w:equalWidth="0" w:num="1">
            <w:col w:w="10099"/>
          </w:cols>
          <w:pgMar w:left="360" w:top="220" w:right="1440"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198755</wp:posOffset>
            </wp:positionH>
            <wp:positionV relativeFrom="page">
              <wp:posOffset>244475</wp:posOffset>
            </wp:positionV>
            <wp:extent cx="7150735" cy="7180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0735" cy="71805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12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5610225</wp:posOffset>
            </wp:positionH>
            <wp:positionV relativeFrom="page">
              <wp:posOffset>244475</wp:posOffset>
            </wp:positionV>
            <wp:extent cx="1739900" cy="6591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739900" cy="65913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9"/>
          <w:szCs w:val="19"/>
          <w:b w:val="1"/>
          <w:bCs w:val="1"/>
          <w:color w:val="auto"/>
        </w:rPr>
        <w:t>60 Leveroni Court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Novato, California 94949</w:t>
      </w:r>
    </w:p>
    <w:p>
      <w:pPr>
        <w:spacing w:after="0" w:line="109" w:lineRule="exact"/>
        <w:rPr>
          <w:sz w:val="20"/>
          <w:szCs w:val="20"/>
          <w:color w:val="auto"/>
        </w:rPr>
      </w:pPr>
    </w:p>
    <w:p>
      <w:pPr>
        <w:spacing w:after="0"/>
        <w:rPr>
          <w:sz w:val="20"/>
          <w:szCs w:val="20"/>
          <w:color w:val="auto"/>
        </w:rPr>
      </w:pPr>
      <w:r>
        <w:rPr>
          <w:rFonts w:ascii="Arial" w:cs="Arial" w:eastAsia="Arial" w:hAnsi="Arial"/>
          <w:sz w:val="56"/>
          <w:szCs w:val="56"/>
          <w:b w:val="1"/>
          <w:bCs w:val="1"/>
          <w:color w:val="7CBD3F"/>
        </w:rPr>
        <w:t>Notice of Annual Meeting of Stockholders</w:t>
      </w:r>
    </w:p>
    <w:p>
      <w:pPr>
        <w:sectPr>
          <w:pgSz w:w="11900" w:h="16838" w:orient="portrait"/>
          <w:cols w:equalWidth="0" w:num="1">
            <w:col w:w="11260"/>
          </w:cols>
          <w:pgMar w:left="320" w:top="1440" w:right="319" w:bottom="1440" w:gutter="0" w:footer="0" w:header="0"/>
        </w:sectPr>
      </w:pPr>
    </w:p>
    <w:p>
      <w:pPr>
        <w:spacing w:after="0" w:line="386" w:lineRule="exact"/>
        <w:rPr>
          <w:sz w:val="20"/>
          <w:szCs w:val="20"/>
          <w:color w:val="auto"/>
        </w:rPr>
      </w:pPr>
    </w:p>
    <w:p>
      <w:pPr>
        <w:ind w:right="560"/>
        <w:spacing w:after="0" w:line="298" w:lineRule="auto"/>
        <w:rPr>
          <w:sz w:val="20"/>
          <w:szCs w:val="20"/>
          <w:color w:val="auto"/>
        </w:rPr>
      </w:pPr>
      <w:r>
        <w:rPr>
          <w:rFonts w:ascii="Arial" w:cs="Arial" w:eastAsia="Arial" w:hAnsi="Arial"/>
          <w:sz w:val="18"/>
          <w:szCs w:val="18"/>
          <w:b w:val="1"/>
          <w:bCs w:val="1"/>
          <w:color w:val="7CBD3F"/>
        </w:rPr>
        <w:t>To Be Held on May 15, 2025 at</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9:00 a.m. Pacific Time</w:t>
      </w:r>
    </w:p>
    <w:p>
      <w:pPr>
        <w:spacing w:after="0" w:line="20" w:lineRule="exact"/>
        <w:rPr>
          <w:sz w:val="20"/>
          <w:szCs w:val="20"/>
          <w:color w:val="auto"/>
        </w:rPr>
      </w:pPr>
      <w:r>
        <w:rPr>
          <w:sz w:val="20"/>
          <w:szCs w:val="20"/>
          <w:color w:val="auto"/>
        </w:rPr>
        <w:br w:type="column"/>
      </w:r>
    </w:p>
    <w:p>
      <w:pPr>
        <w:spacing w:after="0" w:line="378" w:lineRule="exact"/>
        <w:rPr>
          <w:sz w:val="20"/>
          <w:szCs w:val="20"/>
          <w:color w:val="auto"/>
        </w:rPr>
      </w:pPr>
    </w:p>
    <w:p>
      <w:pPr>
        <w:spacing w:after="0"/>
        <w:rPr>
          <w:sz w:val="20"/>
          <w:szCs w:val="20"/>
          <w:color w:val="auto"/>
        </w:rPr>
      </w:pPr>
      <w:r>
        <w:rPr>
          <w:rFonts w:ascii="Arial" w:cs="Arial" w:eastAsia="Arial" w:hAnsi="Arial"/>
          <w:sz w:val="14"/>
          <w:szCs w:val="14"/>
          <w:color w:val="auto"/>
        </w:rPr>
        <w:t>Dear Stockholder:</w:t>
      </w:r>
    </w:p>
    <w:p>
      <w:pPr>
        <w:spacing w:after="0" w:line="165"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 xml:space="preserve">You are cordially invited to attend the Annual Meeting of Stockholders of Ultragenyx Pharmaceutical Inc., a Delaware corporation (we, us, Ultragenyx or the Company), which will be held on May 15, 2025, at 9:00 a.m. Pacific Time virtually via the Internet at </w:t>
      </w:r>
      <w:r>
        <w:rPr>
          <w:rFonts w:ascii="Arial" w:cs="Arial" w:eastAsia="Arial" w:hAnsi="Arial"/>
          <w:sz w:val="14"/>
          <w:szCs w:val="14"/>
          <w:i w:val="1"/>
          <w:iCs w:val="1"/>
          <w:color w:val="auto"/>
        </w:rPr>
        <w:t xml:space="preserve">www.virtualshareholdermeeting.com/RARE2025 </w:t>
      </w:r>
      <w:r>
        <w:rPr>
          <w:rFonts w:ascii="Arial" w:cs="Arial" w:eastAsia="Arial" w:hAnsi="Arial"/>
          <w:sz w:val="14"/>
          <w:szCs w:val="14"/>
          <w:color w:val="auto"/>
        </w:rPr>
        <w:t>(Annual Meeting). Instructions on how to participate in the Annual Meeting and</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demonstrate proof of stock ownership are included in this proxy statement (Proxy Statement). The webcast of the Annual Meeting will be archived for one year after the date of the Annual Meeting at </w:t>
      </w:r>
      <w:r>
        <w:rPr>
          <w:rFonts w:ascii="Arial" w:cs="Arial" w:eastAsia="Arial" w:hAnsi="Arial"/>
          <w:sz w:val="14"/>
          <w:szCs w:val="14"/>
          <w:i w:val="1"/>
          <w:iCs w:val="1"/>
          <w:color w:val="auto"/>
        </w:rPr>
        <w:t>www.virtualshareholdermeeting.com/RARE2025</w:t>
      </w:r>
      <w:r>
        <w:rPr>
          <w:rFonts w:ascii="Arial" w:cs="Arial" w:eastAsia="Arial" w:hAnsi="Arial"/>
          <w:sz w:val="14"/>
          <w:szCs w:val="14"/>
          <w:color w:val="auto"/>
        </w:rPr>
        <w:t>. Only stockholders who held stock at the close of business on the record date, March 24, 2025, may vote at the Annual Meeting or any adjournment or postponement thereof.</w:t>
      </w:r>
    </w:p>
    <w:p>
      <w:pPr>
        <w:spacing w:after="0" w:line="136"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 xml:space="preserve">In the event of a technical malfunction or other situation that the meeting chair determines may affect the ability of the Annual Meeting to satisfy the requirements for a meeting of stockholders to be held by means of remote communication under the Delaware General Corporation Law, or that otherwise makes it advisable to adjourn the Annual Meeting, the chair or secretary of the Annual Meeting will convene the meeting at 12:00 p.m. Pacific Time on the date specified above and at the Company’s address specified above solely for the purpose of adjourning the meeting to reconvene at a date, time and physical or virtual location announced by the meeting chair. Under either of the foregoing circumstances, we will post information regarding the announcement on the Investors page of the Company’s website at </w:t>
      </w:r>
      <w:r>
        <w:rPr>
          <w:rFonts w:ascii="Arial" w:cs="Arial" w:eastAsia="Arial" w:hAnsi="Arial"/>
          <w:sz w:val="14"/>
          <w:szCs w:val="14"/>
          <w:i w:val="1"/>
          <w:iCs w:val="1"/>
          <w:color w:val="auto"/>
        </w:rPr>
        <w:t>https://ir.ultragenyx.com</w:t>
      </w:r>
      <w:r>
        <w:rPr>
          <w:rFonts w:ascii="Arial" w:cs="Arial" w:eastAsia="Arial" w:hAnsi="Arial"/>
          <w:sz w:val="14"/>
          <w:szCs w:val="14"/>
          <w:color w:val="auto"/>
        </w:rPr>
        <w:t>.</w:t>
      </w:r>
    </w:p>
    <w:p>
      <w:pPr>
        <w:spacing w:after="0" w:line="136" w:lineRule="exact"/>
        <w:rPr>
          <w:sz w:val="20"/>
          <w:szCs w:val="20"/>
          <w:color w:val="auto"/>
        </w:rPr>
      </w:pPr>
    </w:p>
    <w:p>
      <w:pPr>
        <w:jc w:val="both"/>
        <w:spacing w:after="0" w:line="250" w:lineRule="auto"/>
        <w:rPr>
          <w:sz w:val="20"/>
          <w:szCs w:val="20"/>
          <w:color w:val="auto"/>
        </w:rPr>
      </w:pPr>
      <w:r>
        <w:rPr>
          <w:rFonts w:ascii="Arial" w:cs="Arial" w:eastAsia="Arial" w:hAnsi="Arial"/>
          <w:sz w:val="14"/>
          <w:szCs w:val="14"/>
          <w:color w:val="auto"/>
        </w:rPr>
        <w:t>At the Annual Meeting, you will be asked to consider and vote upon: (1) the election of the two Class III director nominees named in the Proxy Statement; (2) approval of our Second Amended and Restated 2023 Incentive Plan (Second A&amp;R 2023 Plan), (3) the ratification of the selection of Ernst &amp; Young LLP as our independent registered public accounting firm for the fiscal year ending December 31, 2025; (4) an advisory (non-binding) resolution to approve the compensation of our named executive officers; and (5) any other business that may properly come before the Annual Meeting or any adjournment or postponement thereof. No other items of business are expected to be considered, and no other director nominees will be entertained, at the Annual Meeting.</w:t>
      </w:r>
    </w:p>
    <w:p>
      <w:pPr>
        <w:spacing w:after="0" w:line="136" w:lineRule="exact"/>
        <w:rPr>
          <w:sz w:val="20"/>
          <w:szCs w:val="20"/>
          <w:color w:val="auto"/>
        </w:rPr>
      </w:pPr>
    </w:p>
    <w:p>
      <w:pPr>
        <w:jc w:val="both"/>
        <w:ind w:right="20"/>
        <w:spacing w:after="0" w:line="255" w:lineRule="auto"/>
        <w:rPr>
          <w:sz w:val="20"/>
          <w:szCs w:val="20"/>
          <w:color w:val="auto"/>
        </w:rPr>
      </w:pPr>
      <w:r>
        <w:rPr>
          <w:rFonts w:ascii="Arial" w:cs="Arial" w:eastAsia="Arial" w:hAnsi="Arial"/>
          <w:sz w:val="14"/>
          <w:szCs w:val="14"/>
          <w:color w:val="auto"/>
        </w:rPr>
        <w:t xml:space="preserve">The accompanying Proxy Statement more fully describes the details of the business to be conducted at the Annual Meeting. Proposal No. 1 relates solely to the election of the two directors nominated by the Board of Directors. After careful consideration, our Board of Directors has unanimously approved the proposals and recommends that you vote </w:t>
      </w:r>
      <w:r>
        <w:rPr>
          <w:rFonts w:ascii="Arial" w:cs="Arial" w:eastAsia="Arial" w:hAnsi="Arial"/>
          <w:sz w:val="14"/>
          <w:szCs w:val="14"/>
          <w:b w:val="1"/>
          <w:bCs w:val="1"/>
          <w:color w:val="auto"/>
        </w:rPr>
        <w:t>FOR</w:t>
      </w:r>
      <w:r>
        <w:rPr>
          <w:rFonts w:ascii="Arial" w:cs="Arial" w:eastAsia="Arial" w:hAnsi="Arial"/>
          <w:sz w:val="14"/>
          <w:szCs w:val="14"/>
          <w:color w:val="auto"/>
        </w:rPr>
        <w:t xml:space="preserve"> each of the director nominees, and </w:t>
      </w:r>
      <w:r>
        <w:rPr>
          <w:rFonts w:ascii="Arial" w:cs="Arial" w:eastAsia="Arial" w:hAnsi="Arial"/>
          <w:sz w:val="14"/>
          <w:szCs w:val="14"/>
          <w:b w:val="1"/>
          <w:bCs w:val="1"/>
          <w:color w:val="auto"/>
        </w:rPr>
        <w:t>FOR</w:t>
      </w:r>
      <w:r>
        <w:rPr>
          <w:rFonts w:ascii="Arial" w:cs="Arial" w:eastAsia="Arial" w:hAnsi="Arial"/>
          <w:sz w:val="14"/>
          <w:szCs w:val="14"/>
          <w:color w:val="auto"/>
        </w:rPr>
        <w:t xml:space="preserve"> each of the other proposals described in the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-1629410</wp:posOffset>
            </wp:positionH>
            <wp:positionV relativeFrom="paragraph">
              <wp:posOffset>121285</wp:posOffset>
            </wp:positionV>
            <wp:extent cx="715073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0735" cy="29845"/>
                    </a:xfrm>
                    <a:prstGeom prst="rect">
                      <a:avLst/>
                    </a:prstGeom>
                    <a:noFill/>
                  </pic:spPr>
                </pic:pic>
              </a:graphicData>
            </a:graphic>
          </wp:anchor>
        </w:drawing>
      </w:r>
    </w:p>
    <w:p>
      <w:pPr>
        <w:sectPr>
          <w:pgSz w:w="11900" w:h="16838" w:orient="portrait"/>
          <w:cols w:equalWidth="0" w:num="2">
            <w:col w:w="1920" w:space="640"/>
            <w:col w:w="8700"/>
          </w:cols>
          <w:pgMar w:left="320" w:top="1440" w:right="319" w:bottom="1440" w:gutter="0" w:footer="0" w:header="0"/>
          <w:type w:val="continuous"/>
        </w:sectPr>
      </w:pPr>
    </w:p>
    <w:bookmarkStart w:id="3" w:name="page4"/>
    <w:bookmarkEnd w:id="3"/>
    <w:p>
      <w:pPr>
        <w:jc w:val="both"/>
        <w:spacing w:after="0" w:line="260" w:lineRule="auto"/>
        <w:rPr>
          <w:sz w:val="20"/>
          <w:szCs w:val="20"/>
          <w:color w:val="auto"/>
        </w:rPr>
      </w:pPr>
      <w:r>
        <w:rPr>
          <w:rFonts w:ascii="Arial" w:cs="Arial" w:eastAsia="Arial" w:hAnsi="Arial"/>
          <w:sz w:val="14"/>
          <w:szCs w:val="14"/>
          <w:color w:val="auto"/>
        </w:rPr>
        <w:t>We are pleased to make use of the U.S. Securities and Exchange Commission (SEC) rules that allow companies to furnish proxy materials to their stockholders via the Internet. We believe the ability to deliver proxy materials electronically allows us to provide our stockholders with the information they need, while lowering the costs of delivery and reducing the environmental impact from the distribution of our Annual Meeting materials.</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color w:val="auto"/>
        </w:rPr>
        <w:t>We look forward to speaking with you at the Annual Meeting.</w:t>
      </w:r>
    </w:p>
    <w:p>
      <w:pPr>
        <w:spacing w:after="0" w:line="165" w:lineRule="exact"/>
        <w:rPr>
          <w:sz w:val="20"/>
          <w:szCs w:val="20"/>
          <w:color w:val="auto"/>
        </w:rPr>
      </w:pPr>
    </w:p>
    <w:p>
      <w:pPr>
        <w:ind w:left="10660"/>
        <w:spacing w:after="0"/>
        <w:rPr>
          <w:sz w:val="20"/>
          <w:szCs w:val="20"/>
          <w:color w:val="auto"/>
        </w:rPr>
      </w:pPr>
      <w:r>
        <w:rPr>
          <w:rFonts w:ascii="Arial" w:cs="Arial" w:eastAsia="Arial" w:hAnsi="Arial"/>
          <w:sz w:val="13"/>
          <w:szCs w:val="13"/>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5918200</wp:posOffset>
            </wp:positionH>
            <wp:positionV relativeFrom="paragraph">
              <wp:posOffset>120015</wp:posOffset>
            </wp:positionV>
            <wp:extent cx="1228725" cy="400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28725" cy="400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Emil D. Kakkis, M.D., Ph.D.</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4"/>
          <w:szCs w:val="14"/>
          <w:i w:val="1"/>
          <w:iCs w:val="1"/>
          <w:color w:val="auto"/>
        </w:rPr>
        <w:t>President and Chief Executive Officer</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March 28, 2025</w:t>
      </w:r>
    </w:p>
    <w:p>
      <w:pPr>
        <w:spacing w:after="0" w:line="151" w:lineRule="exact"/>
        <w:rPr>
          <w:sz w:val="20"/>
          <w:szCs w:val="20"/>
          <w:color w:val="auto"/>
        </w:rPr>
      </w:pPr>
    </w:p>
    <w:p>
      <w:pPr>
        <w:jc w:val="both"/>
        <w:ind w:right="20"/>
        <w:spacing w:after="0" w:line="259" w:lineRule="auto"/>
        <w:rPr>
          <w:sz w:val="20"/>
          <w:szCs w:val="20"/>
          <w:color w:val="auto"/>
        </w:rPr>
      </w:pPr>
      <w:r>
        <w:rPr>
          <w:rFonts w:ascii="Arial" w:cs="Arial" w:eastAsia="Arial" w:hAnsi="Arial"/>
          <w:sz w:val="14"/>
          <w:szCs w:val="14"/>
          <w:b w:val="1"/>
          <w:bCs w:val="1"/>
          <w:color w:val="auto"/>
        </w:rPr>
        <w:t>WHETHER OR NOT YOU EXPECT TO ATTEND THE ANNUAL MEETING, PLEASE VOTE VIA THE INTERNET AS INSTRUCTED IN THE NOTICE OF INTERNET AVAILABILITY OR, IF YOU REQUESTED AND RECEIVED A PRINTED COPY OF THE PROXY MATERIALS, COMPLETE, DATE, SIGN, AND RETURN THE ENCLOSED PROXY CARD USING THE ENCLOSED RETURN ENVELOPE OR VOTING INSTRUCTION FORM PROVIDED WITH THE PRINTED PROXY MATERIALS, AS PROMPTLY AS POSSIBLE SO THAT YOUR SHARES MAY BE REPRESENTED AT THE ANNUAL MEETING. YOU MAY ALSO VOTE AT THE VIRTUAL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111760</wp:posOffset>
            </wp:positionV>
            <wp:extent cx="7156450" cy="5607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6450" cy="560705"/>
                    </a:xfrm>
                    <a:prstGeom prst="rect">
                      <a:avLst/>
                    </a:prstGeom>
                    <a:noFill/>
                  </pic:spPr>
                </pic:pic>
              </a:graphicData>
            </a:graphic>
          </wp:anchor>
        </w:drawing>
      </w:r>
    </w:p>
    <w:p>
      <w:pPr>
        <w:spacing w:after="0" w:line="237" w:lineRule="exact"/>
        <w:rPr>
          <w:sz w:val="20"/>
          <w:szCs w:val="20"/>
          <w:color w:val="auto"/>
        </w:rPr>
      </w:pPr>
    </w:p>
    <w:p>
      <w:pPr>
        <w:jc w:val="center"/>
        <w:ind w:right="20"/>
        <w:spacing w:after="0" w:line="268" w:lineRule="auto"/>
        <w:rPr>
          <w:sz w:val="20"/>
          <w:szCs w:val="20"/>
          <w:color w:val="auto"/>
        </w:rPr>
      </w:pPr>
      <w:r>
        <w:rPr>
          <w:rFonts w:ascii="Arial" w:cs="Arial" w:eastAsia="Arial" w:hAnsi="Arial"/>
          <w:sz w:val="16"/>
          <w:szCs w:val="16"/>
          <w:b w:val="1"/>
          <w:bCs w:val="1"/>
          <w:color w:val="auto"/>
        </w:rPr>
        <w:t>IMPORTANT NOTICE REGARDING THE AVAILABILITY OF PROXY MATERIALS FOR THE ANNUAL MEETING OF STOCKHOLDERS TO BE HELD ON MAY 15, 2025:</w:t>
      </w:r>
    </w:p>
    <w:p>
      <w:pPr>
        <w:spacing w:after="0" w:line="102"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The Proxy Statement and Annual Report on Form 10-K for the fiscal year ended December 31, 2024 are available at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165100</wp:posOffset>
            </wp:positionV>
            <wp:extent cx="7156450" cy="13893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6450" cy="1389380"/>
                    </a:xfrm>
                    <a:prstGeom prst="rect">
                      <a:avLst/>
                    </a:prstGeom>
                    <a:noFill/>
                  </pic:spPr>
                </pic:pic>
              </a:graphicData>
            </a:graphic>
          </wp:anchor>
        </w:drawing>
      </w:r>
    </w:p>
    <w:p>
      <w:pPr>
        <w:spacing w:after="0" w:line="318" w:lineRule="exact"/>
        <w:rPr>
          <w:sz w:val="20"/>
          <w:szCs w:val="20"/>
          <w:color w:val="auto"/>
        </w:rPr>
      </w:pPr>
    </w:p>
    <w:p>
      <w:pPr>
        <w:ind w:left="80"/>
        <w:spacing w:after="0"/>
        <w:rPr>
          <w:sz w:val="20"/>
          <w:szCs w:val="20"/>
          <w:color w:val="auto"/>
        </w:rPr>
      </w:pPr>
      <w:r>
        <w:rPr>
          <w:rFonts w:ascii="Arial" w:cs="Arial" w:eastAsia="Arial" w:hAnsi="Arial"/>
          <w:sz w:val="12"/>
          <w:szCs w:val="12"/>
          <w:b w:val="1"/>
          <w:bCs w:val="1"/>
          <w:color w:val="7CBD3F"/>
        </w:rPr>
        <w:t>VOTING METHODS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80" w:type="dxa"/>
        <w:tblCellMar>
          <w:top w:w="0" w:type="dxa"/>
          <w:left w:w="0" w:type="dxa"/>
          <w:bottom w:w="0" w:type="dxa"/>
          <w:right w:w="0" w:type="dxa"/>
        </w:tblCellMar>
      </w:tblPr>
      <w:tr>
        <w:trPr>
          <w:trHeight w:val="140"/>
        </w:trPr>
        <w:tc>
          <w:tcPr>
            <w:tcW w:w="4240" w:type="dxa"/>
            <w:vAlign w:val="bottom"/>
          </w:tcPr>
          <w:p>
            <w:pPr>
              <w:spacing w:after="0"/>
              <w:rPr>
                <w:sz w:val="20"/>
                <w:szCs w:val="20"/>
                <w:color w:val="auto"/>
              </w:rPr>
            </w:pPr>
            <w:r>
              <w:rPr>
                <w:rFonts w:ascii="Arial" w:cs="Arial" w:eastAsia="Arial" w:hAnsi="Arial"/>
                <w:sz w:val="12"/>
                <w:szCs w:val="12"/>
                <w:b w:val="1"/>
                <w:bCs w:val="1"/>
                <w:color w:val="auto"/>
              </w:rPr>
              <w:t>If you are an owner of record as of the record date, you may vote via</w:t>
            </w:r>
          </w:p>
        </w:tc>
        <w:tc>
          <w:tcPr>
            <w:tcW w:w="1540" w:type="dxa"/>
            <w:vAlign w:val="bottom"/>
          </w:tcPr>
          <w:p>
            <w:pPr>
              <w:jc w:val="center"/>
              <w:spacing w:after="0"/>
              <w:rPr>
                <w:sz w:val="20"/>
                <w:szCs w:val="20"/>
                <w:color w:val="auto"/>
              </w:rPr>
            </w:pPr>
            <w:r>
              <w:rPr>
                <w:rFonts w:ascii="Arial" w:cs="Arial" w:eastAsia="Arial" w:hAnsi="Arial"/>
                <w:sz w:val="12"/>
                <w:szCs w:val="12"/>
                <w:b w:val="1"/>
                <w:bCs w:val="1"/>
                <w:color w:val="auto"/>
              </w:rPr>
              <w:t>INTERNET</w:t>
            </w:r>
          </w:p>
        </w:tc>
        <w:tc>
          <w:tcPr>
            <w:tcW w:w="1620" w:type="dxa"/>
            <w:vAlign w:val="bottom"/>
          </w:tcPr>
          <w:p>
            <w:pPr>
              <w:jc w:val="center"/>
              <w:ind w:left="18"/>
              <w:spacing w:after="0"/>
              <w:rPr>
                <w:sz w:val="20"/>
                <w:szCs w:val="20"/>
                <w:color w:val="auto"/>
              </w:rPr>
            </w:pPr>
            <w:r>
              <w:rPr>
                <w:rFonts w:ascii="Arial" w:cs="Arial" w:eastAsia="Arial" w:hAnsi="Arial"/>
                <w:sz w:val="12"/>
                <w:szCs w:val="12"/>
                <w:b w:val="1"/>
                <w:bCs w:val="1"/>
                <w:color w:val="auto"/>
              </w:rPr>
              <w:t>TELEPHONE</w:t>
            </w:r>
          </w:p>
        </w:tc>
        <w:tc>
          <w:tcPr>
            <w:tcW w:w="1800" w:type="dxa"/>
            <w:vAlign w:val="bottom"/>
          </w:tcPr>
          <w:p>
            <w:pPr>
              <w:jc w:val="center"/>
              <w:spacing w:after="0"/>
              <w:rPr>
                <w:sz w:val="20"/>
                <w:szCs w:val="20"/>
                <w:color w:val="auto"/>
              </w:rPr>
            </w:pPr>
            <w:r>
              <w:rPr>
                <w:rFonts w:ascii="Arial" w:cs="Arial" w:eastAsia="Arial" w:hAnsi="Arial"/>
                <w:sz w:val="12"/>
                <w:szCs w:val="12"/>
                <w:b w:val="1"/>
                <w:bCs w:val="1"/>
                <w:color w:val="auto"/>
              </w:rPr>
              <w:t>MAIL</w:t>
            </w:r>
          </w:p>
        </w:tc>
        <w:tc>
          <w:tcPr>
            <w:tcW w:w="1880" w:type="dxa"/>
            <w:vAlign w:val="bottom"/>
          </w:tcPr>
          <w:p>
            <w:pPr>
              <w:jc w:val="center"/>
              <w:ind w:left="58"/>
              <w:spacing w:after="0"/>
              <w:rPr>
                <w:sz w:val="20"/>
                <w:szCs w:val="20"/>
                <w:color w:val="auto"/>
              </w:rPr>
            </w:pPr>
            <w:r>
              <w:rPr>
                <w:rFonts w:ascii="Arial" w:cs="Arial" w:eastAsia="Arial" w:hAnsi="Arial"/>
                <w:sz w:val="12"/>
                <w:szCs w:val="12"/>
                <w:b w:val="1"/>
                <w:bCs w:val="1"/>
                <w:color w:val="auto"/>
              </w:rPr>
              <w:t>AT THE MEETING:</w:t>
            </w:r>
          </w:p>
        </w:tc>
      </w:tr>
      <w:tr>
        <w:trPr>
          <w:trHeight w:val="140"/>
        </w:trPr>
        <w:tc>
          <w:tcPr>
            <w:tcW w:w="4240" w:type="dxa"/>
            <w:vAlign w:val="bottom"/>
          </w:tcPr>
          <w:p>
            <w:pPr>
              <w:spacing w:after="0"/>
              <w:rPr>
                <w:sz w:val="20"/>
                <w:szCs w:val="20"/>
                <w:color w:val="auto"/>
              </w:rPr>
            </w:pPr>
            <w:r>
              <w:rPr>
                <w:rFonts w:ascii="Arial" w:cs="Arial" w:eastAsia="Arial" w:hAnsi="Arial"/>
                <w:sz w:val="12"/>
                <w:szCs w:val="12"/>
                <w:b w:val="1"/>
                <w:bCs w:val="1"/>
                <w:color w:val="auto"/>
              </w:rPr>
              <w:t>any of the following methods:</w:t>
            </w:r>
          </w:p>
        </w:tc>
        <w:tc>
          <w:tcPr>
            <w:tcW w:w="1540" w:type="dxa"/>
            <w:vAlign w:val="bottom"/>
          </w:tcPr>
          <w:p>
            <w:pPr>
              <w:jc w:val="center"/>
              <w:spacing w:after="0"/>
              <w:rPr>
                <w:sz w:val="20"/>
                <w:szCs w:val="20"/>
                <w:color w:val="auto"/>
              </w:rPr>
            </w:pPr>
            <w:r>
              <w:rPr>
                <w:rFonts w:ascii="Arial" w:cs="Arial" w:eastAsia="Arial" w:hAnsi="Arial"/>
                <w:sz w:val="12"/>
                <w:szCs w:val="12"/>
                <w:color w:val="auto"/>
              </w:rPr>
              <w:t>Visit the website at:</w:t>
            </w:r>
          </w:p>
        </w:tc>
        <w:tc>
          <w:tcPr>
            <w:tcW w:w="1620" w:type="dxa"/>
            <w:vAlign w:val="bottom"/>
          </w:tcPr>
          <w:p>
            <w:pPr>
              <w:jc w:val="center"/>
              <w:ind w:left="18"/>
              <w:spacing w:after="0"/>
              <w:rPr>
                <w:sz w:val="20"/>
                <w:szCs w:val="20"/>
                <w:color w:val="auto"/>
              </w:rPr>
            </w:pPr>
            <w:r>
              <w:rPr>
                <w:rFonts w:ascii="Arial" w:cs="Arial" w:eastAsia="Arial" w:hAnsi="Arial"/>
                <w:sz w:val="12"/>
                <w:szCs w:val="12"/>
                <w:color w:val="auto"/>
              </w:rPr>
              <w:t>If you requested and</w:t>
            </w:r>
          </w:p>
        </w:tc>
        <w:tc>
          <w:tcPr>
            <w:tcW w:w="1800" w:type="dxa"/>
            <w:vAlign w:val="bottom"/>
          </w:tcPr>
          <w:p>
            <w:pPr>
              <w:jc w:val="center"/>
              <w:spacing w:after="0"/>
              <w:rPr>
                <w:sz w:val="20"/>
                <w:szCs w:val="20"/>
                <w:color w:val="auto"/>
              </w:rPr>
            </w:pPr>
            <w:r>
              <w:rPr>
                <w:rFonts w:ascii="Arial" w:cs="Arial" w:eastAsia="Arial" w:hAnsi="Arial"/>
                <w:sz w:val="12"/>
                <w:szCs w:val="12"/>
                <w:color w:val="auto"/>
              </w:rPr>
              <w:t>If you requested and</w:t>
            </w:r>
          </w:p>
        </w:tc>
        <w:tc>
          <w:tcPr>
            <w:tcW w:w="1880" w:type="dxa"/>
            <w:vAlign w:val="bottom"/>
          </w:tcPr>
          <w:p>
            <w:pPr>
              <w:jc w:val="center"/>
              <w:ind w:left="38"/>
              <w:spacing w:after="0"/>
              <w:rPr>
                <w:sz w:val="20"/>
                <w:szCs w:val="20"/>
                <w:color w:val="auto"/>
              </w:rPr>
            </w:pPr>
            <w:r>
              <w:rPr>
                <w:rFonts w:ascii="Arial" w:cs="Arial" w:eastAsia="Arial" w:hAnsi="Arial"/>
                <w:sz w:val="12"/>
                <w:szCs w:val="12"/>
                <w:color w:val="auto"/>
              </w:rPr>
              <w:t>Vote at the meeting by going to:</w:t>
            </w:r>
          </w:p>
        </w:tc>
      </w:tr>
      <w:tr>
        <w:trPr>
          <w:trHeight w:val="140"/>
        </w:trPr>
        <w:tc>
          <w:tcPr>
            <w:tcW w:w="4240" w:type="dxa"/>
            <w:vAlign w:val="bottom"/>
          </w:tcPr>
          <w:p>
            <w:pPr>
              <w:spacing w:after="0"/>
              <w:rPr>
                <w:sz w:val="12"/>
                <w:szCs w:val="12"/>
                <w:color w:val="auto"/>
              </w:rPr>
            </w:pPr>
          </w:p>
        </w:tc>
        <w:tc>
          <w:tcPr>
            <w:tcW w:w="1540" w:type="dxa"/>
            <w:vAlign w:val="bottom"/>
          </w:tcPr>
          <w:p>
            <w:pPr>
              <w:jc w:val="center"/>
              <w:spacing w:after="0"/>
              <w:rPr>
                <w:sz w:val="20"/>
                <w:szCs w:val="20"/>
                <w:color w:val="auto"/>
              </w:rPr>
            </w:pPr>
            <w:r>
              <w:rPr>
                <w:rFonts w:ascii="Arial" w:cs="Arial" w:eastAsia="Arial" w:hAnsi="Arial"/>
                <w:sz w:val="12"/>
                <w:szCs w:val="12"/>
                <w:color w:val="auto"/>
              </w:rPr>
              <w:t>www.proxyvote.com</w:t>
            </w:r>
          </w:p>
        </w:tc>
        <w:tc>
          <w:tcPr>
            <w:tcW w:w="1620" w:type="dxa"/>
            <w:vAlign w:val="bottom"/>
          </w:tcPr>
          <w:p>
            <w:pPr>
              <w:jc w:val="center"/>
              <w:ind w:left="18"/>
              <w:spacing w:after="0"/>
              <w:rPr>
                <w:sz w:val="20"/>
                <w:szCs w:val="20"/>
                <w:color w:val="auto"/>
              </w:rPr>
            </w:pPr>
            <w:r>
              <w:rPr>
                <w:rFonts w:ascii="Arial" w:cs="Arial" w:eastAsia="Arial" w:hAnsi="Arial"/>
                <w:sz w:val="12"/>
                <w:szCs w:val="12"/>
                <w:color w:val="auto"/>
              </w:rPr>
              <w:t>received a proxy card,</w:t>
            </w:r>
          </w:p>
        </w:tc>
        <w:tc>
          <w:tcPr>
            <w:tcW w:w="1800" w:type="dxa"/>
            <w:vAlign w:val="bottom"/>
          </w:tcPr>
          <w:p>
            <w:pPr>
              <w:jc w:val="center"/>
              <w:spacing w:after="0"/>
              <w:rPr>
                <w:sz w:val="20"/>
                <w:szCs w:val="20"/>
                <w:color w:val="auto"/>
              </w:rPr>
            </w:pPr>
            <w:r>
              <w:rPr>
                <w:rFonts w:ascii="Arial" w:cs="Arial" w:eastAsia="Arial" w:hAnsi="Arial"/>
                <w:sz w:val="12"/>
                <w:szCs w:val="12"/>
                <w:color w:val="auto"/>
              </w:rPr>
              <w:t>received a proxy card, sign,</w:t>
            </w:r>
          </w:p>
        </w:tc>
        <w:tc>
          <w:tcPr>
            <w:tcW w:w="1880" w:type="dxa"/>
            <w:vAlign w:val="bottom"/>
          </w:tcPr>
          <w:p>
            <w:pPr>
              <w:jc w:val="center"/>
              <w:ind w:left="58"/>
              <w:spacing w:after="0"/>
              <w:rPr>
                <w:sz w:val="20"/>
                <w:szCs w:val="20"/>
                <w:color w:val="auto"/>
              </w:rPr>
            </w:pPr>
            <w:r>
              <w:rPr>
                <w:rFonts w:ascii="Arial" w:cs="Arial" w:eastAsia="Arial" w:hAnsi="Arial"/>
                <w:sz w:val="12"/>
                <w:szCs w:val="12"/>
                <w:color w:val="auto"/>
              </w:rPr>
              <w:t>www.virtualshareholdermeeting.</w:t>
            </w:r>
          </w:p>
        </w:tc>
      </w:tr>
      <w:tr>
        <w:trPr>
          <w:trHeight w:val="140"/>
        </w:trPr>
        <w:tc>
          <w:tcPr>
            <w:tcW w:w="42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620" w:type="dxa"/>
            <w:vAlign w:val="bottom"/>
          </w:tcPr>
          <w:p>
            <w:pPr>
              <w:jc w:val="center"/>
              <w:ind w:left="18"/>
              <w:spacing w:after="0"/>
              <w:rPr>
                <w:sz w:val="20"/>
                <w:szCs w:val="20"/>
                <w:color w:val="auto"/>
              </w:rPr>
            </w:pPr>
            <w:r>
              <w:rPr>
                <w:rFonts w:ascii="Arial" w:cs="Arial" w:eastAsia="Arial" w:hAnsi="Arial"/>
                <w:sz w:val="12"/>
                <w:szCs w:val="12"/>
                <w:color w:val="auto"/>
              </w:rPr>
              <w:t>call toll-free at</w:t>
            </w:r>
          </w:p>
        </w:tc>
        <w:tc>
          <w:tcPr>
            <w:tcW w:w="1800" w:type="dxa"/>
            <w:vAlign w:val="bottom"/>
          </w:tcPr>
          <w:p>
            <w:pPr>
              <w:jc w:val="center"/>
              <w:spacing w:after="0"/>
              <w:rPr>
                <w:sz w:val="20"/>
                <w:szCs w:val="20"/>
                <w:color w:val="auto"/>
              </w:rPr>
            </w:pPr>
            <w:r>
              <w:rPr>
                <w:rFonts w:ascii="Arial" w:cs="Arial" w:eastAsia="Arial" w:hAnsi="Arial"/>
                <w:sz w:val="12"/>
                <w:szCs w:val="12"/>
                <w:color w:val="auto"/>
              </w:rPr>
              <w:t>date and mail the proxy</w:t>
            </w:r>
          </w:p>
        </w:tc>
        <w:tc>
          <w:tcPr>
            <w:tcW w:w="1880" w:type="dxa"/>
            <w:vAlign w:val="bottom"/>
          </w:tcPr>
          <w:p>
            <w:pPr>
              <w:jc w:val="center"/>
              <w:ind w:left="38"/>
              <w:spacing w:after="0"/>
              <w:rPr>
                <w:sz w:val="20"/>
                <w:szCs w:val="20"/>
                <w:color w:val="auto"/>
              </w:rPr>
            </w:pPr>
            <w:r>
              <w:rPr>
                <w:rFonts w:ascii="Arial" w:cs="Arial" w:eastAsia="Arial" w:hAnsi="Arial"/>
                <w:sz w:val="12"/>
                <w:szCs w:val="12"/>
                <w:color w:val="auto"/>
              </w:rPr>
              <w:t>com/RARE2025</w:t>
            </w:r>
          </w:p>
        </w:tc>
      </w:tr>
      <w:tr>
        <w:trPr>
          <w:trHeight w:val="140"/>
        </w:trPr>
        <w:tc>
          <w:tcPr>
            <w:tcW w:w="42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620" w:type="dxa"/>
            <w:vAlign w:val="bottom"/>
          </w:tcPr>
          <w:p>
            <w:pPr>
              <w:jc w:val="center"/>
              <w:ind w:left="18"/>
              <w:spacing w:after="0"/>
              <w:rPr>
                <w:sz w:val="20"/>
                <w:szCs w:val="20"/>
                <w:color w:val="auto"/>
              </w:rPr>
            </w:pPr>
            <w:r>
              <w:rPr>
                <w:rFonts w:ascii="Arial" w:cs="Arial" w:eastAsia="Arial" w:hAnsi="Arial"/>
                <w:sz w:val="12"/>
                <w:szCs w:val="12"/>
                <w:color w:val="auto"/>
              </w:rPr>
              <w:t>1-800-690-6903</w:t>
            </w:r>
          </w:p>
        </w:tc>
        <w:tc>
          <w:tcPr>
            <w:tcW w:w="1800" w:type="dxa"/>
            <w:vAlign w:val="bottom"/>
          </w:tcPr>
          <w:p>
            <w:pPr>
              <w:jc w:val="center"/>
              <w:spacing w:after="0"/>
              <w:rPr>
                <w:sz w:val="20"/>
                <w:szCs w:val="20"/>
                <w:color w:val="auto"/>
              </w:rPr>
            </w:pPr>
            <w:r>
              <w:rPr>
                <w:rFonts w:ascii="Arial" w:cs="Arial" w:eastAsia="Arial" w:hAnsi="Arial"/>
                <w:sz w:val="12"/>
                <w:szCs w:val="12"/>
                <w:color w:val="auto"/>
              </w:rPr>
              <w:t>card in the enclosed</w:t>
            </w:r>
          </w:p>
        </w:tc>
        <w:tc>
          <w:tcPr>
            <w:tcW w:w="1880" w:type="dxa"/>
            <w:vAlign w:val="bottom"/>
          </w:tcPr>
          <w:p>
            <w:pPr>
              <w:spacing w:after="0"/>
              <w:rPr>
                <w:sz w:val="12"/>
                <w:szCs w:val="12"/>
                <w:color w:val="auto"/>
              </w:rPr>
            </w:pPr>
          </w:p>
        </w:tc>
      </w:tr>
      <w:tr>
        <w:trPr>
          <w:trHeight w:val="164"/>
        </w:trPr>
        <w:tc>
          <w:tcPr>
            <w:tcW w:w="42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Arial" w:cs="Arial" w:eastAsia="Arial" w:hAnsi="Arial"/>
                <w:sz w:val="12"/>
                <w:szCs w:val="12"/>
                <w:color w:val="auto"/>
              </w:rPr>
              <w:t>envelope</w:t>
            </w:r>
          </w:p>
        </w:tc>
        <w:tc>
          <w:tcPr>
            <w:tcW w:w="1880" w:type="dxa"/>
            <w:vAlign w:val="bottom"/>
          </w:tcPr>
          <w:p>
            <w:pPr>
              <w:spacing w:after="0"/>
              <w:rPr>
                <w:sz w:val="14"/>
                <w:szCs w:val="14"/>
                <w:color w:val="auto"/>
              </w:rPr>
            </w:pPr>
          </w:p>
        </w:tc>
      </w:tr>
    </w:tbl>
    <w:p>
      <w:pPr>
        <w:spacing w:after="0" w:line="115" w:lineRule="exact"/>
        <w:rPr>
          <w:sz w:val="20"/>
          <w:szCs w:val="20"/>
          <w:color w:val="auto"/>
        </w:rPr>
      </w:pPr>
    </w:p>
    <w:p>
      <w:pPr>
        <w:ind w:left="80" w:right="420"/>
        <w:spacing w:after="0" w:line="299" w:lineRule="auto"/>
        <w:rPr>
          <w:sz w:val="20"/>
          <w:szCs w:val="20"/>
          <w:color w:val="auto"/>
        </w:rPr>
      </w:pPr>
      <w:r>
        <w:rPr>
          <w:rFonts w:ascii="Arial" w:cs="Arial" w:eastAsia="Arial" w:hAnsi="Arial"/>
          <w:sz w:val="12"/>
          <w:szCs w:val="12"/>
          <w:b w:val="1"/>
          <w:bCs w:val="1"/>
          <w:color w:val="auto"/>
        </w:rPr>
        <w:t>If you are a beneficial owner of shares held through a broker, bank or other owner of record, you must follow the voting instructions you receive from the owner of record to vote your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156845</wp:posOffset>
            </wp:positionV>
            <wp:extent cx="715073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0735" cy="29845"/>
                    </a:xfrm>
                    <a:prstGeom prst="rect">
                      <a:avLst/>
                    </a:prstGeom>
                    <a:noFill/>
                  </pic:spPr>
                </pic:pic>
              </a:graphicData>
            </a:graphic>
          </wp:anchor>
        </w:drawing>
      </w:r>
    </w:p>
    <w:p>
      <w:pPr>
        <w:sectPr>
          <w:pgSz w:w="11900" w:h="16838" w:orient="portrait"/>
          <w:cols w:equalWidth="0" w:num="1">
            <w:col w:w="11260"/>
          </w:cols>
          <w:pgMar w:left="320" w:top="372" w:right="319" w:bottom="144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color w:val="7CBD3F"/>
        </w:rPr>
        <w:drawing>
          <wp:anchor simplePos="0" relativeHeight="251657728" behindDoc="1" locked="0" layoutInCell="0" allowOverlap="1">
            <wp:simplePos x="0" y="0"/>
            <wp:positionH relativeFrom="page">
              <wp:posOffset>198755</wp:posOffset>
            </wp:positionH>
            <wp:positionV relativeFrom="page">
              <wp:posOffset>244475</wp:posOffset>
            </wp:positionV>
            <wp:extent cx="7150735" cy="69957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0735" cy="6995795"/>
                    </a:xfrm>
                    <a:prstGeom prst="rect">
                      <a:avLst/>
                    </a:prstGeom>
                    <a:noFill/>
                  </pic:spPr>
                </pic:pic>
              </a:graphicData>
            </a:graphic>
          </wp:anchor>
        </w:drawing>
        <w:t>Table of Contents</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520" w:type="dxa"/>
            <w:vAlign w:val="bottom"/>
          </w:tcPr>
          <w:p>
            <w:pPr>
              <w:spacing w:after="0"/>
              <w:rPr>
                <w:sz w:val="20"/>
                <w:szCs w:val="20"/>
                <w:color w:val="auto"/>
              </w:rPr>
            </w:pPr>
            <w:r>
              <w:rPr>
                <w:rFonts w:ascii="Arial" w:cs="Arial" w:eastAsia="Arial" w:hAnsi="Arial"/>
                <w:sz w:val="16"/>
                <w:szCs w:val="16"/>
                <w:b w:val="1"/>
                <w:bCs w:val="1"/>
                <w:color w:val="7CBD3F"/>
              </w:rPr>
              <w:t>Proxy Statement Overview</w:t>
            </w:r>
          </w:p>
        </w:tc>
        <w:tc>
          <w:tcPr>
            <w:tcW w:w="1360" w:type="dxa"/>
            <w:vAlign w:val="bottom"/>
          </w:tcPr>
          <w:p>
            <w:pPr>
              <w:jc w:val="right"/>
              <w:spacing w:after="0"/>
              <w:rPr>
                <w:sz w:val="20"/>
                <w:szCs w:val="20"/>
                <w:color w:val="auto"/>
              </w:rPr>
            </w:pPr>
            <w:r>
              <w:rPr>
                <w:rFonts w:ascii="Arial" w:cs="Arial" w:eastAsia="Arial" w:hAnsi="Arial"/>
                <w:sz w:val="16"/>
                <w:szCs w:val="16"/>
                <w:b w:val="1"/>
                <w:bCs w:val="1"/>
                <w:color w:val="7CBD3F"/>
              </w:rPr>
              <w:t>4</w:t>
            </w:r>
          </w:p>
        </w:tc>
      </w:tr>
      <w:tr>
        <w:trPr>
          <w:trHeight w:val="219"/>
        </w:trPr>
        <w:tc>
          <w:tcPr>
            <w:tcW w:w="9520" w:type="dxa"/>
            <w:vAlign w:val="bottom"/>
          </w:tcPr>
          <w:p>
            <w:pPr>
              <w:spacing w:after="0"/>
              <w:rPr>
                <w:sz w:val="20"/>
                <w:szCs w:val="20"/>
                <w:color w:val="auto"/>
              </w:rPr>
            </w:pPr>
            <w:r>
              <w:rPr>
                <w:rFonts w:ascii="Arial" w:cs="Arial" w:eastAsia="Arial" w:hAnsi="Arial"/>
                <w:sz w:val="14"/>
                <w:szCs w:val="14"/>
                <w:color w:val="auto"/>
              </w:rPr>
              <w:t>Meeting and Voting Information</w:t>
            </w:r>
          </w:p>
        </w:tc>
        <w:tc>
          <w:tcPr>
            <w:tcW w:w="136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187"/>
        </w:trPr>
        <w:tc>
          <w:tcPr>
            <w:tcW w:w="9520" w:type="dxa"/>
            <w:vAlign w:val="bottom"/>
          </w:tcPr>
          <w:p>
            <w:pPr>
              <w:spacing w:after="0"/>
              <w:rPr>
                <w:sz w:val="20"/>
                <w:szCs w:val="20"/>
                <w:color w:val="auto"/>
              </w:rPr>
            </w:pPr>
            <w:r>
              <w:rPr>
                <w:rFonts w:ascii="Arial" w:cs="Arial" w:eastAsia="Arial" w:hAnsi="Arial"/>
                <w:sz w:val="14"/>
                <w:szCs w:val="14"/>
                <w:color w:val="auto"/>
              </w:rPr>
              <w:t>Business Highlights</w:t>
            </w:r>
          </w:p>
        </w:tc>
        <w:tc>
          <w:tcPr>
            <w:tcW w:w="136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187"/>
        </w:trPr>
        <w:tc>
          <w:tcPr>
            <w:tcW w:w="9520" w:type="dxa"/>
            <w:vAlign w:val="bottom"/>
          </w:tcPr>
          <w:p>
            <w:pPr>
              <w:spacing w:after="0"/>
              <w:rPr>
                <w:sz w:val="20"/>
                <w:szCs w:val="20"/>
                <w:color w:val="auto"/>
              </w:rPr>
            </w:pPr>
            <w:r>
              <w:rPr>
                <w:rFonts w:ascii="Arial" w:cs="Arial" w:eastAsia="Arial" w:hAnsi="Arial"/>
                <w:sz w:val="14"/>
                <w:szCs w:val="14"/>
                <w:color w:val="auto"/>
              </w:rPr>
              <w:t>Board of Directors</w:t>
            </w:r>
          </w:p>
        </w:tc>
        <w:tc>
          <w:tcPr>
            <w:tcW w:w="136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187"/>
        </w:trPr>
        <w:tc>
          <w:tcPr>
            <w:tcW w:w="9520" w:type="dxa"/>
            <w:vAlign w:val="bottom"/>
          </w:tcPr>
          <w:p>
            <w:pPr>
              <w:spacing w:after="0"/>
              <w:rPr>
                <w:sz w:val="20"/>
                <w:szCs w:val="20"/>
                <w:color w:val="auto"/>
              </w:rPr>
            </w:pPr>
            <w:r>
              <w:rPr>
                <w:rFonts w:ascii="Arial" w:cs="Arial" w:eastAsia="Arial" w:hAnsi="Arial"/>
                <w:sz w:val="14"/>
                <w:szCs w:val="14"/>
                <w:color w:val="auto"/>
              </w:rPr>
              <w:t>Building the Right Board</w:t>
            </w:r>
          </w:p>
        </w:tc>
        <w:tc>
          <w:tcPr>
            <w:tcW w:w="136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187"/>
        </w:trPr>
        <w:tc>
          <w:tcPr>
            <w:tcW w:w="9520" w:type="dxa"/>
            <w:vAlign w:val="bottom"/>
          </w:tcPr>
          <w:p>
            <w:pPr>
              <w:spacing w:after="0"/>
              <w:rPr>
                <w:sz w:val="20"/>
                <w:szCs w:val="20"/>
                <w:color w:val="auto"/>
              </w:rPr>
            </w:pPr>
            <w:r>
              <w:rPr>
                <w:rFonts w:ascii="Arial" w:cs="Arial" w:eastAsia="Arial" w:hAnsi="Arial"/>
                <w:sz w:val="14"/>
                <w:szCs w:val="14"/>
                <w:color w:val="auto"/>
              </w:rPr>
              <w:t>Corporate Governance Overview</w:t>
            </w:r>
          </w:p>
        </w:tc>
        <w:tc>
          <w:tcPr>
            <w:tcW w:w="136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340"/>
        </w:trPr>
        <w:tc>
          <w:tcPr>
            <w:tcW w:w="9520" w:type="dxa"/>
            <w:vAlign w:val="bottom"/>
          </w:tcPr>
          <w:p>
            <w:pPr>
              <w:spacing w:after="0"/>
              <w:rPr>
                <w:sz w:val="20"/>
                <w:szCs w:val="20"/>
                <w:color w:val="auto"/>
              </w:rPr>
            </w:pPr>
            <w:r>
              <w:rPr>
                <w:rFonts w:ascii="Arial" w:cs="Arial" w:eastAsia="Arial" w:hAnsi="Arial"/>
                <w:sz w:val="16"/>
                <w:szCs w:val="16"/>
                <w:b w:val="1"/>
                <w:bCs w:val="1"/>
                <w:color w:val="7CBD3F"/>
              </w:rPr>
              <w:t>Proposal 1 – Election of Class III Directors</w:t>
            </w:r>
          </w:p>
        </w:tc>
        <w:tc>
          <w:tcPr>
            <w:tcW w:w="1360" w:type="dxa"/>
            <w:vAlign w:val="bottom"/>
          </w:tcPr>
          <w:p>
            <w:pPr>
              <w:jc w:val="right"/>
              <w:spacing w:after="0"/>
              <w:rPr>
                <w:sz w:val="20"/>
                <w:szCs w:val="20"/>
                <w:color w:val="auto"/>
              </w:rPr>
            </w:pPr>
            <w:r>
              <w:rPr>
                <w:rFonts w:ascii="Arial" w:cs="Arial" w:eastAsia="Arial" w:hAnsi="Arial"/>
                <w:sz w:val="16"/>
                <w:szCs w:val="16"/>
                <w:b w:val="1"/>
                <w:bCs w:val="1"/>
                <w:color w:val="7CBD3F"/>
              </w:rPr>
              <w:t>8</w:t>
            </w:r>
          </w:p>
        </w:tc>
      </w:tr>
      <w:tr>
        <w:trPr>
          <w:trHeight w:val="315"/>
        </w:trPr>
        <w:tc>
          <w:tcPr>
            <w:tcW w:w="9520" w:type="dxa"/>
            <w:vAlign w:val="bottom"/>
          </w:tcPr>
          <w:p>
            <w:pPr>
              <w:spacing w:after="0"/>
              <w:rPr>
                <w:sz w:val="20"/>
                <w:szCs w:val="20"/>
                <w:color w:val="auto"/>
              </w:rPr>
            </w:pPr>
            <w:r>
              <w:rPr>
                <w:rFonts w:ascii="Arial" w:cs="Arial" w:eastAsia="Arial" w:hAnsi="Arial"/>
                <w:sz w:val="16"/>
                <w:szCs w:val="16"/>
                <w:b w:val="1"/>
                <w:bCs w:val="1"/>
                <w:color w:val="7CBD3F"/>
              </w:rPr>
              <w:t>Proposal 2 – Approval of the Ultragenyx Pharmaceutical Inc. Second Amended and Restated 2023 Incentive Plan</w:t>
            </w:r>
          </w:p>
        </w:tc>
        <w:tc>
          <w:tcPr>
            <w:tcW w:w="1360" w:type="dxa"/>
            <w:vAlign w:val="bottom"/>
          </w:tcPr>
          <w:p>
            <w:pPr>
              <w:jc w:val="right"/>
              <w:spacing w:after="0"/>
              <w:rPr>
                <w:sz w:val="20"/>
                <w:szCs w:val="20"/>
                <w:color w:val="auto"/>
              </w:rPr>
            </w:pPr>
            <w:r>
              <w:rPr>
                <w:rFonts w:ascii="Arial" w:cs="Arial" w:eastAsia="Arial" w:hAnsi="Arial"/>
                <w:sz w:val="16"/>
                <w:szCs w:val="16"/>
                <w:b w:val="1"/>
                <w:bCs w:val="1"/>
                <w:color w:val="7CBD3F"/>
              </w:rPr>
              <w:t>13</w:t>
            </w:r>
          </w:p>
        </w:tc>
      </w:tr>
      <w:tr>
        <w:trPr>
          <w:trHeight w:val="315"/>
        </w:trPr>
        <w:tc>
          <w:tcPr>
            <w:tcW w:w="9520" w:type="dxa"/>
            <w:vAlign w:val="bottom"/>
          </w:tcPr>
          <w:p>
            <w:pPr>
              <w:spacing w:after="0"/>
              <w:rPr>
                <w:sz w:val="20"/>
                <w:szCs w:val="20"/>
                <w:color w:val="auto"/>
              </w:rPr>
            </w:pPr>
            <w:r>
              <w:rPr>
                <w:rFonts w:ascii="Arial" w:cs="Arial" w:eastAsia="Arial" w:hAnsi="Arial"/>
                <w:sz w:val="16"/>
                <w:szCs w:val="16"/>
                <w:b w:val="1"/>
                <w:bCs w:val="1"/>
                <w:color w:val="7CBD3F"/>
              </w:rPr>
              <w:t>Proposal 3 – Ratification of the Selection of Independent Registered Public Accounting Firm</w:t>
            </w:r>
          </w:p>
        </w:tc>
        <w:tc>
          <w:tcPr>
            <w:tcW w:w="1360" w:type="dxa"/>
            <w:vAlign w:val="bottom"/>
          </w:tcPr>
          <w:p>
            <w:pPr>
              <w:jc w:val="right"/>
              <w:spacing w:after="0"/>
              <w:rPr>
                <w:sz w:val="20"/>
                <w:szCs w:val="20"/>
                <w:color w:val="auto"/>
              </w:rPr>
            </w:pPr>
            <w:r>
              <w:rPr>
                <w:rFonts w:ascii="Arial" w:cs="Arial" w:eastAsia="Arial" w:hAnsi="Arial"/>
                <w:sz w:val="16"/>
                <w:szCs w:val="16"/>
                <w:b w:val="1"/>
                <w:bCs w:val="1"/>
                <w:color w:val="7CBD3F"/>
              </w:rPr>
              <w:t>22</w:t>
            </w:r>
          </w:p>
        </w:tc>
      </w:tr>
      <w:tr>
        <w:trPr>
          <w:trHeight w:val="315"/>
        </w:trPr>
        <w:tc>
          <w:tcPr>
            <w:tcW w:w="9520" w:type="dxa"/>
            <w:vAlign w:val="bottom"/>
          </w:tcPr>
          <w:p>
            <w:pPr>
              <w:spacing w:after="0"/>
              <w:rPr>
                <w:sz w:val="20"/>
                <w:szCs w:val="20"/>
                <w:color w:val="auto"/>
              </w:rPr>
            </w:pPr>
            <w:r>
              <w:rPr>
                <w:rFonts w:ascii="Arial" w:cs="Arial" w:eastAsia="Arial" w:hAnsi="Arial"/>
                <w:sz w:val="16"/>
                <w:szCs w:val="16"/>
                <w:b w:val="1"/>
                <w:bCs w:val="1"/>
                <w:color w:val="7CBD3F"/>
              </w:rPr>
              <w:t>Report of the Audit Committee</w:t>
            </w:r>
          </w:p>
        </w:tc>
        <w:tc>
          <w:tcPr>
            <w:tcW w:w="1360" w:type="dxa"/>
            <w:vAlign w:val="bottom"/>
          </w:tcPr>
          <w:p>
            <w:pPr>
              <w:jc w:val="right"/>
              <w:spacing w:after="0"/>
              <w:rPr>
                <w:sz w:val="20"/>
                <w:szCs w:val="20"/>
                <w:color w:val="auto"/>
              </w:rPr>
            </w:pPr>
            <w:r>
              <w:rPr>
                <w:rFonts w:ascii="Arial" w:cs="Arial" w:eastAsia="Arial" w:hAnsi="Arial"/>
                <w:sz w:val="16"/>
                <w:szCs w:val="16"/>
                <w:b w:val="1"/>
                <w:bCs w:val="1"/>
                <w:color w:val="7CBD3F"/>
              </w:rPr>
              <w:t>24</w:t>
            </w:r>
          </w:p>
        </w:tc>
      </w:tr>
      <w:tr>
        <w:trPr>
          <w:trHeight w:val="315"/>
        </w:trPr>
        <w:tc>
          <w:tcPr>
            <w:tcW w:w="9520" w:type="dxa"/>
            <w:vAlign w:val="bottom"/>
          </w:tcPr>
          <w:p>
            <w:pPr>
              <w:spacing w:after="0"/>
              <w:rPr>
                <w:sz w:val="20"/>
                <w:szCs w:val="20"/>
                <w:color w:val="auto"/>
              </w:rPr>
            </w:pPr>
            <w:r>
              <w:rPr>
                <w:rFonts w:ascii="Arial" w:cs="Arial" w:eastAsia="Arial" w:hAnsi="Arial"/>
                <w:sz w:val="16"/>
                <w:szCs w:val="16"/>
                <w:b w:val="1"/>
                <w:bCs w:val="1"/>
                <w:color w:val="7CBD3F"/>
              </w:rPr>
              <w:t>Proposal 4 – Advisory (Non-Binding) Vote to Approve the Compensation of our Named Executive Officers</w:t>
            </w:r>
          </w:p>
        </w:tc>
        <w:tc>
          <w:tcPr>
            <w:tcW w:w="1360" w:type="dxa"/>
            <w:vAlign w:val="bottom"/>
          </w:tcPr>
          <w:p>
            <w:pPr>
              <w:jc w:val="right"/>
              <w:spacing w:after="0"/>
              <w:rPr>
                <w:sz w:val="20"/>
                <w:szCs w:val="20"/>
                <w:color w:val="auto"/>
              </w:rPr>
            </w:pPr>
            <w:r>
              <w:rPr>
                <w:rFonts w:ascii="Arial" w:cs="Arial" w:eastAsia="Arial" w:hAnsi="Arial"/>
                <w:sz w:val="16"/>
                <w:szCs w:val="16"/>
                <w:b w:val="1"/>
                <w:bCs w:val="1"/>
                <w:color w:val="7CBD3F"/>
              </w:rPr>
              <w:t>25</w:t>
            </w:r>
          </w:p>
        </w:tc>
      </w:tr>
      <w:tr>
        <w:trPr>
          <w:trHeight w:val="315"/>
        </w:trPr>
        <w:tc>
          <w:tcPr>
            <w:tcW w:w="9520" w:type="dxa"/>
            <w:vAlign w:val="bottom"/>
          </w:tcPr>
          <w:p>
            <w:pPr>
              <w:spacing w:after="0"/>
              <w:rPr>
                <w:sz w:val="20"/>
                <w:szCs w:val="20"/>
                <w:color w:val="auto"/>
              </w:rPr>
            </w:pPr>
            <w:r>
              <w:rPr>
                <w:rFonts w:ascii="Arial" w:cs="Arial" w:eastAsia="Arial" w:hAnsi="Arial"/>
                <w:sz w:val="16"/>
                <w:szCs w:val="16"/>
                <w:b w:val="1"/>
                <w:bCs w:val="1"/>
                <w:color w:val="7CBD3F"/>
              </w:rPr>
              <w:t>Corporate Governance</w:t>
            </w:r>
          </w:p>
        </w:tc>
        <w:tc>
          <w:tcPr>
            <w:tcW w:w="1360" w:type="dxa"/>
            <w:vAlign w:val="bottom"/>
          </w:tcPr>
          <w:p>
            <w:pPr>
              <w:jc w:val="right"/>
              <w:spacing w:after="0"/>
              <w:rPr>
                <w:sz w:val="20"/>
                <w:szCs w:val="20"/>
                <w:color w:val="auto"/>
              </w:rPr>
            </w:pPr>
            <w:r>
              <w:rPr>
                <w:rFonts w:ascii="Arial" w:cs="Arial" w:eastAsia="Arial" w:hAnsi="Arial"/>
                <w:sz w:val="16"/>
                <w:szCs w:val="16"/>
                <w:b w:val="1"/>
                <w:bCs w:val="1"/>
                <w:color w:val="7CBD3F"/>
              </w:rPr>
              <w:t>26</w:t>
            </w:r>
          </w:p>
        </w:tc>
      </w:tr>
      <w:tr>
        <w:trPr>
          <w:trHeight w:val="315"/>
        </w:trPr>
        <w:tc>
          <w:tcPr>
            <w:tcW w:w="9520" w:type="dxa"/>
            <w:vAlign w:val="bottom"/>
          </w:tcPr>
          <w:p>
            <w:pPr>
              <w:spacing w:after="0"/>
              <w:rPr>
                <w:sz w:val="20"/>
                <w:szCs w:val="20"/>
                <w:color w:val="auto"/>
              </w:rPr>
            </w:pPr>
            <w:r>
              <w:rPr>
                <w:rFonts w:ascii="Arial" w:cs="Arial" w:eastAsia="Arial" w:hAnsi="Arial"/>
                <w:sz w:val="16"/>
                <w:szCs w:val="16"/>
                <w:b w:val="1"/>
                <w:bCs w:val="1"/>
                <w:color w:val="7CBD3F"/>
              </w:rPr>
              <w:t>Board of Directors and Committees</w:t>
            </w:r>
          </w:p>
        </w:tc>
        <w:tc>
          <w:tcPr>
            <w:tcW w:w="1360" w:type="dxa"/>
            <w:vAlign w:val="bottom"/>
          </w:tcPr>
          <w:p>
            <w:pPr>
              <w:jc w:val="right"/>
              <w:spacing w:after="0"/>
              <w:rPr>
                <w:sz w:val="20"/>
                <w:szCs w:val="20"/>
                <w:color w:val="auto"/>
              </w:rPr>
            </w:pPr>
            <w:r>
              <w:rPr>
                <w:rFonts w:ascii="Arial" w:cs="Arial" w:eastAsia="Arial" w:hAnsi="Arial"/>
                <w:sz w:val="16"/>
                <w:szCs w:val="16"/>
                <w:b w:val="1"/>
                <w:bCs w:val="1"/>
                <w:color w:val="7CBD3F"/>
              </w:rPr>
              <w:t>27</w:t>
            </w:r>
          </w:p>
        </w:tc>
      </w:tr>
      <w:tr>
        <w:trPr>
          <w:trHeight w:val="315"/>
        </w:trPr>
        <w:tc>
          <w:tcPr>
            <w:tcW w:w="9520" w:type="dxa"/>
            <w:vAlign w:val="bottom"/>
          </w:tcPr>
          <w:p>
            <w:pPr>
              <w:spacing w:after="0"/>
              <w:rPr>
                <w:sz w:val="20"/>
                <w:szCs w:val="20"/>
                <w:color w:val="auto"/>
              </w:rPr>
            </w:pPr>
            <w:r>
              <w:rPr>
                <w:rFonts w:ascii="Arial" w:cs="Arial" w:eastAsia="Arial" w:hAnsi="Arial"/>
                <w:sz w:val="16"/>
                <w:szCs w:val="16"/>
                <w:b w:val="1"/>
                <w:bCs w:val="1"/>
                <w:color w:val="7CBD3F"/>
              </w:rPr>
              <w:t>Impact Report</w:t>
            </w:r>
          </w:p>
        </w:tc>
        <w:tc>
          <w:tcPr>
            <w:tcW w:w="1360" w:type="dxa"/>
            <w:vAlign w:val="bottom"/>
          </w:tcPr>
          <w:p>
            <w:pPr>
              <w:jc w:val="right"/>
              <w:spacing w:after="0"/>
              <w:rPr>
                <w:sz w:val="20"/>
                <w:szCs w:val="20"/>
                <w:color w:val="auto"/>
              </w:rPr>
            </w:pPr>
            <w:r>
              <w:rPr>
                <w:rFonts w:ascii="Arial" w:cs="Arial" w:eastAsia="Arial" w:hAnsi="Arial"/>
                <w:sz w:val="16"/>
                <w:szCs w:val="16"/>
                <w:b w:val="1"/>
                <w:bCs w:val="1"/>
                <w:color w:val="7CBD3F"/>
              </w:rPr>
              <w:t>31</w:t>
            </w:r>
          </w:p>
        </w:tc>
      </w:tr>
      <w:tr>
        <w:trPr>
          <w:trHeight w:val="315"/>
        </w:trPr>
        <w:tc>
          <w:tcPr>
            <w:tcW w:w="9520" w:type="dxa"/>
            <w:vAlign w:val="bottom"/>
          </w:tcPr>
          <w:p>
            <w:pPr>
              <w:spacing w:after="0"/>
              <w:rPr>
                <w:sz w:val="20"/>
                <w:szCs w:val="20"/>
                <w:color w:val="auto"/>
              </w:rPr>
            </w:pPr>
            <w:r>
              <w:rPr>
                <w:rFonts w:ascii="Arial" w:cs="Arial" w:eastAsia="Arial" w:hAnsi="Arial"/>
                <w:sz w:val="16"/>
                <w:szCs w:val="16"/>
                <w:b w:val="1"/>
                <w:bCs w:val="1"/>
                <w:color w:val="7CBD3F"/>
              </w:rPr>
              <w:t>Executive Officers</w:t>
            </w:r>
          </w:p>
        </w:tc>
        <w:tc>
          <w:tcPr>
            <w:tcW w:w="1360" w:type="dxa"/>
            <w:vAlign w:val="bottom"/>
          </w:tcPr>
          <w:p>
            <w:pPr>
              <w:jc w:val="right"/>
              <w:spacing w:after="0"/>
              <w:rPr>
                <w:sz w:val="20"/>
                <w:szCs w:val="20"/>
                <w:color w:val="auto"/>
              </w:rPr>
            </w:pPr>
            <w:r>
              <w:rPr>
                <w:rFonts w:ascii="Arial" w:cs="Arial" w:eastAsia="Arial" w:hAnsi="Arial"/>
                <w:sz w:val="16"/>
                <w:szCs w:val="16"/>
                <w:b w:val="1"/>
                <w:bCs w:val="1"/>
                <w:color w:val="7CBD3F"/>
              </w:rPr>
              <w:t>32</w:t>
            </w:r>
          </w:p>
        </w:tc>
      </w:tr>
      <w:tr>
        <w:trPr>
          <w:trHeight w:val="315"/>
        </w:trPr>
        <w:tc>
          <w:tcPr>
            <w:tcW w:w="9520" w:type="dxa"/>
            <w:vAlign w:val="bottom"/>
          </w:tcPr>
          <w:p>
            <w:pPr>
              <w:spacing w:after="0"/>
              <w:rPr>
                <w:sz w:val="20"/>
                <w:szCs w:val="20"/>
                <w:color w:val="auto"/>
              </w:rPr>
            </w:pPr>
            <w:r>
              <w:rPr>
                <w:rFonts w:ascii="Arial" w:cs="Arial" w:eastAsia="Arial" w:hAnsi="Arial"/>
                <w:sz w:val="16"/>
                <w:szCs w:val="16"/>
                <w:b w:val="1"/>
                <w:bCs w:val="1"/>
                <w:color w:val="7CBD3F"/>
              </w:rPr>
              <w:t>Certain Relationships and Related-Person Transactions</w:t>
            </w:r>
          </w:p>
        </w:tc>
        <w:tc>
          <w:tcPr>
            <w:tcW w:w="1360" w:type="dxa"/>
            <w:vAlign w:val="bottom"/>
          </w:tcPr>
          <w:p>
            <w:pPr>
              <w:jc w:val="right"/>
              <w:spacing w:after="0"/>
              <w:rPr>
                <w:sz w:val="20"/>
                <w:szCs w:val="20"/>
                <w:color w:val="auto"/>
              </w:rPr>
            </w:pPr>
            <w:r>
              <w:rPr>
                <w:rFonts w:ascii="Arial" w:cs="Arial" w:eastAsia="Arial" w:hAnsi="Arial"/>
                <w:sz w:val="16"/>
                <w:szCs w:val="16"/>
                <w:b w:val="1"/>
                <w:bCs w:val="1"/>
                <w:color w:val="7CBD3F"/>
              </w:rPr>
              <w:t>34</w:t>
            </w:r>
          </w:p>
        </w:tc>
      </w:tr>
      <w:tr>
        <w:trPr>
          <w:trHeight w:val="315"/>
        </w:trPr>
        <w:tc>
          <w:tcPr>
            <w:tcW w:w="9520" w:type="dxa"/>
            <w:vAlign w:val="bottom"/>
          </w:tcPr>
          <w:p>
            <w:pPr>
              <w:spacing w:after="0"/>
              <w:rPr>
                <w:sz w:val="20"/>
                <w:szCs w:val="20"/>
                <w:color w:val="auto"/>
              </w:rPr>
            </w:pPr>
            <w:r>
              <w:rPr>
                <w:rFonts w:ascii="Arial" w:cs="Arial" w:eastAsia="Arial" w:hAnsi="Arial"/>
                <w:sz w:val="16"/>
                <w:szCs w:val="16"/>
                <w:b w:val="1"/>
                <w:bCs w:val="1"/>
                <w:color w:val="7CBD3F"/>
              </w:rPr>
              <w:t>Security Ownership of Certain Beneficial Owners and Management</w:t>
            </w:r>
          </w:p>
        </w:tc>
        <w:tc>
          <w:tcPr>
            <w:tcW w:w="1360" w:type="dxa"/>
            <w:vAlign w:val="bottom"/>
          </w:tcPr>
          <w:p>
            <w:pPr>
              <w:jc w:val="right"/>
              <w:spacing w:after="0"/>
              <w:rPr>
                <w:sz w:val="20"/>
                <w:szCs w:val="20"/>
                <w:color w:val="auto"/>
              </w:rPr>
            </w:pPr>
            <w:r>
              <w:rPr>
                <w:rFonts w:ascii="Arial" w:cs="Arial" w:eastAsia="Arial" w:hAnsi="Arial"/>
                <w:sz w:val="16"/>
                <w:szCs w:val="16"/>
                <w:b w:val="1"/>
                <w:bCs w:val="1"/>
                <w:color w:val="7CBD3F"/>
              </w:rPr>
              <w:t>35</w:t>
            </w:r>
          </w:p>
        </w:tc>
      </w:tr>
      <w:tr>
        <w:trPr>
          <w:trHeight w:val="315"/>
        </w:trPr>
        <w:tc>
          <w:tcPr>
            <w:tcW w:w="9520" w:type="dxa"/>
            <w:vAlign w:val="bottom"/>
          </w:tcPr>
          <w:p>
            <w:pPr>
              <w:spacing w:after="0"/>
              <w:rPr>
                <w:sz w:val="20"/>
                <w:szCs w:val="20"/>
                <w:color w:val="auto"/>
              </w:rPr>
            </w:pPr>
            <w:r>
              <w:rPr>
                <w:rFonts w:ascii="Arial" w:cs="Arial" w:eastAsia="Arial" w:hAnsi="Arial"/>
                <w:sz w:val="16"/>
                <w:szCs w:val="16"/>
                <w:b w:val="1"/>
                <w:bCs w:val="1"/>
                <w:color w:val="7CBD3F"/>
              </w:rPr>
              <w:t>Executive Compensation</w:t>
            </w:r>
          </w:p>
        </w:tc>
        <w:tc>
          <w:tcPr>
            <w:tcW w:w="1360" w:type="dxa"/>
            <w:vAlign w:val="bottom"/>
          </w:tcPr>
          <w:p>
            <w:pPr>
              <w:jc w:val="right"/>
              <w:spacing w:after="0"/>
              <w:rPr>
                <w:sz w:val="20"/>
                <w:szCs w:val="20"/>
                <w:color w:val="auto"/>
              </w:rPr>
            </w:pPr>
            <w:r>
              <w:rPr>
                <w:rFonts w:ascii="Arial" w:cs="Arial" w:eastAsia="Arial" w:hAnsi="Arial"/>
                <w:sz w:val="16"/>
                <w:szCs w:val="16"/>
                <w:b w:val="1"/>
                <w:bCs w:val="1"/>
                <w:color w:val="7CBD3F"/>
              </w:rPr>
              <w:t>37</w:t>
            </w:r>
          </w:p>
        </w:tc>
      </w:tr>
      <w:tr>
        <w:trPr>
          <w:trHeight w:val="289"/>
        </w:trPr>
        <w:tc>
          <w:tcPr>
            <w:tcW w:w="9520" w:type="dxa"/>
            <w:vAlign w:val="bottom"/>
          </w:tcPr>
          <w:p>
            <w:pPr>
              <w:spacing w:after="0"/>
              <w:rPr>
                <w:sz w:val="20"/>
                <w:szCs w:val="20"/>
                <w:color w:val="auto"/>
              </w:rPr>
            </w:pPr>
            <w:r>
              <w:rPr>
                <w:rFonts w:ascii="Arial" w:cs="Arial" w:eastAsia="Arial" w:hAnsi="Arial"/>
                <w:sz w:val="14"/>
                <w:szCs w:val="14"/>
                <w:color w:val="auto"/>
              </w:rPr>
              <w:t>Compensation Discussion and Analysis</w:t>
            </w:r>
          </w:p>
        </w:tc>
        <w:tc>
          <w:tcPr>
            <w:tcW w:w="1360" w:type="dxa"/>
            <w:vAlign w:val="bottom"/>
          </w:tcPr>
          <w:p>
            <w:pPr>
              <w:jc w:val="right"/>
              <w:spacing w:after="0"/>
              <w:rPr>
                <w:sz w:val="20"/>
                <w:szCs w:val="20"/>
                <w:color w:val="auto"/>
              </w:rPr>
            </w:pPr>
            <w:r>
              <w:rPr>
                <w:rFonts w:ascii="Arial" w:cs="Arial" w:eastAsia="Arial" w:hAnsi="Arial"/>
                <w:sz w:val="14"/>
                <w:szCs w:val="14"/>
                <w:color w:val="auto"/>
              </w:rPr>
              <w:t>37</w:t>
            </w:r>
          </w:p>
        </w:tc>
      </w:tr>
      <w:tr>
        <w:trPr>
          <w:trHeight w:val="187"/>
        </w:trPr>
        <w:tc>
          <w:tcPr>
            <w:tcW w:w="9520" w:type="dxa"/>
            <w:vAlign w:val="bottom"/>
          </w:tcPr>
          <w:p>
            <w:pPr>
              <w:spacing w:after="0"/>
              <w:rPr>
                <w:sz w:val="20"/>
                <w:szCs w:val="20"/>
                <w:color w:val="auto"/>
              </w:rPr>
            </w:pPr>
            <w:r>
              <w:rPr>
                <w:rFonts w:ascii="Arial" w:cs="Arial" w:eastAsia="Arial" w:hAnsi="Arial"/>
                <w:sz w:val="14"/>
                <w:szCs w:val="14"/>
                <w:color w:val="auto"/>
              </w:rPr>
              <w:t>Fiscal 2025 Compensation</w:t>
            </w:r>
          </w:p>
        </w:tc>
        <w:tc>
          <w:tcPr>
            <w:tcW w:w="1360" w:type="dxa"/>
            <w:vAlign w:val="bottom"/>
          </w:tcPr>
          <w:p>
            <w:pPr>
              <w:jc w:val="right"/>
              <w:spacing w:after="0"/>
              <w:rPr>
                <w:sz w:val="20"/>
                <w:szCs w:val="20"/>
                <w:color w:val="auto"/>
              </w:rPr>
            </w:pPr>
            <w:r>
              <w:rPr>
                <w:rFonts w:ascii="Arial" w:cs="Arial" w:eastAsia="Arial" w:hAnsi="Arial"/>
                <w:sz w:val="14"/>
                <w:szCs w:val="14"/>
                <w:color w:val="auto"/>
              </w:rPr>
              <w:t>49</w:t>
            </w:r>
          </w:p>
        </w:tc>
      </w:tr>
      <w:tr>
        <w:trPr>
          <w:trHeight w:val="187"/>
        </w:trPr>
        <w:tc>
          <w:tcPr>
            <w:tcW w:w="9520" w:type="dxa"/>
            <w:vAlign w:val="bottom"/>
          </w:tcPr>
          <w:p>
            <w:pPr>
              <w:spacing w:after="0"/>
              <w:rPr>
                <w:sz w:val="20"/>
                <w:szCs w:val="20"/>
                <w:color w:val="auto"/>
              </w:rPr>
            </w:pPr>
            <w:r>
              <w:rPr>
                <w:rFonts w:ascii="Arial" w:cs="Arial" w:eastAsia="Arial" w:hAnsi="Arial"/>
                <w:sz w:val="14"/>
                <w:szCs w:val="14"/>
                <w:color w:val="auto"/>
              </w:rPr>
              <w:t>Risk Management and Mitigation</w:t>
            </w:r>
          </w:p>
        </w:tc>
        <w:tc>
          <w:tcPr>
            <w:tcW w:w="1360" w:type="dxa"/>
            <w:vAlign w:val="bottom"/>
          </w:tcPr>
          <w:p>
            <w:pPr>
              <w:jc w:val="right"/>
              <w:spacing w:after="0"/>
              <w:rPr>
                <w:sz w:val="20"/>
                <w:szCs w:val="20"/>
                <w:color w:val="auto"/>
              </w:rPr>
            </w:pPr>
            <w:r>
              <w:rPr>
                <w:rFonts w:ascii="Arial" w:cs="Arial" w:eastAsia="Arial" w:hAnsi="Arial"/>
                <w:sz w:val="14"/>
                <w:szCs w:val="14"/>
                <w:color w:val="auto"/>
              </w:rPr>
              <w:t>51</w:t>
            </w:r>
          </w:p>
        </w:tc>
      </w:tr>
      <w:tr>
        <w:trPr>
          <w:trHeight w:val="187"/>
        </w:trPr>
        <w:tc>
          <w:tcPr>
            <w:tcW w:w="9520" w:type="dxa"/>
            <w:vAlign w:val="bottom"/>
          </w:tcPr>
          <w:p>
            <w:pPr>
              <w:spacing w:after="0"/>
              <w:rPr>
                <w:sz w:val="20"/>
                <w:szCs w:val="20"/>
                <w:color w:val="auto"/>
              </w:rPr>
            </w:pPr>
            <w:r>
              <w:rPr>
                <w:rFonts w:ascii="Arial" w:cs="Arial" w:eastAsia="Arial" w:hAnsi="Arial"/>
                <w:sz w:val="14"/>
                <w:szCs w:val="14"/>
                <w:color w:val="auto"/>
              </w:rPr>
              <w:t>Compensation Committee Report</w:t>
            </w:r>
          </w:p>
        </w:tc>
        <w:tc>
          <w:tcPr>
            <w:tcW w:w="1360" w:type="dxa"/>
            <w:vAlign w:val="bottom"/>
          </w:tcPr>
          <w:p>
            <w:pPr>
              <w:jc w:val="right"/>
              <w:spacing w:after="0"/>
              <w:rPr>
                <w:sz w:val="20"/>
                <w:szCs w:val="20"/>
                <w:color w:val="auto"/>
              </w:rPr>
            </w:pPr>
            <w:r>
              <w:rPr>
                <w:rFonts w:ascii="Arial" w:cs="Arial" w:eastAsia="Arial" w:hAnsi="Arial"/>
                <w:sz w:val="14"/>
                <w:szCs w:val="14"/>
                <w:color w:val="auto"/>
              </w:rPr>
              <w:t>51</w:t>
            </w:r>
          </w:p>
        </w:tc>
      </w:tr>
      <w:tr>
        <w:trPr>
          <w:trHeight w:val="187"/>
        </w:trPr>
        <w:tc>
          <w:tcPr>
            <w:tcW w:w="9520" w:type="dxa"/>
            <w:vAlign w:val="bottom"/>
          </w:tcPr>
          <w:p>
            <w:pPr>
              <w:spacing w:after="0"/>
              <w:rPr>
                <w:sz w:val="20"/>
                <w:szCs w:val="20"/>
                <w:color w:val="auto"/>
              </w:rPr>
            </w:pPr>
            <w:r>
              <w:rPr>
                <w:rFonts w:ascii="Arial" w:cs="Arial" w:eastAsia="Arial" w:hAnsi="Arial"/>
                <w:sz w:val="14"/>
                <w:szCs w:val="14"/>
                <w:color w:val="auto"/>
              </w:rPr>
              <w:t>Summary Compensation Table</w:t>
            </w:r>
          </w:p>
        </w:tc>
        <w:tc>
          <w:tcPr>
            <w:tcW w:w="1360" w:type="dxa"/>
            <w:vAlign w:val="bottom"/>
          </w:tcPr>
          <w:p>
            <w:pPr>
              <w:jc w:val="right"/>
              <w:spacing w:after="0"/>
              <w:rPr>
                <w:sz w:val="20"/>
                <w:szCs w:val="20"/>
                <w:color w:val="auto"/>
              </w:rPr>
            </w:pPr>
            <w:r>
              <w:rPr>
                <w:rFonts w:ascii="Arial" w:cs="Arial" w:eastAsia="Arial" w:hAnsi="Arial"/>
                <w:sz w:val="14"/>
                <w:szCs w:val="14"/>
                <w:color w:val="auto"/>
              </w:rPr>
              <w:t>52</w:t>
            </w:r>
          </w:p>
        </w:tc>
      </w:tr>
      <w:tr>
        <w:trPr>
          <w:trHeight w:val="187"/>
        </w:trPr>
        <w:tc>
          <w:tcPr>
            <w:tcW w:w="9520" w:type="dxa"/>
            <w:vAlign w:val="bottom"/>
          </w:tcPr>
          <w:p>
            <w:pPr>
              <w:spacing w:after="0"/>
              <w:rPr>
                <w:sz w:val="20"/>
                <w:szCs w:val="20"/>
                <w:color w:val="auto"/>
              </w:rPr>
            </w:pPr>
            <w:r>
              <w:rPr>
                <w:rFonts w:ascii="Arial" w:cs="Arial" w:eastAsia="Arial" w:hAnsi="Arial"/>
                <w:sz w:val="14"/>
                <w:szCs w:val="14"/>
                <w:color w:val="auto"/>
              </w:rPr>
              <w:t>Grants of Plan-Based Awards</w:t>
            </w:r>
          </w:p>
        </w:tc>
        <w:tc>
          <w:tcPr>
            <w:tcW w:w="1360" w:type="dxa"/>
            <w:vAlign w:val="bottom"/>
          </w:tcPr>
          <w:p>
            <w:pPr>
              <w:jc w:val="right"/>
              <w:spacing w:after="0"/>
              <w:rPr>
                <w:sz w:val="20"/>
                <w:szCs w:val="20"/>
                <w:color w:val="auto"/>
              </w:rPr>
            </w:pPr>
            <w:r>
              <w:rPr>
                <w:rFonts w:ascii="Arial" w:cs="Arial" w:eastAsia="Arial" w:hAnsi="Arial"/>
                <w:sz w:val="14"/>
                <w:szCs w:val="14"/>
                <w:color w:val="auto"/>
              </w:rPr>
              <w:t>55</w:t>
            </w:r>
          </w:p>
        </w:tc>
      </w:tr>
      <w:tr>
        <w:trPr>
          <w:trHeight w:val="187"/>
        </w:trPr>
        <w:tc>
          <w:tcPr>
            <w:tcW w:w="9520" w:type="dxa"/>
            <w:vAlign w:val="bottom"/>
          </w:tcPr>
          <w:p>
            <w:pPr>
              <w:spacing w:after="0"/>
              <w:rPr>
                <w:sz w:val="20"/>
                <w:szCs w:val="20"/>
                <w:color w:val="auto"/>
              </w:rPr>
            </w:pPr>
            <w:r>
              <w:rPr>
                <w:rFonts w:ascii="Arial" w:cs="Arial" w:eastAsia="Arial" w:hAnsi="Arial"/>
                <w:sz w:val="14"/>
                <w:szCs w:val="14"/>
                <w:color w:val="auto"/>
              </w:rPr>
              <w:t>Outstanding Equity Awards at December 31, 2024</w:t>
            </w:r>
          </w:p>
        </w:tc>
        <w:tc>
          <w:tcPr>
            <w:tcW w:w="1360" w:type="dxa"/>
            <w:vAlign w:val="bottom"/>
          </w:tcPr>
          <w:p>
            <w:pPr>
              <w:jc w:val="right"/>
              <w:spacing w:after="0"/>
              <w:rPr>
                <w:sz w:val="20"/>
                <w:szCs w:val="20"/>
                <w:color w:val="auto"/>
              </w:rPr>
            </w:pPr>
            <w:r>
              <w:rPr>
                <w:rFonts w:ascii="Arial" w:cs="Arial" w:eastAsia="Arial" w:hAnsi="Arial"/>
                <w:sz w:val="14"/>
                <w:szCs w:val="14"/>
                <w:color w:val="auto"/>
              </w:rPr>
              <w:t>56</w:t>
            </w:r>
          </w:p>
        </w:tc>
      </w:tr>
      <w:tr>
        <w:trPr>
          <w:trHeight w:val="187"/>
        </w:trPr>
        <w:tc>
          <w:tcPr>
            <w:tcW w:w="9520" w:type="dxa"/>
            <w:vAlign w:val="bottom"/>
          </w:tcPr>
          <w:p>
            <w:pPr>
              <w:spacing w:after="0"/>
              <w:rPr>
                <w:sz w:val="20"/>
                <w:szCs w:val="20"/>
                <w:color w:val="auto"/>
              </w:rPr>
            </w:pPr>
            <w:r>
              <w:rPr>
                <w:rFonts w:ascii="Arial" w:cs="Arial" w:eastAsia="Arial" w:hAnsi="Arial"/>
                <w:sz w:val="14"/>
                <w:szCs w:val="14"/>
                <w:color w:val="auto"/>
              </w:rPr>
              <w:t>Option Exercises and Stock Vested</w:t>
            </w:r>
          </w:p>
        </w:tc>
        <w:tc>
          <w:tcPr>
            <w:tcW w:w="1360" w:type="dxa"/>
            <w:vAlign w:val="bottom"/>
          </w:tcPr>
          <w:p>
            <w:pPr>
              <w:jc w:val="right"/>
              <w:spacing w:after="0"/>
              <w:rPr>
                <w:sz w:val="20"/>
                <w:szCs w:val="20"/>
                <w:color w:val="auto"/>
              </w:rPr>
            </w:pPr>
            <w:r>
              <w:rPr>
                <w:rFonts w:ascii="Arial" w:cs="Arial" w:eastAsia="Arial" w:hAnsi="Arial"/>
                <w:sz w:val="14"/>
                <w:szCs w:val="14"/>
                <w:color w:val="auto"/>
              </w:rPr>
              <w:t>57</w:t>
            </w:r>
          </w:p>
        </w:tc>
      </w:tr>
      <w:tr>
        <w:trPr>
          <w:trHeight w:val="187"/>
        </w:trPr>
        <w:tc>
          <w:tcPr>
            <w:tcW w:w="9520" w:type="dxa"/>
            <w:vAlign w:val="bottom"/>
          </w:tcPr>
          <w:p>
            <w:pPr>
              <w:spacing w:after="0"/>
              <w:rPr>
                <w:sz w:val="20"/>
                <w:szCs w:val="20"/>
                <w:color w:val="auto"/>
              </w:rPr>
            </w:pPr>
            <w:r>
              <w:rPr>
                <w:rFonts w:ascii="Arial" w:cs="Arial" w:eastAsia="Arial" w:hAnsi="Arial"/>
                <w:sz w:val="14"/>
                <w:szCs w:val="14"/>
                <w:color w:val="auto"/>
              </w:rPr>
              <w:t>Pension Benefits</w:t>
            </w:r>
          </w:p>
        </w:tc>
        <w:tc>
          <w:tcPr>
            <w:tcW w:w="1360" w:type="dxa"/>
            <w:vAlign w:val="bottom"/>
          </w:tcPr>
          <w:p>
            <w:pPr>
              <w:jc w:val="right"/>
              <w:spacing w:after="0"/>
              <w:rPr>
                <w:sz w:val="20"/>
                <w:szCs w:val="20"/>
                <w:color w:val="auto"/>
              </w:rPr>
            </w:pPr>
            <w:r>
              <w:rPr>
                <w:rFonts w:ascii="Arial" w:cs="Arial" w:eastAsia="Arial" w:hAnsi="Arial"/>
                <w:sz w:val="14"/>
                <w:szCs w:val="14"/>
                <w:color w:val="auto"/>
              </w:rPr>
              <w:t>57</w:t>
            </w:r>
          </w:p>
        </w:tc>
      </w:tr>
      <w:tr>
        <w:trPr>
          <w:trHeight w:val="187"/>
        </w:trPr>
        <w:tc>
          <w:tcPr>
            <w:tcW w:w="9520" w:type="dxa"/>
            <w:vAlign w:val="bottom"/>
          </w:tcPr>
          <w:p>
            <w:pPr>
              <w:spacing w:after="0"/>
              <w:rPr>
                <w:sz w:val="20"/>
                <w:szCs w:val="20"/>
                <w:color w:val="auto"/>
              </w:rPr>
            </w:pPr>
            <w:r>
              <w:rPr>
                <w:rFonts w:ascii="Arial" w:cs="Arial" w:eastAsia="Arial" w:hAnsi="Arial"/>
                <w:sz w:val="14"/>
                <w:szCs w:val="14"/>
                <w:color w:val="auto"/>
              </w:rPr>
              <w:t>Nonqualified Deferred Compensation</w:t>
            </w:r>
          </w:p>
        </w:tc>
        <w:tc>
          <w:tcPr>
            <w:tcW w:w="1360" w:type="dxa"/>
            <w:vAlign w:val="bottom"/>
          </w:tcPr>
          <w:p>
            <w:pPr>
              <w:jc w:val="right"/>
              <w:spacing w:after="0"/>
              <w:rPr>
                <w:sz w:val="20"/>
                <w:szCs w:val="20"/>
                <w:color w:val="auto"/>
              </w:rPr>
            </w:pPr>
            <w:r>
              <w:rPr>
                <w:rFonts w:ascii="Arial" w:cs="Arial" w:eastAsia="Arial" w:hAnsi="Arial"/>
                <w:sz w:val="14"/>
                <w:szCs w:val="14"/>
                <w:color w:val="auto"/>
              </w:rPr>
              <w:t>58</w:t>
            </w:r>
          </w:p>
        </w:tc>
      </w:tr>
      <w:tr>
        <w:trPr>
          <w:trHeight w:val="187"/>
        </w:trPr>
        <w:tc>
          <w:tcPr>
            <w:tcW w:w="9520" w:type="dxa"/>
            <w:vAlign w:val="bottom"/>
          </w:tcPr>
          <w:p>
            <w:pPr>
              <w:spacing w:after="0"/>
              <w:rPr>
                <w:sz w:val="20"/>
                <w:szCs w:val="20"/>
                <w:color w:val="auto"/>
              </w:rPr>
            </w:pPr>
            <w:r>
              <w:rPr>
                <w:rFonts w:ascii="Arial" w:cs="Arial" w:eastAsia="Arial" w:hAnsi="Arial"/>
                <w:sz w:val="14"/>
                <w:szCs w:val="14"/>
                <w:color w:val="auto"/>
              </w:rPr>
              <w:t>Potential Payments Upon Termination or Change of Control</w:t>
            </w:r>
          </w:p>
        </w:tc>
        <w:tc>
          <w:tcPr>
            <w:tcW w:w="1360" w:type="dxa"/>
            <w:vAlign w:val="bottom"/>
          </w:tcPr>
          <w:p>
            <w:pPr>
              <w:jc w:val="right"/>
              <w:spacing w:after="0"/>
              <w:rPr>
                <w:sz w:val="20"/>
                <w:szCs w:val="20"/>
                <w:color w:val="auto"/>
              </w:rPr>
            </w:pPr>
            <w:r>
              <w:rPr>
                <w:rFonts w:ascii="Arial" w:cs="Arial" w:eastAsia="Arial" w:hAnsi="Arial"/>
                <w:sz w:val="14"/>
                <w:szCs w:val="14"/>
                <w:color w:val="auto"/>
              </w:rPr>
              <w:t>59</w:t>
            </w:r>
          </w:p>
        </w:tc>
      </w:tr>
      <w:tr>
        <w:trPr>
          <w:trHeight w:val="340"/>
        </w:trPr>
        <w:tc>
          <w:tcPr>
            <w:tcW w:w="9520" w:type="dxa"/>
            <w:vAlign w:val="bottom"/>
          </w:tcPr>
          <w:p>
            <w:pPr>
              <w:spacing w:after="0"/>
              <w:rPr>
                <w:sz w:val="20"/>
                <w:szCs w:val="20"/>
                <w:color w:val="auto"/>
              </w:rPr>
            </w:pPr>
            <w:r>
              <w:rPr>
                <w:rFonts w:ascii="Arial" w:cs="Arial" w:eastAsia="Arial" w:hAnsi="Arial"/>
                <w:sz w:val="16"/>
                <w:szCs w:val="16"/>
                <w:b w:val="1"/>
                <w:bCs w:val="1"/>
                <w:color w:val="7CBD3F"/>
              </w:rPr>
              <w:t>Equity Compensation Plan Information</w:t>
            </w:r>
          </w:p>
        </w:tc>
        <w:tc>
          <w:tcPr>
            <w:tcW w:w="1360" w:type="dxa"/>
            <w:vAlign w:val="bottom"/>
          </w:tcPr>
          <w:p>
            <w:pPr>
              <w:jc w:val="right"/>
              <w:spacing w:after="0"/>
              <w:rPr>
                <w:sz w:val="20"/>
                <w:szCs w:val="20"/>
                <w:color w:val="auto"/>
              </w:rPr>
            </w:pPr>
            <w:r>
              <w:rPr>
                <w:rFonts w:ascii="Arial" w:cs="Arial" w:eastAsia="Arial" w:hAnsi="Arial"/>
                <w:sz w:val="16"/>
                <w:szCs w:val="16"/>
                <w:b w:val="1"/>
                <w:bCs w:val="1"/>
                <w:color w:val="7CBD3F"/>
              </w:rPr>
              <w:t>62</w:t>
            </w:r>
          </w:p>
        </w:tc>
      </w:tr>
      <w:tr>
        <w:trPr>
          <w:trHeight w:val="315"/>
        </w:trPr>
        <w:tc>
          <w:tcPr>
            <w:tcW w:w="9520" w:type="dxa"/>
            <w:vAlign w:val="bottom"/>
          </w:tcPr>
          <w:p>
            <w:pPr>
              <w:spacing w:after="0"/>
              <w:rPr>
                <w:sz w:val="20"/>
                <w:szCs w:val="20"/>
                <w:color w:val="auto"/>
              </w:rPr>
            </w:pPr>
            <w:r>
              <w:rPr>
                <w:rFonts w:ascii="Arial" w:cs="Arial" w:eastAsia="Arial" w:hAnsi="Arial"/>
                <w:sz w:val="16"/>
                <w:szCs w:val="16"/>
                <w:b w:val="1"/>
                <w:bCs w:val="1"/>
                <w:color w:val="7CBD3F"/>
              </w:rPr>
              <w:t>Director Compensation</w:t>
            </w:r>
          </w:p>
        </w:tc>
        <w:tc>
          <w:tcPr>
            <w:tcW w:w="1360" w:type="dxa"/>
            <w:vAlign w:val="bottom"/>
          </w:tcPr>
          <w:p>
            <w:pPr>
              <w:jc w:val="right"/>
              <w:spacing w:after="0"/>
              <w:rPr>
                <w:sz w:val="20"/>
                <w:szCs w:val="20"/>
                <w:color w:val="auto"/>
              </w:rPr>
            </w:pPr>
            <w:r>
              <w:rPr>
                <w:rFonts w:ascii="Arial" w:cs="Arial" w:eastAsia="Arial" w:hAnsi="Arial"/>
                <w:sz w:val="16"/>
                <w:szCs w:val="16"/>
                <w:b w:val="1"/>
                <w:bCs w:val="1"/>
                <w:color w:val="7CBD3F"/>
              </w:rPr>
              <w:t>63</w:t>
            </w:r>
          </w:p>
        </w:tc>
      </w:tr>
      <w:tr>
        <w:trPr>
          <w:trHeight w:val="315"/>
        </w:trPr>
        <w:tc>
          <w:tcPr>
            <w:tcW w:w="9520" w:type="dxa"/>
            <w:vAlign w:val="bottom"/>
          </w:tcPr>
          <w:p>
            <w:pPr>
              <w:spacing w:after="0"/>
              <w:rPr>
                <w:sz w:val="20"/>
                <w:szCs w:val="20"/>
                <w:color w:val="auto"/>
              </w:rPr>
            </w:pPr>
            <w:r>
              <w:rPr>
                <w:rFonts w:ascii="Arial" w:cs="Arial" w:eastAsia="Arial" w:hAnsi="Arial"/>
                <w:sz w:val="16"/>
                <w:szCs w:val="16"/>
                <w:b w:val="1"/>
                <w:bCs w:val="1"/>
                <w:color w:val="7CBD3F"/>
              </w:rPr>
              <w:t>CEO Pay Ratio</w:t>
            </w:r>
          </w:p>
        </w:tc>
        <w:tc>
          <w:tcPr>
            <w:tcW w:w="1360" w:type="dxa"/>
            <w:vAlign w:val="bottom"/>
          </w:tcPr>
          <w:p>
            <w:pPr>
              <w:jc w:val="right"/>
              <w:spacing w:after="0"/>
              <w:rPr>
                <w:sz w:val="20"/>
                <w:szCs w:val="20"/>
                <w:color w:val="auto"/>
              </w:rPr>
            </w:pPr>
            <w:r>
              <w:rPr>
                <w:rFonts w:ascii="Arial" w:cs="Arial" w:eastAsia="Arial" w:hAnsi="Arial"/>
                <w:sz w:val="16"/>
                <w:szCs w:val="16"/>
                <w:b w:val="1"/>
                <w:bCs w:val="1"/>
                <w:color w:val="7CBD3F"/>
              </w:rPr>
              <w:t>64</w:t>
            </w:r>
          </w:p>
        </w:tc>
      </w:tr>
      <w:tr>
        <w:trPr>
          <w:trHeight w:val="315"/>
        </w:trPr>
        <w:tc>
          <w:tcPr>
            <w:tcW w:w="9520" w:type="dxa"/>
            <w:vAlign w:val="bottom"/>
          </w:tcPr>
          <w:p>
            <w:pPr>
              <w:spacing w:after="0"/>
              <w:rPr>
                <w:sz w:val="20"/>
                <w:szCs w:val="20"/>
                <w:color w:val="auto"/>
              </w:rPr>
            </w:pPr>
            <w:r>
              <w:rPr>
                <w:rFonts w:ascii="Arial" w:cs="Arial" w:eastAsia="Arial" w:hAnsi="Arial"/>
                <w:sz w:val="16"/>
                <w:szCs w:val="16"/>
                <w:b w:val="1"/>
                <w:bCs w:val="1"/>
                <w:color w:val="7CBD3F"/>
              </w:rPr>
              <w:t>Pay versus Performance</w:t>
            </w:r>
          </w:p>
        </w:tc>
        <w:tc>
          <w:tcPr>
            <w:tcW w:w="1360" w:type="dxa"/>
            <w:vAlign w:val="bottom"/>
          </w:tcPr>
          <w:p>
            <w:pPr>
              <w:jc w:val="right"/>
              <w:spacing w:after="0"/>
              <w:rPr>
                <w:sz w:val="20"/>
                <w:szCs w:val="20"/>
                <w:color w:val="auto"/>
              </w:rPr>
            </w:pPr>
            <w:r>
              <w:rPr>
                <w:rFonts w:ascii="Arial" w:cs="Arial" w:eastAsia="Arial" w:hAnsi="Arial"/>
                <w:sz w:val="16"/>
                <w:szCs w:val="16"/>
                <w:b w:val="1"/>
                <w:bCs w:val="1"/>
                <w:color w:val="7CBD3F"/>
              </w:rPr>
              <w:t>65</w:t>
            </w:r>
          </w:p>
        </w:tc>
      </w:tr>
      <w:tr>
        <w:trPr>
          <w:trHeight w:val="315"/>
        </w:trPr>
        <w:tc>
          <w:tcPr>
            <w:tcW w:w="9520" w:type="dxa"/>
            <w:vAlign w:val="bottom"/>
          </w:tcPr>
          <w:p>
            <w:pPr>
              <w:spacing w:after="0"/>
              <w:rPr>
                <w:sz w:val="20"/>
                <w:szCs w:val="20"/>
                <w:color w:val="auto"/>
              </w:rPr>
            </w:pPr>
            <w:r>
              <w:rPr>
                <w:rFonts w:ascii="Arial" w:cs="Arial" w:eastAsia="Arial" w:hAnsi="Arial"/>
                <w:sz w:val="16"/>
                <w:szCs w:val="16"/>
                <w:b w:val="1"/>
                <w:bCs w:val="1"/>
                <w:color w:val="7CBD3F"/>
              </w:rPr>
              <w:t>Additional Information</w:t>
            </w:r>
          </w:p>
        </w:tc>
        <w:tc>
          <w:tcPr>
            <w:tcW w:w="1360" w:type="dxa"/>
            <w:vAlign w:val="bottom"/>
          </w:tcPr>
          <w:p>
            <w:pPr>
              <w:jc w:val="right"/>
              <w:spacing w:after="0"/>
              <w:rPr>
                <w:sz w:val="20"/>
                <w:szCs w:val="20"/>
                <w:color w:val="auto"/>
              </w:rPr>
            </w:pPr>
            <w:r>
              <w:rPr>
                <w:rFonts w:ascii="Arial" w:cs="Arial" w:eastAsia="Arial" w:hAnsi="Arial"/>
                <w:sz w:val="16"/>
                <w:szCs w:val="16"/>
                <w:b w:val="1"/>
                <w:bCs w:val="1"/>
                <w:color w:val="7CBD3F"/>
              </w:rPr>
              <w:t>68</w:t>
            </w:r>
          </w:p>
        </w:tc>
      </w:tr>
      <w:tr>
        <w:trPr>
          <w:trHeight w:val="315"/>
        </w:trPr>
        <w:tc>
          <w:tcPr>
            <w:tcW w:w="9520" w:type="dxa"/>
            <w:vAlign w:val="bottom"/>
          </w:tcPr>
          <w:p>
            <w:pPr>
              <w:spacing w:after="0"/>
              <w:rPr>
                <w:sz w:val="20"/>
                <w:szCs w:val="20"/>
                <w:color w:val="auto"/>
              </w:rPr>
            </w:pPr>
            <w:r>
              <w:rPr>
                <w:rFonts w:ascii="Arial" w:cs="Arial" w:eastAsia="Arial" w:hAnsi="Arial"/>
                <w:sz w:val="16"/>
                <w:szCs w:val="16"/>
                <w:b w:val="1"/>
                <w:bCs w:val="1"/>
                <w:color w:val="7CBD3F"/>
              </w:rPr>
              <w:t>Other Business</w:t>
            </w:r>
          </w:p>
        </w:tc>
        <w:tc>
          <w:tcPr>
            <w:tcW w:w="1360" w:type="dxa"/>
            <w:vAlign w:val="bottom"/>
          </w:tcPr>
          <w:p>
            <w:pPr>
              <w:jc w:val="right"/>
              <w:spacing w:after="0"/>
              <w:rPr>
                <w:sz w:val="20"/>
                <w:szCs w:val="20"/>
                <w:color w:val="auto"/>
              </w:rPr>
            </w:pPr>
            <w:r>
              <w:rPr>
                <w:rFonts w:ascii="Arial" w:cs="Arial" w:eastAsia="Arial" w:hAnsi="Arial"/>
                <w:sz w:val="16"/>
                <w:szCs w:val="16"/>
                <w:b w:val="1"/>
                <w:bCs w:val="1"/>
                <w:color w:val="7CBD3F"/>
              </w:rPr>
              <w:t>72</w:t>
            </w:r>
          </w:p>
        </w:tc>
      </w:tr>
      <w:tr>
        <w:trPr>
          <w:trHeight w:val="315"/>
        </w:trPr>
        <w:tc>
          <w:tcPr>
            <w:tcW w:w="9520" w:type="dxa"/>
            <w:vAlign w:val="bottom"/>
          </w:tcPr>
          <w:p>
            <w:pPr>
              <w:spacing w:after="0"/>
              <w:rPr>
                <w:sz w:val="20"/>
                <w:szCs w:val="20"/>
                <w:color w:val="auto"/>
              </w:rPr>
            </w:pPr>
            <w:r>
              <w:rPr>
                <w:rFonts w:ascii="Arial" w:cs="Arial" w:eastAsia="Arial" w:hAnsi="Arial"/>
                <w:sz w:val="16"/>
                <w:szCs w:val="16"/>
                <w:b w:val="1"/>
                <w:bCs w:val="1"/>
                <w:color w:val="7CBD3F"/>
              </w:rPr>
              <w:t>Forward-Looking Statements</w:t>
            </w:r>
          </w:p>
        </w:tc>
        <w:tc>
          <w:tcPr>
            <w:tcW w:w="1360" w:type="dxa"/>
            <w:vAlign w:val="bottom"/>
          </w:tcPr>
          <w:p>
            <w:pPr>
              <w:jc w:val="right"/>
              <w:spacing w:after="0"/>
              <w:rPr>
                <w:sz w:val="20"/>
                <w:szCs w:val="20"/>
                <w:color w:val="auto"/>
              </w:rPr>
            </w:pPr>
            <w:r>
              <w:rPr>
                <w:rFonts w:ascii="Arial" w:cs="Arial" w:eastAsia="Arial" w:hAnsi="Arial"/>
                <w:sz w:val="16"/>
                <w:szCs w:val="16"/>
                <w:b w:val="1"/>
                <w:bCs w:val="1"/>
                <w:color w:val="7CBD3F"/>
              </w:rPr>
              <w:t>72</w:t>
            </w:r>
          </w:p>
        </w:tc>
      </w:tr>
      <w:tr>
        <w:trPr>
          <w:trHeight w:val="315"/>
        </w:trPr>
        <w:tc>
          <w:tcPr>
            <w:tcW w:w="9520" w:type="dxa"/>
            <w:vAlign w:val="bottom"/>
          </w:tcPr>
          <w:p>
            <w:pPr>
              <w:spacing w:after="0"/>
              <w:rPr>
                <w:sz w:val="20"/>
                <w:szCs w:val="20"/>
                <w:color w:val="auto"/>
              </w:rPr>
            </w:pPr>
            <w:r>
              <w:rPr>
                <w:rFonts w:ascii="Arial" w:cs="Arial" w:eastAsia="Arial" w:hAnsi="Arial"/>
                <w:sz w:val="16"/>
                <w:szCs w:val="16"/>
                <w:b w:val="1"/>
                <w:bCs w:val="1"/>
                <w:color w:val="7CBD3F"/>
              </w:rPr>
              <w:t>Delivery Of Proxy Materials</w:t>
            </w:r>
          </w:p>
        </w:tc>
        <w:tc>
          <w:tcPr>
            <w:tcW w:w="1360" w:type="dxa"/>
            <w:vAlign w:val="bottom"/>
          </w:tcPr>
          <w:p>
            <w:pPr>
              <w:jc w:val="right"/>
              <w:spacing w:after="0"/>
              <w:rPr>
                <w:sz w:val="20"/>
                <w:szCs w:val="20"/>
                <w:color w:val="auto"/>
              </w:rPr>
            </w:pPr>
            <w:r>
              <w:rPr>
                <w:rFonts w:ascii="Arial" w:cs="Arial" w:eastAsia="Arial" w:hAnsi="Arial"/>
                <w:sz w:val="16"/>
                <w:szCs w:val="16"/>
                <w:b w:val="1"/>
                <w:bCs w:val="1"/>
                <w:color w:val="7CBD3F"/>
              </w:rPr>
              <w:t>72</w:t>
            </w:r>
          </w:p>
        </w:tc>
      </w:tr>
      <w:tr>
        <w:trPr>
          <w:trHeight w:val="315"/>
        </w:trPr>
        <w:tc>
          <w:tcPr>
            <w:tcW w:w="9520" w:type="dxa"/>
            <w:vAlign w:val="bottom"/>
          </w:tcPr>
          <w:p>
            <w:pPr>
              <w:spacing w:after="0"/>
              <w:rPr>
                <w:sz w:val="20"/>
                <w:szCs w:val="20"/>
                <w:color w:val="auto"/>
              </w:rPr>
            </w:pPr>
            <w:r>
              <w:rPr>
                <w:rFonts w:ascii="Arial" w:cs="Arial" w:eastAsia="Arial" w:hAnsi="Arial"/>
                <w:sz w:val="16"/>
                <w:szCs w:val="16"/>
                <w:b w:val="1"/>
                <w:bCs w:val="1"/>
                <w:color w:val="7CBD3F"/>
              </w:rPr>
              <w:t>Appendix A – Ultragenyx Pharmaceutical Inc. Second Amended and Restated 2023 Incentive Plan</w:t>
            </w:r>
          </w:p>
        </w:tc>
        <w:tc>
          <w:tcPr>
            <w:tcW w:w="1360" w:type="dxa"/>
            <w:vAlign w:val="bottom"/>
          </w:tcPr>
          <w:p>
            <w:pPr>
              <w:jc w:val="right"/>
              <w:spacing w:after="0"/>
              <w:rPr>
                <w:sz w:val="20"/>
                <w:szCs w:val="20"/>
                <w:color w:val="auto"/>
              </w:rPr>
            </w:pPr>
            <w:r>
              <w:rPr>
                <w:rFonts w:ascii="Arial" w:cs="Arial" w:eastAsia="Arial" w:hAnsi="Arial"/>
                <w:sz w:val="16"/>
                <w:szCs w:val="16"/>
                <w:b w:val="1"/>
                <w:bCs w:val="1"/>
                <w:color w:val="7CBD3F"/>
              </w:rPr>
              <w:t>73</w:t>
            </w:r>
          </w:p>
        </w:tc>
      </w:tr>
    </w:tbl>
    <w:p>
      <w:pPr>
        <w:spacing w:after="0" w:line="314" w:lineRule="exact"/>
        <w:rPr>
          <w:sz w:val="20"/>
          <w:szCs w:val="20"/>
          <w:color w:val="auto"/>
        </w:rPr>
      </w:pPr>
    </w:p>
    <w:p>
      <w:pPr>
        <w:jc w:val="right"/>
        <w:spacing w:after="0"/>
        <w:tabs>
          <w:tab w:leader="none" w:pos="60" w:val="left"/>
        </w:tabs>
        <w:rPr>
          <w:sz w:val="20"/>
          <w:szCs w:val="20"/>
          <w:color w:val="auto"/>
        </w:rPr>
      </w:pPr>
      <w:r>
        <w:rPr>
          <w:rFonts w:ascii="Arial" w:cs="Arial" w:eastAsia="Arial" w:hAnsi="Arial"/>
          <w:sz w:val="14"/>
          <w:szCs w:val="14"/>
          <w:b w:val="1"/>
          <w:bCs w:val="1"/>
          <w:color w:val="auto"/>
        </w:rPr>
        <w:t xml:space="preserve">ULTRAGENYX PHARMACEUTICAL INC. </w:t>
      </w:r>
      <w:r>
        <w:rPr>
          <w:rFonts w:ascii="Arial" w:cs="Arial" w:eastAsia="Arial" w:hAnsi="Arial"/>
          <w:sz w:val="14"/>
          <w:szCs w:val="14"/>
          <w:color w:val="7CBD3F"/>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2025 Proxy Statement</w:t>
      </w:r>
      <w:r>
        <w:rPr>
          <w:rFonts w:ascii="Arial" w:cs="Arial" w:eastAsia="Arial" w:hAnsi="Arial"/>
          <w:sz w:val="14"/>
          <w:szCs w:val="14"/>
          <w:b w:val="1"/>
          <w:bCs w:val="1"/>
          <w:color w:val="auto"/>
        </w:rPr>
        <w:tab/>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-118110</wp:posOffset>
            </wp:positionH>
            <wp:positionV relativeFrom="paragraph">
              <wp:posOffset>142240</wp:posOffset>
            </wp:positionV>
            <wp:extent cx="715073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0735" cy="29845"/>
                    </a:xfrm>
                    <a:prstGeom prst="rect">
                      <a:avLst/>
                    </a:prstGeom>
                    <a:noFill/>
                  </pic:spPr>
                </pic:pic>
              </a:graphicData>
            </a:graphic>
          </wp:anchor>
        </w:drawing>
      </w:r>
    </w:p>
    <w:p>
      <w:pPr>
        <w:sectPr>
          <w:pgSz w:w="11900" w:h="16838" w:orient="portrait"/>
          <w:cols w:equalWidth="0" w:num="1">
            <w:col w:w="11080"/>
          </w:cols>
          <w:pgMar w:left="500" w:top="550" w:right="319" w:bottom="1440" w:gutter="0" w:footer="0" w:header="0"/>
        </w:sectPr>
      </w:pPr>
    </w:p>
    <w:bookmarkStart w:id="5" w:name="page6"/>
    <w:bookmarkEnd w:id="5"/>
    <w:p>
      <w:pPr>
        <w:spacing w:after="0"/>
        <w:rPr>
          <w:sz w:val="20"/>
          <w:szCs w:val="20"/>
          <w:color w:val="auto"/>
        </w:rPr>
      </w:pPr>
      <w:r>
        <w:rPr>
          <w:rFonts w:ascii="Arial" w:cs="Arial" w:eastAsia="Arial" w:hAnsi="Arial"/>
          <w:sz w:val="12"/>
          <w:szCs w:val="12"/>
          <w:b w:val="1"/>
          <w:bCs w:val="1"/>
          <w:u w:val="single" w:color="auto"/>
          <w:color w:val="0000EE"/>
        </w:rPr>
        <w:t>Back to Contents</w:t>
      </w:r>
    </w:p>
    <w:p>
      <w:pPr>
        <w:spacing w:after="0" w:line="128" w:lineRule="exact"/>
        <w:rPr>
          <w:sz w:val="20"/>
          <w:szCs w:val="20"/>
          <w:color w:val="auto"/>
        </w:rPr>
      </w:pPr>
    </w:p>
    <w:p>
      <w:pPr>
        <w:spacing w:after="0"/>
        <w:rPr>
          <w:sz w:val="20"/>
          <w:szCs w:val="20"/>
          <w:color w:val="auto"/>
        </w:rPr>
      </w:pPr>
      <w:r>
        <w:rPr>
          <w:rFonts w:ascii="Arial" w:cs="Arial" w:eastAsia="Arial" w:hAnsi="Arial"/>
          <w:sz w:val="31"/>
          <w:szCs w:val="31"/>
          <w:b w:val="1"/>
          <w:bCs w:val="1"/>
          <w:color w:val="7CBD3F"/>
        </w:rPr>
        <w:t>Proxy Statement Overview</w:t>
      </w:r>
    </w:p>
    <w:p>
      <w:pPr>
        <w:spacing w:after="0" w:line="387"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This overview highlights certain information contained elsewhere in this Proxy Statement and does not contain all of the information that you should consider. You should read the entire Proxy Statement carefully before voting. For more complete information regarding our business and 2024 performance, please review our 2024 Annual Report on Form 10-K as filed with the U.S. Securities and Exchange Commission (SEC) in February 2025.</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Meeting and Voting Information</w:t>
      </w:r>
    </w:p>
    <w:p>
      <w:pPr>
        <w:spacing w:after="0" w:line="187" w:lineRule="exact"/>
        <w:rPr>
          <w:sz w:val="20"/>
          <w:szCs w:val="20"/>
          <w:color w:val="auto"/>
        </w:rPr>
      </w:pPr>
    </w:p>
    <w:tbl>
      <w:tblPr>
        <w:tblLayout w:type="fixed"/>
        <w:tblInd w:w="560" w:type="dxa"/>
        <w:tblCellMar>
          <w:top w:w="0" w:type="dxa"/>
          <w:left w:w="0" w:type="dxa"/>
          <w:bottom w:w="0" w:type="dxa"/>
          <w:right w:w="0" w:type="dxa"/>
        </w:tblCellMar>
      </w:tblPr>
      <w:tr>
        <w:trPr>
          <w:trHeight w:val="798"/>
        </w:trPr>
        <w:tc>
          <w:tcPr>
            <w:tcW w:w="4060" w:type="dxa"/>
            <w:vAlign w:val="bottom"/>
            <w:shd w:val="clear" w:color="auto" w:fill="F0F7E7"/>
          </w:tcPr>
          <w:p>
            <w:pPr>
              <w:jc w:val="center"/>
              <w:ind w:right="30"/>
              <w:spacing w:after="0"/>
              <w:rPr>
                <w:sz w:val="20"/>
                <w:szCs w:val="20"/>
                <w:color w:val="auto"/>
              </w:rPr>
            </w:pPr>
            <w:r>
              <w:rPr>
                <w:rFonts w:ascii="Arial" w:cs="Arial" w:eastAsia="Arial" w:hAnsi="Arial"/>
                <w:sz w:val="14"/>
                <w:szCs w:val="14"/>
                <w:b w:val="1"/>
                <w:bCs w:val="1"/>
                <w:color w:val="7CBD3F"/>
                <w:w w:val="99"/>
              </w:rPr>
              <w:t>Meeting Date and Meeting Time</w:t>
            </w:r>
          </w:p>
        </w:tc>
        <w:tc>
          <w:tcPr>
            <w:tcW w:w="2040" w:type="dxa"/>
            <w:vAlign w:val="bottom"/>
            <w:shd w:val="clear" w:color="auto" w:fill="F0F7E7"/>
          </w:tcPr>
          <w:p>
            <w:pPr>
              <w:jc w:val="center"/>
              <w:spacing w:after="0"/>
              <w:rPr>
                <w:sz w:val="20"/>
                <w:szCs w:val="20"/>
                <w:color w:val="auto"/>
              </w:rPr>
            </w:pPr>
            <w:r>
              <w:rPr>
                <w:rFonts w:ascii="Arial" w:cs="Arial" w:eastAsia="Arial" w:hAnsi="Arial"/>
                <w:sz w:val="14"/>
                <w:szCs w:val="14"/>
                <w:b w:val="1"/>
                <w:bCs w:val="1"/>
                <w:color w:val="7CBD3F"/>
                <w:w w:val="99"/>
              </w:rPr>
              <w:t>Record Date</w:t>
            </w:r>
          </w:p>
        </w:tc>
        <w:tc>
          <w:tcPr>
            <w:tcW w:w="4040" w:type="dxa"/>
            <w:vAlign w:val="bottom"/>
            <w:shd w:val="clear" w:color="auto" w:fill="F0F7E7"/>
          </w:tcPr>
          <w:p>
            <w:pPr>
              <w:ind w:left="1760"/>
              <w:spacing w:after="0"/>
              <w:rPr>
                <w:sz w:val="20"/>
                <w:szCs w:val="20"/>
                <w:color w:val="auto"/>
              </w:rPr>
            </w:pPr>
            <w:r>
              <w:rPr>
                <w:rFonts w:ascii="Arial" w:cs="Arial" w:eastAsia="Arial" w:hAnsi="Arial"/>
                <w:sz w:val="14"/>
                <w:szCs w:val="14"/>
                <w:b w:val="1"/>
                <w:bCs w:val="1"/>
                <w:color w:val="7CBD3F"/>
              </w:rPr>
              <w:t>Location</w:t>
            </w:r>
          </w:p>
        </w:tc>
      </w:tr>
      <w:tr>
        <w:trPr>
          <w:trHeight w:val="204"/>
        </w:trPr>
        <w:tc>
          <w:tcPr>
            <w:tcW w:w="4060" w:type="dxa"/>
            <w:vAlign w:val="bottom"/>
            <w:shd w:val="clear" w:color="auto" w:fill="F0F7E7"/>
          </w:tcPr>
          <w:p>
            <w:pPr>
              <w:jc w:val="center"/>
              <w:ind w:right="30"/>
              <w:spacing w:after="0"/>
              <w:rPr>
                <w:sz w:val="20"/>
                <w:szCs w:val="20"/>
                <w:color w:val="auto"/>
              </w:rPr>
            </w:pPr>
            <w:r>
              <w:rPr>
                <w:rFonts w:ascii="Arial" w:cs="Arial" w:eastAsia="Arial" w:hAnsi="Arial"/>
                <w:sz w:val="14"/>
                <w:szCs w:val="14"/>
                <w:color w:val="auto"/>
                <w:w w:val="98"/>
              </w:rPr>
              <w:t>May 15, 2025</w:t>
            </w:r>
          </w:p>
        </w:tc>
        <w:tc>
          <w:tcPr>
            <w:tcW w:w="2040" w:type="dxa"/>
            <w:vAlign w:val="bottom"/>
            <w:shd w:val="clear" w:color="auto" w:fill="F0F7E7"/>
          </w:tcPr>
          <w:p>
            <w:pPr>
              <w:jc w:val="center"/>
              <w:spacing w:after="0"/>
              <w:rPr>
                <w:sz w:val="20"/>
                <w:szCs w:val="20"/>
                <w:color w:val="auto"/>
              </w:rPr>
            </w:pPr>
            <w:r>
              <w:rPr>
                <w:rFonts w:ascii="Arial" w:cs="Arial" w:eastAsia="Arial" w:hAnsi="Arial"/>
                <w:sz w:val="14"/>
                <w:szCs w:val="14"/>
                <w:color w:val="auto"/>
              </w:rPr>
              <w:t>March 24, 2025</w:t>
            </w:r>
          </w:p>
        </w:tc>
        <w:tc>
          <w:tcPr>
            <w:tcW w:w="4040" w:type="dxa"/>
            <w:vAlign w:val="bottom"/>
            <w:shd w:val="clear" w:color="auto" w:fill="F0F7E7"/>
          </w:tcPr>
          <w:p>
            <w:pPr>
              <w:jc w:val="center"/>
              <w:ind w:right="10"/>
              <w:spacing w:after="0"/>
              <w:rPr>
                <w:sz w:val="20"/>
                <w:szCs w:val="20"/>
                <w:color w:val="auto"/>
              </w:rPr>
            </w:pPr>
            <w:r>
              <w:rPr>
                <w:rFonts w:ascii="Arial" w:cs="Arial" w:eastAsia="Arial" w:hAnsi="Arial"/>
                <w:sz w:val="14"/>
                <w:szCs w:val="14"/>
                <w:color w:val="auto"/>
                <w:w w:val="99"/>
              </w:rPr>
              <w:t>Live via audio webcast at</w:t>
            </w:r>
          </w:p>
        </w:tc>
      </w:tr>
      <w:tr>
        <w:trPr>
          <w:trHeight w:val="176"/>
        </w:trPr>
        <w:tc>
          <w:tcPr>
            <w:tcW w:w="4060" w:type="dxa"/>
            <w:vAlign w:val="bottom"/>
            <w:shd w:val="clear" w:color="auto" w:fill="F0F7E7"/>
          </w:tcPr>
          <w:p>
            <w:pPr>
              <w:jc w:val="center"/>
              <w:ind w:right="50"/>
              <w:spacing w:after="0"/>
              <w:rPr>
                <w:sz w:val="20"/>
                <w:szCs w:val="20"/>
                <w:color w:val="auto"/>
              </w:rPr>
            </w:pPr>
            <w:r>
              <w:rPr>
                <w:rFonts w:ascii="Arial" w:cs="Arial" w:eastAsia="Arial" w:hAnsi="Arial"/>
                <w:sz w:val="14"/>
                <w:szCs w:val="14"/>
                <w:color w:val="auto"/>
                <w:w w:val="99"/>
              </w:rPr>
              <w:t>9:00 a.m. Pacific Time</w:t>
            </w:r>
          </w:p>
        </w:tc>
        <w:tc>
          <w:tcPr>
            <w:tcW w:w="2040" w:type="dxa"/>
            <w:vAlign w:val="bottom"/>
            <w:shd w:val="clear" w:color="auto" w:fill="F0F7E7"/>
          </w:tcPr>
          <w:p>
            <w:pPr>
              <w:spacing w:after="0"/>
              <w:rPr>
                <w:sz w:val="15"/>
                <w:szCs w:val="15"/>
                <w:color w:val="auto"/>
              </w:rPr>
            </w:pPr>
          </w:p>
        </w:tc>
        <w:tc>
          <w:tcPr>
            <w:tcW w:w="4040" w:type="dxa"/>
            <w:vAlign w:val="bottom"/>
            <w:shd w:val="clear" w:color="auto" w:fill="F0F7E7"/>
          </w:tcPr>
          <w:p>
            <w:pPr>
              <w:jc w:val="center"/>
              <w:ind w:right="10"/>
              <w:spacing w:after="0"/>
              <w:rPr>
                <w:sz w:val="20"/>
                <w:szCs w:val="20"/>
                <w:color w:val="auto"/>
              </w:rPr>
            </w:pPr>
            <w:r>
              <w:rPr>
                <w:rFonts w:ascii="Arial" w:cs="Arial" w:eastAsia="Arial" w:hAnsi="Arial"/>
                <w:sz w:val="14"/>
                <w:szCs w:val="14"/>
                <w:i w:val="1"/>
                <w:iCs w:val="1"/>
                <w:color w:val="auto"/>
              </w:rPr>
              <w:t>www.virtualshareholdermeeting.com/RARE2025</w:t>
            </w:r>
          </w:p>
        </w:tc>
      </w:tr>
      <w:tr>
        <w:trPr>
          <w:trHeight w:val="163"/>
        </w:trPr>
        <w:tc>
          <w:tcPr>
            <w:tcW w:w="4060" w:type="dxa"/>
            <w:vAlign w:val="bottom"/>
            <w:shd w:val="clear" w:color="auto" w:fill="F0F7E7"/>
          </w:tcPr>
          <w:p>
            <w:pPr>
              <w:spacing w:after="0"/>
              <w:rPr>
                <w:sz w:val="14"/>
                <w:szCs w:val="14"/>
                <w:color w:val="auto"/>
              </w:rPr>
            </w:pPr>
          </w:p>
        </w:tc>
        <w:tc>
          <w:tcPr>
            <w:tcW w:w="2040" w:type="dxa"/>
            <w:vAlign w:val="bottom"/>
            <w:shd w:val="clear" w:color="auto" w:fill="F0F7E7"/>
          </w:tcPr>
          <w:p>
            <w:pPr>
              <w:spacing w:after="0"/>
              <w:rPr>
                <w:sz w:val="14"/>
                <w:szCs w:val="14"/>
                <w:color w:val="auto"/>
              </w:rPr>
            </w:pPr>
          </w:p>
        </w:tc>
        <w:tc>
          <w:tcPr>
            <w:tcW w:w="4040" w:type="dxa"/>
            <w:vAlign w:val="bottom"/>
            <w:shd w:val="clear" w:color="auto" w:fill="F0F7E7"/>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1505585</wp:posOffset>
            </wp:positionH>
            <wp:positionV relativeFrom="paragraph">
              <wp:posOffset>-709930</wp:posOffset>
            </wp:positionV>
            <wp:extent cx="207010" cy="2070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07010" cy="207010"/>
                    </a:xfrm>
                    <a:prstGeom prst="rect">
                      <a:avLst/>
                    </a:prstGeom>
                    <a:noFill/>
                  </pic:spPr>
                </pic:pic>
              </a:graphicData>
            </a:graphic>
          </wp:anchor>
        </w:drawing>
        <w:drawing>
          <wp:anchor simplePos="0" relativeHeight="251657728" behindDoc="1" locked="0" layoutInCell="0" allowOverlap="1">
            <wp:simplePos x="0" y="0"/>
            <wp:positionH relativeFrom="column">
              <wp:posOffset>3460115</wp:posOffset>
            </wp:positionH>
            <wp:positionV relativeFrom="paragraph">
              <wp:posOffset>-732155</wp:posOffset>
            </wp:positionV>
            <wp:extent cx="244475" cy="229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44475" cy="229235"/>
                    </a:xfrm>
                    <a:prstGeom prst="rect">
                      <a:avLst/>
                    </a:prstGeom>
                    <a:noFill/>
                  </pic:spPr>
                </pic:pic>
              </a:graphicData>
            </a:graphic>
          </wp:anchor>
        </w:drawing>
        <w:drawing>
          <wp:anchor simplePos="0" relativeHeight="251657728" behindDoc="1" locked="0" layoutInCell="0" allowOverlap="1">
            <wp:simplePos x="0" y="0"/>
            <wp:positionH relativeFrom="column">
              <wp:posOffset>5429250</wp:posOffset>
            </wp:positionH>
            <wp:positionV relativeFrom="paragraph">
              <wp:posOffset>-746760</wp:posOffset>
            </wp:positionV>
            <wp:extent cx="214630" cy="2444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14630" cy="244475"/>
                    </a:xfrm>
                    <a:prstGeom prst="rect">
                      <a:avLst/>
                    </a:prstGeom>
                    <a:noFill/>
                  </pic:spPr>
                </pic:pic>
              </a:graphicData>
            </a:graphic>
          </wp:anchor>
        </w:drawing>
      </w:r>
    </w:p>
    <w:p>
      <w:pPr>
        <w:spacing w:after="0" w:line="131" w:lineRule="exact"/>
        <w:rPr>
          <w:sz w:val="20"/>
          <w:szCs w:val="20"/>
          <w:color w:val="auto"/>
        </w:rPr>
      </w:pPr>
    </w:p>
    <w:p>
      <w:pPr>
        <w:ind w:right="20"/>
        <w:spacing w:after="0" w:line="278" w:lineRule="auto"/>
        <w:rPr>
          <w:sz w:val="20"/>
          <w:szCs w:val="20"/>
          <w:color w:val="auto"/>
        </w:rPr>
      </w:pPr>
      <w:r>
        <w:rPr>
          <w:rFonts w:ascii="Arial" w:cs="Arial" w:eastAsia="Arial" w:hAnsi="Arial"/>
          <w:sz w:val="14"/>
          <w:szCs w:val="14"/>
          <w:color w:val="auto"/>
        </w:rPr>
        <w:t>We intend to mail the Notice Regarding the Availability of Proxy Materials containing instructions on how to access this Proxy Statement and our 2024 Annual Report on Form 10-K beginning on or about March 28, 2025 to all stockholders entitled to vote at the Annual Meeting.</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86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140" w:type="dxa"/>
            <w:vAlign w:val="bottom"/>
          </w:tcPr>
          <w:p>
            <w:pPr>
              <w:jc w:val="center"/>
              <w:ind w:left="110"/>
              <w:spacing w:after="0"/>
              <w:rPr>
                <w:sz w:val="20"/>
                <w:szCs w:val="20"/>
                <w:color w:val="auto"/>
              </w:rPr>
            </w:pPr>
            <w:r>
              <w:rPr>
                <w:rFonts w:ascii="Arial" w:cs="Arial" w:eastAsia="Arial" w:hAnsi="Arial"/>
                <w:sz w:val="14"/>
                <w:szCs w:val="14"/>
                <w:b w:val="1"/>
                <w:bCs w:val="1"/>
                <w:color w:val="auto"/>
              </w:rPr>
              <w:t>For More</w:t>
            </w:r>
          </w:p>
        </w:tc>
      </w:tr>
      <w:tr>
        <w:trPr>
          <w:trHeight w:val="163"/>
        </w:trPr>
        <w:tc>
          <w:tcPr>
            <w:tcW w:w="86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2960" w:type="dxa"/>
            <w:vAlign w:val="bottom"/>
          </w:tcPr>
          <w:p>
            <w:pPr>
              <w:ind w:left="1460"/>
              <w:spacing w:after="0"/>
              <w:rPr>
                <w:sz w:val="20"/>
                <w:szCs w:val="20"/>
                <w:color w:val="auto"/>
              </w:rPr>
            </w:pPr>
            <w:r>
              <w:rPr>
                <w:rFonts w:ascii="Arial" w:cs="Arial" w:eastAsia="Arial" w:hAnsi="Arial"/>
                <w:sz w:val="14"/>
                <w:szCs w:val="14"/>
                <w:b w:val="1"/>
                <w:bCs w:val="1"/>
                <w:color w:val="auto"/>
              </w:rPr>
              <w:t>Board Vote</w:t>
            </w:r>
          </w:p>
        </w:tc>
        <w:tc>
          <w:tcPr>
            <w:tcW w:w="1140" w:type="dxa"/>
            <w:vAlign w:val="bottom"/>
          </w:tcPr>
          <w:p>
            <w:pPr>
              <w:jc w:val="center"/>
              <w:ind w:left="130"/>
              <w:spacing w:after="0"/>
              <w:rPr>
                <w:sz w:val="20"/>
                <w:szCs w:val="20"/>
                <w:color w:val="auto"/>
              </w:rPr>
            </w:pPr>
            <w:r>
              <w:rPr>
                <w:rFonts w:ascii="Arial" w:cs="Arial" w:eastAsia="Arial" w:hAnsi="Arial"/>
                <w:sz w:val="14"/>
                <w:szCs w:val="14"/>
                <w:b w:val="1"/>
                <w:bCs w:val="1"/>
                <w:color w:val="auto"/>
              </w:rPr>
              <w:t>Information</w:t>
            </w:r>
          </w:p>
        </w:tc>
      </w:tr>
      <w:tr>
        <w:trPr>
          <w:trHeight w:val="179"/>
        </w:trPr>
        <w:tc>
          <w:tcPr>
            <w:tcW w:w="860" w:type="dxa"/>
            <w:vAlign w:val="bottom"/>
            <w:tcBorders>
              <w:bottom w:val="single" w:sz="8" w:color="7CBD3F"/>
            </w:tcBorders>
          </w:tcPr>
          <w:p>
            <w:pPr>
              <w:ind w:left="40"/>
              <w:spacing w:after="0"/>
              <w:rPr>
                <w:sz w:val="20"/>
                <w:szCs w:val="20"/>
                <w:color w:val="auto"/>
              </w:rPr>
            </w:pPr>
            <w:r>
              <w:rPr>
                <w:rFonts w:ascii="Arial" w:cs="Arial" w:eastAsia="Arial" w:hAnsi="Arial"/>
                <w:sz w:val="14"/>
                <w:szCs w:val="14"/>
                <w:b w:val="1"/>
                <w:bCs w:val="1"/>
                <w:color w:val="auto"/>
              </w:rPr>
              <w:t>Proposals</w:t>
            </w:r>
          </w:p>
        </w:tc>
        <w:tc>
          <w:tcPr>
            <w:tcW w:w="6300" w:type="dxa"/>
            <w:vAlign w:val="bottom"/>
            <w:tcBorders>
              <w:bottom w:val="single" w:sz="8" w:color="7CBD3F"/>
            </w:tcBorders>
          </w:tcPr>
          <w:p>
            <w:pPr>
              <w:spacing w:after="0"/>
              <w:rPr>
                <w:sz w:val="15"/>
                <w:szCs w:val="15"/>
                <w:color w:val="auto"/>
              </w:rPr>
            </w:pPr>
          </w:p>
        </w:tc>
        <w:tc>
          <w:tcPr>
            <w:tcW w:w="2960" w:type="dxa"/>
            <w:vAlign w:val="bottom"/>
            <w:tcBorders>
              <w:bottom w:val="single" w:sz="8" w:color="7CBD3F"/>
            </w:tcBorders>
          </w:tcPr>
          <w:p>
            <w:pPr>
              <w:ind w:left="1460"/>
              <w:spacing w:after="0"/>
              <w:rPr>
                <w:sz w:val="20"/>
                <w:szCs w:val="20"/>
                <w:color w:val="auto"/>
              </w:rPr>
            </w:pPr>
            <w:r>
              <w:rPr>
                <w:rFonts w:ascii="Arial" w:cs="Arial" w:eastAsia="Arial" w:hAnsi="Arial"/>
                <w:sz w:val="14"/>
                <w:szCs w:val="14"/>
                <w:b w:val="1"/>
                <w:bCs w:val="1"/>
                <w:color w:val="auto"/>
              </w:rPr>
              <w:t>Recommendation</w:t>
            </w:r>
          </w:p>
        </w:tc>
        <w:tc>
          <w:tcPr>
            <w:tcW w:w="1140" w:type="dxa"/>
            <w:vAlign w:val="bottom"/>
            <w:tcBorders>
              <w:bottom w:val="single" w:sz="8" w:color="7CBD3F"/>
            </w:tcBorders>
          </w:tcPr>
          <w:p>
            <w:pPr>
              <w:jc w:val="center"/>
              <w:ind w:left="130"/>
              <w:spacing w:after="0"/>
              <w:rPr>
                <w:sz w:val="20"/>
                <w:szCs w:val="20"/>
                <w:color w:val="auto"/>
              </w:rPr>
            </w:pPr>
            <w:r>
              <w:rPr>
                <w:rFonts w:ascii="Arial" w:cs="Arial" w:eastAsia="Arial" w:hAnsi="Arial"/>
                <w:sz w:val="14"/>
                <w:szCs w:val="14"/>
                <w:b w:val="1"/>
                <w:bCs w:val="1"/>
                <w:color w:val="auto"/>
                <w:w w:val="99"/>
              </w:rPr>
              <w:t>See Page</w:t>
            </w:r>
          </w:p>
        </w:tc>
      </w:tr>
      <w:tr>
        <w:trPr>
          <w:trHeight w:val="163"/>
        </w:trPr>
        <w:tc>
          <w:tcPr>
            <w:tcW w:w="7160" w:type="dxa"/>
            <w:vAlign w:val="bottom"/>
            <w:gridSpan w:val="2"/>
          </w:tcPr>
          <w:p>
            <w:pPr>
              <w:ind w:left="40"/>
              <w:spacing w:after="0"/>
              <w:rPr>
                <w:sz w:val="20"/>
                <w:szCs w:val="20"/>
                <w:color w:val="auto"/>
              </w:rPr>
            </w:pPr>
            <w:r>
              <w:rPr>
                <w:rFonts w:ascii="Arial" w:cs="Arial" w:eastAsia="Arial" w:hAnsi="Arial"/>
                <w:sz w:val="14"/>
                <w:szCs w:val="14"/>
                <w:b w:val="1"/>
                <w:bCs w:val="1"/>
                <w:color w:val="7CBD3F"/>
              </w:rPr>
              <w:t xml:space="preserve">Proposal 1   </w:t>
            </w:r>
            <w:r>
              <w:rPr>
                <w:rFonts w:ascii="Arial" w:cs="Arial" w:eastAsia="Arial" w:hAnsi="Arial"/>
                <w:sz w:val="14"/>
                <w:szCs w:val="14"/>
                <w:color w:val="000000"/>
              </w:rPr>
              <w:t>Election of Class III Directors</w:t>
            </w:r>
          </w:p>
        </w:tc>
        <w:tc>
          <w:tcPr>
            <w:tcW w:w="2960" w:type="dxa"/>
            <w:vAlign w:val="bottom"/>
          </w:tcPr>
          <w:p>
            <w:pPr>
              <w:ind w:left="1460"/>
              <w:spacing w:after="0"/>
              <w:rPr>
                <w:sz w:val="20"/>
                <w:szCs w:val="20"/>
                <w:color w:val="auto"/>
              </w:rPr>
            </w:pPr>
            <w:r>
              <w:rPr>
                <w:rFonts w:ascii="Arial" w:cs="Arial" w:eastAsia="Arial" w:hAnsi="Arial"/>
                <w:sz w:val="14"/>
                <w:szCs w:val="14"/>
                <w:b w:val="1"/>
                <w:bCs w:val="1"/>
                <w:color w:val="7CBD3F"/>
              </w:rPr>
              <w:t xml:space="preserve">FOR </w:t>
            </w:r>
            <w:r>
              <w:rPr>
                <w:rFonts w:ascii="Arial" w:cs="Arial" w:eastAsia="Arial" w:hAnsi="Arial"/>
                <w:sz w:val="14"/>
                <w:szCs w:val="14"/>
                <w:color w:val="000000"/>
              </w:rPr>
              <w:t>each nominee</w:t>
            </w:r>
          </w:p>
        </w:tc>
        <w:tc>
          <w:tcPr>
            <w:tcW w:w="1140" w:type="dxa"/>
            <w:vAlign w:val="bottom"/>
          </w:tcPr>
          <w:p>
            <w:pPr>
              <w:jc w:val="center"/>
              <w:ind w:left="110"/>
              <w:spacing w:after="0"/>
              <w:rPr>
                <w:sz w:val="20"/>
                <w:szCs w:val="20"/>
                <w:color w:val="auto"/>
              </w:rPr>
            </w:pPr>
            <w:r>
              <w:rPr>
                <w:rFonts w:ascii="Arial" w:cs="Arial" w:eastAsia="Arial" w:hAnsi="Arial"/>
                <w:sz w:val="14"/>
                <w:szCs w:val="14"/>
                <w:color w:val="auto"/>
              </w:rPr>
              <w:t>8</w:t>
            </w:r>
          </w:p>
        </w:tc>
      </w:tr>
      <w:tr>
        <w:trPr>
          <w:trHeight w:val="163"/>
        </w:trPr>
        <w:tc>
          <w:tcPr>
            <w:tcW w:w="860" w:type="dxa"/>
            <w:vAlign w:val="bottom"/>
            <w:shd w:val="clear" w:color="auto" w:fill="F0F7E7"/>
          </w:tcPr>
          <w:p>
            <w:pPr>
              <w:ind w:left="40"/>
              <w:spacing w:after="0"/>
              <w:rPr>
                <w:sz w:val="20"/>
                <w:szCs w:val="20"/>
                <w:color w:val="auto"/>
              </w:rPr>
            </w:pPr>
            <w:r>
              <w:rPr>
                <w:rFonts w:ascii="Arial" w:cs="Arial" w:eastAsia="Arial" w:hAnsi="Arial"/>
                <w:sz w:val="14"/>
                <w:szCs w:val="14"/>
                <w:b w:val="1"/>
                <w:bCs w:val="1"/>
                <w:color w:val="7CBD3F"/>
              </w:rPr>
              <w:t>Proposal 2</w:t>
            </w:r>
          </w:p>
        </w:tc>
        <w:tc>
          <w:tcPr>
            <w:tcW w:w="6300" w:type="dxa"/>
            <w:vAlign w:val="bottom"/>
            <w:shd w:val="clear" w:color="auto" w:fill="F0F7E7"/>
          </w:tcPr>
          <w:p>
            <w:pPr>
              <w:ind w:left="120"/>
              <w:spacing w:after="0"/>
              <w:rPr>
                <w:sz w:val="20"/>
                <w:szCs w:val="20"/>
                <w:color w:val="auto"/>
              </w:rPr>
            </w:pPr>
            <w:r>
              <w:rPr>
                <w:rFonts w:ascii="Arial" w:cs="Arial" w:eastAsia="Arial" w:hAnsi="Arial"/>
                <w:sz w:val="14"/>
                <w:szCs w:val="14"/>
                <w:color w:val="auto"/>
              </w:rPr>
              <w:t>Approval of the Second A&amp;R 2023 Plan</w:t>
            </w:r>
          </w:p>
        </w:tc>
        <w:tc>
          <w:tcPr>
            <w:tcW w:w="2960" w:type="dxa"/>
            <w:vAlign w:val="bottom"/>
            <w:shd w:val="clear" w:color="auto" w:fill="F0F7E7"/>
          </w:tcPr>
          <w:p>
            <w:pPr>
              <w:ind w:left="1460"/>
              <w:spacing w:after="0"/>
              <w:rPr>
                <w:sz w:val="20"/>
                <w:szCs w:val="20"/>
                <w:color w:val="auto"/>
              </w:rPr>
            </w:pPr>
            <w:r>
              <w:rPr>
                <w:rFonts w:ascii="Arial" w:cs="Arial" w:eastAsia="Arial" w:hAnsi="Arial"/>
                <w:sz w:val="14"/>
                <w:szCs w:val="14"/>
                <w:b w:val="1"/>
                <w:bCs w:val="1"/>
                <w:color w:val="7CBD3F"/>
              </w:rPr>
              <w:t>FOR</w:t>
            </w:r>
          </w:p>
        </w:tc>
        <w:tc>
          <w:tcPr>
            <w:tcW w:w="1140" w:type="dxa"/>
            <w:vAlign w:val="bottom"/>
            <w:shd w:val="clear" w:color="auto" w:fill="F0F7E7"/>
          </w:tcPr>
          <w:p>
            <w:pPr>
              <w:jc w:val="center"/>
              <w:ind w:left="130"/>
              <w:spacing w:after="0"/>
              <w:rPr>
                <w:sz w:val="20"/>
                <w:szCs w:val="20"/>
                <w:color w:val="auto"/>
              </w:rPr>
            </w:pPr>
            <w:r>
              <w:rPr>
                <w:rFonts w:ascii="Arial" w:cs="Arial" w:eastAsia="Arial" w:hAnsi="Arial"/>
                <w:sz w:val="14"/>
                <w:szCs w:val="14"/>
                <w:color w:val="auto"/>
                <w:w w:val="89"/>
              </w:rPr>
              <w:t>13</w:t>
            </w:r>
          </w:p>
        </w:tc>
      </w:tr>
      <w:tr>
        <w:trPr>
          <w:trHeight w:val="163"/>
        </w:trPr>
        <w:tc>
          <w:tcPr>
            <w:tcW w:w="860" w:type="dxa"/>
            <w:vAlign w:val="bottom"/>
          </w:tcPr>
          <w:p>
            <w:pPr>
              <w:ind w:left="40"/>
              <w:spacing w:after="0"/>
              <w:rPr>
                <w:sz w:val="20"/>
                <w:szCs w:val="20"/>
                <w:color w:val="auto"/>
              </w:rPr>
            </w:pPr>
            <w:r>
              <w:rPr>
                <w:rFonts w:ascii="Arial" w:cs="Arial" w:eastAsia="Arial" w:hAnsi="Arial"/>
                <w:sz w:val="14"/>
                <w:szCs w:val="14"/>
                <w:b w:val="1"/>
                <w:bCs w:val="1"/>
                <w:color w:val="7CBD3F"/>
              </w:rPr>
              <w:t>Proposal 3</w:t>
            </w:r>
          </w:p>
        </w:tc>
        <w:tc>
          <w:tcPr>
            <w:tcW w:w="6300" w:type="dxa"/>
            <w:vAlign w:val="bottom"/>
          </w:tcPr>
          <w:p>
            <w:pPr>
              <w:ind w:left="120"/>
              <w:spacing w:after="0"/>
              <w:rPr>
                <w:sz w:val="20"/>
                <w:szCs w:val="20"/>
                <w:color w:val="auto"/>
              </w:rPr>
            </w:pPr>
            <w:r>
              <w:rPr>
                <w:rFonts w:ascii="Arial" w:cs="Arial" w:eastAsia="Arial" w:hAnsi="Arial"/>
                <w:sz w:val="14"/>
                <w:szCs w:val="14"/>
                <w:color w:val="auto"/>
              </w:rPr>
              <w:t>Ratification of the selection of Ernst &amp; Young LLP as our independent auditor</w:t>
            </w:r>
          </w:p>
        </w:tc>
        <w:tc>
          <w:tcPr>
            <w:tcW w:w="2960" w:type="dxa"/>
            <w:vAlign w:val="bottom"/>
          </w:tcPr>
          <w:p>
            <w:pPr>
              <w:ind w:left="1460"/>
              <w:spacing w:after="0"/>
              <w:rPr>
                <w:sz w:val="20"/>
                <w:szCs w:val="20"/>
                <w:color w:val="auto"/>
              </w:rPr>
            </w:pPr>
            <w:r>
              <w:rPr>
                <w:rFonts w:ascii="Arial" w:cs="Arial" w:eastAsia="Arial" w:hAnsi="Arial"/>
                <w:sz w:val="14"/>
                <w:szCs w:val="14"/>
                <w:b w:val="1"/>
                <w:bCs w:val="1"/>
                <w:color w:val="7CBD3F"/>
              </w:rPr>
              <w:t>FOR</w:t>
            </w:r>
          </w:p>
        </w:tc>
        <w:tc>
          <w:tcPr>
            <w:tcW w:w="1140" w:type="dxa"/>
            <w:vAlign w:val="bottom"/>
          </w:tcPr>
          <w:p>
            <w:pPr>
              <w:jc w:val="center"/>
              <w:ind w:left="130"/>
              <w:spacing w:after="0"/>
              <w:rPr>
                <w:sz w:val="20"/>
                <w:szCs w:val="20"/>
                <w:color w:val="auto"/>
              </w:rPr>
            </w:pPr>
            <w:r>
              <w:rPr>
                <w:rFonts w:ascii="Arial" w:cs="Arial" w:eastAsia="Arial" w:hAnsi="Arial"/>
                <w:sz w:val="14"/>
                <w:szCs w:val="14"/>
                <w:color w:val="auto"/>
                <w:w w:val="89"/>
              </w:rPr>
              <w:t>22</w:t>
            </w:r>
          </w:p>
        </w:tc>
      </w:tr>
      <w:tr>
        <w:trPr>
          <w:trHeight w:val="167"/>
        </w:trPr>
        <w:tc>
          <w:tcPr>
            <w:tcW w:w="860" w:type="dxa"/>
            <w:vAlign w:val="bottom"/>
            <w:tcBorders>
              <w:bottom w:val="single" w:sz="8" w:color="7CBD3F"/>
            </w:tcBorders>
            <w:shd w:val="clear" w:color="auto" w:fill="F0F7E7"/>
          </w:tcPr>
          <w:p>
            <w:pPr>
              <w:ind w:left="40"/>
              <w:spacing w:after="0"/>
              <w:rPr>
                <w:sz w:val="20"/>
                <w:szCs w:val="20"/>
                <w:color w:val="auto"/>
              </w:rPr>
            </w:pPr>
            <w:r>
              <w:rPr>
                <w:rFonts w:ascii="Arial" w:cs="Arial" w:eastAsia="Arial" w:hAnsi="Arial"/>
                <w:sz w:val="14"/>
                <w:szCs w:val="14"/>
                <w:b w:val="1"/>
                <w:bCs w:val="1"/>
                <w:color w:val="7CBD3F"/>
              </w:rPr>
              <w:t>Proposal 4</w:t>
            </w:r>
          </w:p>
        </w:tc>
        <w:tc>
          <w:tcPr>
            <w:tcW w:w="6300" w:type="dxa"/>
            <w:vAlign w:val="bottom"/>
            <w:tcBorders>
              <w:bottom w:val="single" w:sz="8" w:color="7CBD3F"/>
            </w:tcBorders>
            <w:shd w:val="clear" w:color="auto" w:fill="F0F7E7"/>
          </w:tcPr>
          <w:p>
            <w:pPr>
              <w:ind w:left="120"/>
              <w:spacing w:after="0"/>
              <w:rPr>
                <w:sz w:val="20"/>
                <w:szCs w:val="20"/>
                <w:color w:val="auto"/>
              </w:rPr>
            </w:pPr>
            <w:r>
              <w:rPr>
                <w:rFonts w:ascii="Arial" w:cs="Arial" w:eastAsia="Arial" w:hAnsi="Arial"/>
                <w:sz w:val="14"/>
                <w:szCs w:val="14"/>
                <w:color w:val="auto"/>
              </w:rPr>
              <w:t>Say on Pay</w:t>
            </w:r>
          </w:p>
        </w:tc>
        <w:tc>
          <w:tcPr>
            <w:tcW w:w="2960" w:type="dxa"/>
            <w:vAlign w:val="bottom"/>
            <w:tcBorders>
              <w:bottom w:val="single" w:sz="8" w:color="7CBD3F"/>
            </w:tcBorders>
            <w:shd w:val="clear" w:color="auto" w:fill="F0F7E7"/>
          </w:tcPr>
          <w:p>
            <w:pPr>
              <w:ind w:left="1460"/>
              <w:spacing w:after="0"/>
              <w:rPr>
                <w:sz w:val="20"/>
                <w:szCs w:val="20"/>
                <w:color w:val="auto"/>
              </w:rPr>
            </w:pPr>
            <w:r>
              <w:rPr>
                <w:rFonts w:ascii="Arial" w:cs="Arial" w:eastAsia="Arial" w:hAnsi="Arial"/>
                <w:sz w:val="14"/>
                <w:szCs w:val="14"/>
                <w:b w:val="1"/>
                <w:bCs w:val="1"/>
                <w:color w:val="7CBD3F"/>
              </w:rPr>
              <w:t>FOR</w:t>
            </w:r>
          </w:p>
        </w:tc>
        <w:tc>
          <w:tcPr>
            <w:tcW w:w="1140" w:type="dxa"/>
            <w:vAlign w:val="bottom"/>
            <w:tcBorders>
              <w:bottom w:val="single" w:sz="8" w:color="7CBD3F"/>
            </w:tcBorders>
            <w:shd w:val="clear" w:color="auto" w:fill="F0F7E7"/>
          </w:tcPr>
          <w:p>
            <w:pPr>
              <w:jc w:val="center"/>
              <w:ind w:left="130"/>
              <w:spacing w:after="0"/>
              <w:rPr>
                <w:sz w:val="20"/>
                <w:szCs w:val="20"/>
                <w:color w:val="auto"/>
              </w:rPr>
            </w:pPr>
            <w:r>
              <w:rPr>
                <w:rFonts w:ascii="Arial" w:cs="Arial" w:eastAsia="Arial" w:hAnsi="Arial"/>
                <w:sz w:val="14"/>
                <w:szCs w:val="14"/>
                <w:color w:val="auto"/>
                <w:w w:val="89"/>
              </w:rPr>
              <w:t>25</w:t>
            </w:r>
          </w:p>
        </w:tc>
      </w:tr>
    </w:tbl>
    <w:p>
      <w:pPr>
        <w:spacing w:after="0" w:line="2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Business Highlights</w:t>
      </w:r>
    </w:p>
    <w:p>
      <w:pPr>
        <w:spacing w:after="0" w:line="175"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2024 was a pivotal year for the Company as we expanded access and grew revenue from our four global commercial products while also advancing our six late-stage programs in serious genetic conditions. See page 37 for a summary of our achievements in 2024.</w:t>
      </w:r>
    </w:p>
    <w:p>
      <w:pPr>
        <w:sectPr>
          <w:pgSz w:w="11900" w:h="16838" w:orient="portrait"/>
          <w:cols w:equalWidth="0" w:num="1">
            <w:col w:w="11260"/>
          </w:cols>
          <w:pgMar w:left="320" w:top="225" w:right="319" w:bottom="1440" w:gutter="0" w:footer="0" w:header="0"/>
        </w:sectPr>
      </w:pPr>
    </w:p>
    <w:p>
      <w:pPr>
        <w:spacing w:after="0" w:line="156" w:lineRule="exact"/>
        <w:rPr>
          <w:sz w:val="20"/>
          <w:szCs w:val="20"/>
          <w:color w:val="auto"/>
        </w:rPr>
      </w:pPr>
    </w:p>
    <w:tbl>
      <w:tblPr>
        <w:tblLayout w:type="fixed"/>
        <w:tblInd w:w="10" w:type="dxa"/>
        <w:tblCellMar>
          <w:top w:w="0" w:type="dxa"/>
          <w:left w:w="0" w:type="dxa"/>
          <w:bottom w:w="0" w:type="dxa"/>
          <w:right w:w="0" w:type="dxa"/>
        </w:tblCellMar>
      </w:tblPr>
      <w:tr>
        <w:trPr>
          <w:trHeight w:val="613"/>
        </w:trPr>
        <w:tc>
          <w:tcPr>
            <w:tcW w:w="2380" w:type="dxa"/>
            <w:vAlign w:val="bottom"/>
            <w:tcBorders>
              <w:top w:val="single" w:sz="8" w:color="7CBD3F"/>
              <w:left w:val="single" w:sz="8" w:color="7CBD3F"/>
              <w:right w:val="single" w:sz="8" w:color="7CBD3F"/>
            </w:tcBorders>
          </w:tcPr>
          <w:p>
            <w:pPr>
              <w:jc w:val="center"/>
              <w:spacing w:after="0" w:line="612" w:lineRule="exact"/>
              <w:rPr>
                <w:sz w:val="20"/>
                <w:szCs w:val="20"/>
                <w:color w:val="auto"/>
              </w:rPr>
            </w:pPr>
            <w:r>
              <w:rPr>
                <w:rFonts w:ascii="Arial" w:cs="Arial" w:eastAsia="Arial" w:hAnsi="Arial"/>
                <w:sz w:val="56"/>
                <w:szCs w:val="56"/>
                <w:b w:val="1"/>
                <w:bCs w:val="1"/>
                <w:color w:val="7CBD3F"/>
                <w:w w:val="99"/>
              </w:rPr>
              <w:t>Raised</w:t>
            </w:r>
          </w:p>
        </w:tc>
        <w:tc>
          <w:tcPr>
            <w:tcW w:w="240" w:type="dxa"/>
            <w:vAlign w:val="bottom"/>
            <w:tcBorders>
              <w:right w:val="single" w:sz="8" w:color="7CBD3F"/>
            </w:tcBorders>
          </w:tcPr>
          <w:p>
            <w:pPr>
              <w:spacing w:after="0"/>
              <w:rPr>
                <w:sz w:val="24"/>
                <w:szCs w:val="24"/>
                <w:color w:val="auto"/>
              </w:rPr>
            </w:pPr>
          </w:p>
        </w:tc>
        <w:tc>
          <w:tcPr>
            <w:tcW w:w="2360" w:type="dxa"/>
            <w:vAlign w:val="bottom"/>
            <w:tcBorders>
              <w:top w:val="single" w:sz="8" w:color="7CBD3F"/>
              <w:right w:val="single" w:sz="8" w:color="7CBD3F"/>
            </w:tcBorders>
            <w:vMerge w:val="restart"/>
          </w:tcPr>
          <w:p>
            <w:pPr>
              <w:jc w:val="center"/>
              <w:spacing w:after="0"/>
              <w:rPr>
                <w:sz w:val="20"/>
                <w:szCs w:val="20"/>
                <w:color w:val="auto"/>
              </w:rPr>
            </w:pPr>
            <w:r>
              <w:rPr>
                <w:rFonts w:ascii="Arial" w:cs="Arial" w:eastAsia="Arial" w:hAnsi="Arial"/>
                <w:sz w:val="56"/>
                <w:szCs w:val="56"/>
                <w:b w:val="1"/>
                <w:bCs w:val="1"/>
                <w:color w:val="7CBD3F"/>
              </w:rPr>
              <w:t>78</w:t>
            </w:r>
            <w:r>
              <w:rPr>
                <w:rFonts w:ascii="Arial" w:cs="Arial" w:eastAsia="Arial" w:hAnsi="Arial"/>
                <w:sz w:val="27"/>
                <w:szCs w:val="27"/>
                <w:b w:val="1"/>
                <w:bCs w:val="1"/>
                <w:color w:val="7CBD3F"/>
              </w:rPr>
              <w:t>%</w:t>
            </w:r>
          </w:p>
        </w:tc>
        <w:tc>
          <w:tcPr>
            <w:tcW w:w="0" w:type="dxa"/>
            <w:vAlign w:val="bottom"/>
          </w:tcPr>
          <w:p>
            <w:pPr>
              <w:spacing w:after="0"/>
              <w:rPr>
                <w:sz w:val="1"/>
                <w:szCs w:val="1"/>
                <w:color w:val="auto"/>
              </w:rPr>
            </w:pPr>
          </w:p>
        </w:tc>
      </w:tr>
      <w:tr>
        <w:trPr>
          <w:trHeight w:val="394"/>
        </w:trPr>
        <w:tc>
          <w:tcPr>
            <w:tcW w:w="2380" w:type="dxa"/>
            <w:vAlign w:val="bottom"/>
            <w:tcBorders>
              <w:left w:val="single" w:sz="8" w:color="7CBD3F"/>
              <w:right w:val="single" w:sz="8" w:color="7CBD3F"/>
            </w:tcBorders>
            <w:vMerge w:val="restart"/>
          </w:tcPr>
          <w:p>
            <w:pPr>
              <w:jc w:val="center"/>
              <w:spacing w:after="0" w:line="639" w:lineRule="exact"/>
              <w:rPr>
                <w:sz w:val="20"/>
                <w:szCs w:val="20"/>
                <w:color w:val="auto"/>
              </w:rPr>
            </w:pPr>
            <w:r>
              <w:rPr>
                <w:rFonts w:ascii="Arial" w:cs="Arial" w:eastAsia="Arial" w:hAnsi="Arial"/>
                <w:sz w:val="56"/>
                <w:szCs w:val="56"/>
                <w:b w:val="1"/>
                <w:bCs w:val="1"/>
                <w:color w:val="7CBD3F"/>
                <w:w w:val="98"/>
              </w:rPr>
              <w:t>and</w:t>
            </w:r>
          </w:p>
        </w:tc>
        <w:tc>
          <w:tcPr>
            <w:tcW w:w="240" w:type="dxa"/>
            <w:vAlign w:val="bottom"/>
            <w:tcBorders>
              <w:right w:val="single" w:sz="8" w:color="7CBD3F"/>
            </w:tcBorders>
          </w:tcPr>
          <w:p>
            <w:pPr>
              <w:spacing w:after="0"/>
              <w:rPr>
                <w:sz w:val="24"/>
                <w:szCs w:val="24"/>
                <w:color w:val="auto"/>
              </w:rPr>
            </w:pPr>
          </w:p>
        </w:tc>
        <w:tc>
          <w:tcPr>
            <w:tcW w:w="2360" w:type="dxa"/>
            <w:vAlign w:val="bottom"/>
            <w:tcBorders>
              <w:right w:val="single" w:sz="8" w:color="7CBD3F"/>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380" w:type="dxa"/>
            <w:vAlign w:val="bottom"/>
            <w:tcBorders>
              <w:left w:val="single" w:sz="8" w:color="7CBD3F"/>
              <w:right w:val="single" w:sz="8" w:color="7CBD3F"/>
            </w:tcBorders>
            <w:vMerge w:val="continue"/>
          </w:tcPr>
          <w:p>
            <w:pPr>
              <w:spacing w:after="0"/>
              <w:rPr>
                <w:sz w:val="21"/>
                <w:szCs w:val="21"/>
                <w:color w:val="auto"/>
              </w:rPr>
            </w:pPr>
          </w:p>
        </w:tc>
        <w:tc>
          <w:tcPr>
            <w:tcW w:w="240" w:type="dxa"/>
            <w:vAlign w:val="bottom"/>
            <w:tcBorders>
              <w:right w:val="single" w:sz="8" w:color="7CBD3F"/>
            </w:tcBorders>
          </w:tcPr>
          <w:p>
            <w:pPr>
              <w:spacing w:after="0"/>
              <w:rPr>
                <w:sz w:val="21"/>
                <w:szCs w:val="21"/>
                <w:color w:val="auto"/>
              </w:rPr>
            </w:pPr>
          </w:p>
        </w:tc>
        <w:tc>
          <w:tcPr>
            <w:tcW w:w="2360" w:type="dxa"/>
            <w:vAlign w:val="bottom"/>
            <w:tcBorders>
              <w:right w:val="single" w:sz="8" w:color="7CBD3F"/>
            </w:tcBorders>
          </w:tcPr>
          <w:p>
            <w:pPr>
              <w:jc w:val="center"/>
              <w:spacing w:after="0" w:line="247" w:lineRule="exact"/>
              <w:rPr>
                <w:sz w:val="20"/>
                <w:szCs w:val="20"/>
                <w:color w:val="auto"/>
              </w:rPr>
            </w:pPr>
            <w:r>
              <w:rPr>
                <w:rFonts w:ascii="Arial" w:cs="Arial" w:eastAsia="Arial" w:hAnsi="Arial"/>
                <w:sz w:val="22"/>
                <w:szCs w:val="22"/>
                <w:color w:val="auto"/>
                <w:w w:val="98"/>
              </w:rPr>
              <w:t>growth in</w:t>
            </w:r>
          </w:p>
        </w:tc>
        <w:tc>
          <w:tcPr>
            <w:tcW w:w="0" w:type="dxa"/>
            <w:vAlign w:val="bottom"/>
          </w:tcPr>
          <w:p>
            <w:pPr>
              <w:spacing w:after="0"/>
              <w:rPr>
                <w:sz w:val="1"/>
                <w:szCs w:val="1"/>
                <w:color w:val="auto"/>
              </w:rPr>
            </w:pPr>
          </w:p>
        </w:tc>
      </w:tr>
      <w:tr>
        <w:trPr>
          <w:trHeight w:val="273"/>
        </w:trPr>
        <w:tc>
          <w:tcPr>
            <w:tcW w:w="2380" w:type="dxa"/>
            <w:vAlign w:val="bottom"/>
            <w:tcBorders>
              <w:left w:val="single" w:sz="8" w:color="7CBD3F"/>
              <w:right w:val="single" w:sz="8" w:color="7CBD3F"/>
            </w:tcBorders>
          </w:tcPr>
          <w:p>
            <w:pPr>
              <w:jc w:val="center"/>
              <w:spacing w:after="0" w:line="272" w:lineRule="exact"/>
              <w:rPr>
                <w:sz w:val="20"/>
                <w:szCs w:val="20"/>
                <w:color w:val="auto"/>
              </w:rPr>
            </w:pPr>
            <w:r>
              <w:rPr>
                <w:rFonts w:ascii="Arial" w:cs="Arial" w:eastAsia="Arial" w:hAnsi="Arial"/>
                <w:sz w:val="31"/>
                <w:szCs w:val="31"/>
                <w:b w:val="1"/>
                <w:bCs w:val="1"/>
                <w:color w:val="7CBD3F"/>
              </w:rPr>
              <w:t>Beat</w:t>
            </w:r>
          </w:p>
        </w:tc>
        <w:tc>
          <w:tcPr>
            <w:tcW w:w="240" w:type="dxa"/>
            <w:vAlign w:val="bottom"/>
            <w:tcBorders>
              <w:right w:val="single" w:sz="8" w:color="7CBD3F"/>
            </w:tcBorders>
          </w:tcPr>
          <w:p>
            <w:pPr>
              <w:spacing w:after="0"/>
              <w:rPr>
                <w:sz w:val="23"/>
                <w:szCs w:val="23"/>
                <w:color w:val="auto"/>
              </w:rPr>
            </w:pPr>
          </w:p>
        </w:tc>
        <w:tc>
          <w:tcPr>
            <w:tcW w:w="2360" w:type="dxa"/>
            <w:vAlign w:val="bottom"/>
            <w:tcBorders>
              <w:right w:val="single" w:sz="8" w:color="7CBD3F"/>
            </w:tcBorders>
            <w:vMerge w:val="restart"/>
          </w:tcPr>
          <w:p>
            <w:pPr>
              <w:jc w:val="center"/>
              <w:spacing w:after="0" w:line="313" w:lineRule="exact"/>
              <w:rPr>
                <w:sz w:val="20"/>
                <w:szCs w:val="20"/>
                <w:color w:val="auto"/>
              </w:rPr>
            </w:pPr>
            <w:r>
              <w:rPr>
                <w:rFonts w:ascii="Arial" w:cs="Arial" w:eastAsia="Arial" w:hAnsi="Arial"/>
                <w:sz w:val="22"/>
                <w:szCs w:val="22"/>
                <w:color w:val="auto"/>
                <w:w w:val="95"/>
              </w:rPr>
              <w:t>Crysvita</w:t>
            </w:r>
            <w:r>
              <w:rPr>
                <w:rFonts w:ascii="Arial" w:cs="Arial" w:eastAsia="Arial" w:hAnsi="Arial"/>
                <w:sz w:val="36"/>
                <w:szCs w:val="36"/>
                <w:color w:val="auto"/>
                <w:w w:val="95"/>
                <w:vertAlign w:val="superscript"/>
              </w:rPr>
              <w:t>®</w:t>
            </w:r>
            <w:r>
              <w:rPr>
                <w:rFonts w:ascii="Arial" w:cs="Arial" w:eastAsia="Arial" w:hAnsi="Arial"/>
                <w:sz w:val="22"/>
                <w:szCs w:val="22"/>
                <w:color w:val="auto"/>
                <w:w w:val="95"/>
              </w:rPr>
              <w:t xml:space="preserve"> sales</w:t>
            </w:r>
          </w:p>
        </w:tc>
        <w:tc>
          <w:tcPr>
            <w:tcW w:w="0" w:type="dxa"/>
            <w:vAlign w:val="bottom"/>
          </w:tcPr>
          <w:p>
            <w:pPr>
              <w:spacing w:after="0"/>
              <w:rPr>
                <w:sz w:val="1"/>
                <w:szCs w:val="1"/>
                <w:color w:val="auto"/>
              </w:rPr>
            </w:pPr>
          </w:p>
        </w:tc>
      </w:tr>
      <w:tr>
        <w:trPr>
          <w:trHeight w:val="40"/>
        </w:trPr>
        <w:tc>
          <w:tcPr>
            <w:tcW w:w="2380" w:type="dxa"/>
            <w:vAlign w:val="bottom"/>
            <w:tcBorders>
              <w:left w:val="single" w:sz="8" w:color="7CBD3F"/>
              <w:right w:val="single" w:sz="8" w:color="7CBD3F"/>
            </w:tcBorders>
          </w:tcPr>
          <w:p>
            <w:pPr>
              <w:spacing w:after="0"/>
              <w:rPr>
                <w:sz w:val="3"/>
                <w:szCs w:val="3"/>
                <w:color w:val="auto"/>
              </w:rPr>
            </w:pPr>
          </w:p>
        </w:tc>
        <w:tc>
          <w:tcPr>
            <w:tcW w:w="240" w:type="dxa"/>
            <w:vAlign w:val="bottom"/>
            <w:tcBorders>
              <w:right w:val="single" w:sz="8" w:color="7CBD3F"/>
            </w:tcBorders>
          </w:tcPr>
          <w:p>
            <w:pPr>
              <w:spacing w:after="0"/>
              <w:rPr>
                <w:sz w:val="3"/>
                <w:szCs w:val="3"/>
                <w:color w:val="auto"/>
              </w:rPr>
            </w:pPr>
          </w:p>
        </w:tc>
        <w:tc>
          <w:tcPr>
            <w:tcW w:w="2360" w:type="dxa"/>
            <w:vAlign w:val="bottom"/>
            <w:tcBorders>
              <w:right w:val="single" w:sz="8" w:color="7CBD3F"/>
            </w:tcBorders>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2380" w:type="dxa"/>
            <w:vAlign w:val="bottom"/>
            <w:tcBorders>
              <w:left w:val="single" w:sz="8" w:color="7CBD3F"/>
              <w:right w:val="single" w:sz="8" w:color="7CBD3F"/>
            </w:tcBorders>
          </w:tcPr>
          <w:p>
            <w:pPr>
              <w:spacing w:after="0"/>
              <w:rPr>
                <w:sz w:val="22"/>
                <w:szCs w:val="22"/>
                <w:color w:val="auto"/>
              </w:rPr>
            </w:pPr>
          </w:p>
        </w:tc>
        <w:tc>
          <w:tcPr>
            <w:tcW w:w="240" w:type="dxa"/>
            <w:vAlign w:val="bottom"/>
            <w:tcBorders>
              <w:right w:val="single" w:sz="8" w:color="7CBD3F"/>
            </w:tcBorders>
          </w:tcPr>
          <w:p>
            <w:pPr>
              <w:spacing w:after="0"/>
              <w:rPr>
                <w:sz w:val="22"/>
                <w:szCs w:val="22"/>
                <w:color w:val="auto"/>
              </w:rPr>
            </w:pPr>
          </w:p>
        </w:tc>
        <w:tc>
          <w:tcPr>
            <w:tcW w:w="2360" w:type="dxa"/>
            <w:vAlign w:val="bottom"/>
            <w:tcBorders>
              <w:right w:val="single" w:sz="8" w:color="7CBD3F"/>
            </w:tcBorders>
          </w:tcPr>
          <w:p>
            <w:pPr>
              <w:jc w:val="center"/>
              <w:spacing w:after="0"/>
              <w:rPr>
                <w:sz w:val="20"/>
                <w:szCs w:val="20"/>
                <w:color w:val="auto"/>
              </w:rPr>
            </w:pPr>
            <w:r>
              <w:rPr>
                <w:rFonts w:ascii="Arial" w:cs="Arial" w:eastAsia="Arial" w:hAnsi="Arial"/>
                <w:sz w:val="22"/>
                <w:szCs w:val="22"/>
                <w:color w:val="auto"/>
                <w:w w:val="98"/>
              </w:rPr>
              <w:t>in Latin America</w:t>
            </w:r>
          </w:p>
        </w:tc>
        <w:tc>
          <w:tcPr>
            <w:tcW w:w="0" w:type="dxa"/>
            <w:vAlign w:val="bottom"/>
          </w:tcPr>
          <w:p>
            <w:pPr>
              <w:spacing w:after="0"/>
              <w:rPr>
                <w:sz w:val="1"/>
                <w:szCs w:val="1"/>
                <w:color w:val="auto"/>
              </w:rPr>
            </w:pPr>
          </w:p>
        </w:tc>
      </w:tr>
      <w:tr>
        <w:trPr>
          <w:trHeight w:val="287"/>
        </w:trPr>
        <w:tc>
          <w:tcPr>
            <w:tcW w:w="2380" w:type="dxa"/>
            <w:vAlign w:val="bottom"/>
            <w:tcBorders>
              <w:left w:val="single" w:sz="8" w:color="7CBD3F"/>
              <w:right w:val="single" w:sz="8" w:color="7CBD3F"/>
            </w:tcBorders>
            <w:vMerge w:val="restart"/>
          </w:tcPr>
          <w:p>
            <w:pPr>
              <w:jc w:val="center"/>
              <w:spacing w:after="0"/>
              <w:rPr>
                <w:sz w:val="20"/>
                <w:szCs w:val="20"/>
                <w:color w:val="auto"/>
              </w:rPr>
            </w:pPr>
            <w:r>
              <w:rPr>
                <w:rFonts w:ascii="Arial" w:cs="Arial" w:eastAsia="Arial" w:hAnsi="Arial"/>
                <w:sz w:val="22"/>
                <w:szCs w:val="22"/>
                <w:color w:val="auto"/>
                <w:w w:val="97"/>
              </w:rPr>
              <w:t>Full Year Financial</w:t>
            </w:r>
          </w:p>
        </w:tc>
        <w:tc>
          <w:tcPr>
            <w:tcW w:w="240" w:type="dxa"/>
            <w:vAlign w:val="bottom"/>
            <w:tcBorders>
              <w:right w:val="single" w:sz="8" w:color="7CBD3F"/>
            </w:tcBorders>
          </w:tcPr>
          <w:p>
            <w:pPr>
              <w:spacing w:after="0"/>
              <w:rPr>
                <w:sz w:val="24"/>
                <w:szCs w:val="24"/>
                <w:color w:val="auto"/>
              </w:rPr>
            </w:pPr>
          </w:p>
        </w:tc>
        <w:tc>
          <w:tcPr>
            <w:tcW w:w="2360" w:type="dxa"/>
            <w:vAlign w:val="bottom"/>
            <w:tcBorders>
              <w:right w:val="single" w:sz="8" w:color="7CBD3F"/>
            </w:tcBorders>
          </w:tcPr>
          <w:p>
            <w:pPr>
              <w:jc w:val="center"/>
              <w:spacing w:after="0"/>
              <w:rPr>
                <w:sz w:val="20"/>
                <w:szCs w:val="20"/>
                <w:color w:val="auto"/>
              </w:rPr>
            </w:pPr>
            <w:r>
              <w:rPr>
                <w:rFonts w:ascii="Arial" w:cs="Arial" w:eastAsia="Arial" w:hAnsi="Arial"/>
                <w:sz w:val="22"/>
                <w:szCs w:val="22"/>
                <w:color w:val="auto"/>
                <w:w w:val="98"/>
              </w:rPr>
              <w:t>and Turkey</w:t>
            </w:r>
          </w:p>
        </w:tc>
        <w:tc>
          <w:tcPr>
            <w:tcW w:w="0" w:type="dxa"/>
            <w:vAlign w:val="bottom"/>
          </w:tcPr>
          <w:p>
            <w:pPr>
              <w:spacing w:after="0"/>
              <w:rPr>
                <w:sz w:val="1"/>
                <w:szCs w:val="1"/>
                <w:color w:val="auto"/>
              </w:rPr>
            </w:pPr>
          </w:p>
        </w:tc>
      </w:tr>
      <w:tr>
        <w:trPr>
          <w:trHeight w:val="75"/>
        </w:trPr>
        <w:tc>
          <w:tcPr>
            <w:tcW w:w="2380" w:type="dxa"/>
            <w:vAlign w:val="bottom"/>
            <w:tcBorders>
              <w:left w:val="single" w:sz="8" w:color="7CBD3F"/>
              <w:right w:val="single" w:sz="8" w:color="7CBD3F"/>
            </w:tcBorders>
            <w:vMerge w:val="continue"/>
          </w:tcPr>
          <w:p>
            <w:pPr>
              <w:spacing w:after="0"/>
              <w:rPr>
                <w:sz w:val="6"/>
                <w:szCs w:val="6"/>
                <w:color w:val="auto"/>
              </w:rPr>
            </w:pPr>
          </w:p>
        </w:tc>
        <w:tc>
          <w:tcPr>
            <w:tcW w:w="240" w:type="dxa"/>
            <w:vAlign w:val="bottom"/>
            <w:tcBorders>
              <w:right w:val="single" w:sz="8" w:color="7CBD3F"/>
            </w:tcBorders>
          </w:tcPr>
          <w:p>
            <w:pPr>
              <w:spacing w:after="0"/>
              <w:rPr>
                <w:sz w:val="6"/>
                <w:szCs w:val="6"/>
                <w:color w:val="auto"/>
              </w:rPr>
            </w:pPr>
          </w:p>
        </w:tc>
        <w:tc>
          <w:tcPr>
            <w:tcW w:w="2360" w:type="dxa"/>
            <w:vAlign w:val="bottom"/>
            <w:tcBorders>
              <w:right w:val="single" w:sz="8" w:color="7CBD3F"/>
            </w:tcBorders>
          </w:tcPr>
          <w:p>
            <w:pPr>
              <w:spacing w:after="0"/>
              <w:rPr>
                <w:sz w:val="6"/>
                <w:szCs w:val="6"/>
                <w:color w:val="auto"/>
              </w:rPr>
            </w:pPr>
          </w:p>
        </w:tc>
        <w:tc>
          <w:tcPr>
            <w:tcW w:w="0" w:type="dxa"/>
            <w:vAlign w:val="bottom"/>
          </w:tcPr>
          <w:p>
            <w:pPr>
              <w:spacing w:after="0"/>
              <w:rPr>
                <w:sz w:val="1"/>
                <w:szCs w:val="1"/>
                <w:color w:val="auto"/>
              </w:rPr>
            </w:pPr>
          </w:p>
        </w:tc>
      </w:tr>
      <w:tr>
        <w:trPr>
          <w:trHeight w:val="287"/>
        </w:trPr>
        <w:tc>
          <w:tcPr>
            <w:tcW w:w="2380" w:type="dxa"/>
            <w:vAlign w:val="bottom"/>
            <w:tcBorders>
              <w:left w:val="single" w:sz="8" w:color="7CBD3F"/>
              <w:right w:val="single" w:sz="8" w:color="7CBD3F"/>
            </w:tcBorders>
          </w:tcPr>
          <w:p>
            <w:pPr>
              <w:jc w:val="center"/>
              <w:spacing w:after="0"/>
              <w:rPr>
                <w:sz w:val="20"/>
                <w:szCs w:val="20"/>
                <w:color w:val="auto"/>
              </w:rPr>
            </w:pPr>
            <w:r>
              <w:rPr>
                <w:rFonts w:ascii="Arial" w:cs="Arial" w:eastAsia="Arial" w:hAnsi="Arial"/>
                <w:sz w:val="22"/>
                <w:szCs w:val="22"/>
                <w:color w:val="auto"/>
                <w:w w:val="97"/>
              </w:rPr>
              <w:t>Guidance</w:t>
            </w:r>
          </w:p>
        </w:tc>
        <w:tc>
          <w:tcPr>
            <w:tcW w:w="240" w:type="dxa"/>
            <w:vAlign w:val="bottom"/>
            <w:tcBorders>
              <w:right w:val="single" w:sz="8" w:color="7CBD3F"/>
            </w:tcBorders>
          </w:tcPr>
          <w:p>
            <w:pPr>
              <w:spacing w:after="0"/>
              <w:rPr>
                <w:sz w:val="24"/>
                <w:szCs w:val="24"/>
                <w:color w:val="auto"/>
              </w:rPr>
            </w:pPr>
          </w:p>
        </w:tc>
        <w:tc>
          <w:tcPr>
            <w:tcW w:w="2360" w:type="dxa"/>
            <w:vAlign w:val="bottom"/>
            <w:tcBorders>
              <w:right w:val="single" w:sz="8" w:color="7CBD3F"/>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380" w:type="dxa"/>
            <w:vAlign w:val="bottom"/>
            <w:tcBorders>
              <w:left w:val="single" w:sz="8" w:color="7CBD3F"/>
              <w:bottom w:val="single" w:sz="8" w:color="7CBD3F"/>
              <w:right w:val="single" w:sz="8" w:color="7CBD3F"/>
            </w:tcBorders>
          </w:tcPr>
          <w:p>
            <w:pPr>
              <w:spacing w:after="0"/>
              <w:rPr>
                <w:sz w:val="13"/>
                <w:szCs w:val="13"/>
                <w:color w:val="auto"/>
              </w:rPr>
            </w:pPr>
          </w:p>
        </w:tc>
        <w:tc>
          <w:tcPr>
            <w:tcW w:w="240" w:type="dxa"/>
            <w:vAlign w:val="bottom"/>
            <w:tcBorders>
              <w:right w:val="single" w:sz="8" w:color="7CBD3F"/>
            </w:tcBorders>
          </w:tcPr>
          <w:p>
            <w:pPr>
              <w:spacing w:after="0"/>
              <w:rPr>
                <w:sz w:val="13"/>
                <w:szCs w:val="13"/>
                <w:color w:val="auto"/>
              </w:rPr>
            </w:pPr>
          </w:p>
        </w:tc>
        <w:tc>
          <w:tcPr>
            <w:tcW w:w="2360" w:type="dxa"/>
            <w:vAlign w:val="bottom"/>
            <w:tcBorders>
              <w:bottom w:val="single" w:sz="8" w:color="7CBD3F"/>
              <w:right w:val="single" w:sz="8" w:color="7CBD3F"/>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Arial" w:cs="Arial" w:eastAsia="Arial" w:hAnsi="Arial"/>
          <w:sz w:val="19"/>
          <w:szCs w:val="19"/>
          <w:b w:val="1"/>
          <w:bCs w:val="1"/>
          <w:color w:val="7CBD3F"/>
        </w:rPr>
        <w:t>Impact Report Highlights</w:t>
      </w:r>
    </w:p>
    <w:p>
      <w:pPr>
        <w:spacing w:after="0" w:line="166" w:lineRule="exact"/>
        <w:rPr>
          <w:sz w:val="20"/>
          <w:szCs w:val="20"/>
          <w:color w:val="auto"/>
        </w:rPr>
      </w:pPr>
    </w:p>
    <w:p>
      <w:pPr>
        <w:jc w:val="both"/>
        <w:spacing w:after="0" w:line="246" w:lineRule="auto"/>
        <w:rPr>
          <w:sz w:val="20"/>
          <w:szCs w:val="20"/>
          <w:color w:val="auto"/>
        </w:rPr>
      </w:pPr>
      <w:r>
        <w:rPr>
          <w:rFonts w:ascii="Arial" w:cs="Arial" w:eastAsia="Arial" w:hAnsi="Arial"/>
          <w:sz w:val="14"/>
          <w:szCs w:val="14"/>
          <w:color w:val="auto"/>
        </w:rPr>
        <w:t>At Ultragenyx, we are committed to bringing novel products to patients for the treatment of rare and ultrarare diseases, with a focus on serious, debilitating genetic diseases. Our purpose is to lead the future of rare disease medicine as we seek to treat individuals afflicted by diseases with limited or no treatment options. We recognize that their lives and well-being are dependent upon our efforts to develop new therapies. For this reason, we are passionate about developing these therapies with the utmost urgency and care. For more information about our efforts and initiatives related to patient access, innovation and responsible business practices, please see our Impact Report for fiscal 2024 (2024 Impact Report), which will be available on our website at www.ultragenyx.com under “Ultra-Committed”. Website references throughout this document are provided for convenience only, and the content on the referenced websites is not incorporated by reference into this document.</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See page 31 for more information about our Impact Report.</w:t>
      </w:r>
    </w:p>
    <w:p>
      <w:pPr>
        <w:spacing w:after="0" w:line="354" w:lineRule="exact"/>
        <w:rPr>
          <w:sz w:val="20"/>
          <w:szCs w:val="20"/>
          <w:color w:val="auto"/>
        </w:rPr>
      </w:pPr>
    </w:p>
    <w:p>
      <w:pPr>
        <w:sectPr>
          <w:pgSz w:w="11900" w:h="16838" w:orient="portrait"/>
          <w:cols w:equalWidth="0" w:num="2">
            <w:col w:w="4980" w:space="200"/>
            <w:col w:w="6080"/>
          </w:cols>
          <w:pgMar w:left="320" w:top="225" w:right="319" w:bottom="1440" w:gutter="0" w:footer="0" w:header="0"/>
          <w:type w:val="continuous"/>
        </w:sectPr>
      </w:pPr>
    </w:p>
    <w:p>
      <w:pPr>
        <w:spacing w:after="0" w:line="312" w:lineRule="exact"/>
        <w:rPr>
          <w:sz w:val="20"/>
          <w:szCs w:val="20"/>
          <w:color w:val="auto"/>
        </w:rPr>
      </w:pPr>
    </w:p>
    <w:p>
      <w:pPr>
        <w:ind w:left="6840"/>
        <w:spacing w:after="0"/>
        <w:tabs>
          <w:tab w:leader="none" w:pos="11160" w:val="left"/>
        </w:tabs>
        <w:rPr>
          <w:sz w:val="20"/>
          <w:szCs w:val="20"/>
          <w:color w:val="auto"/>
        </w:rPr>
      </w:pPr>
      <w:r>
        <w:rPr>
          <w:rFonts w:ascii="Arial" w:cs="Arial" w:eastAsia="Arial" w:hAnsi="Arial"/>
          <w:sz w:val="14"/>
          <w:szCs w:val="14"/>
          <w:b w:val="1"/>
          <w:bCs w:val="1"/>
          <w:color w:val="auto"/>
        </w:rPr>
        <w:t xml:space="preserve">ULTRAGENYX PHARMACEUTICAL INC. </w:t>
      </w:r>
      <w:r>
        <w:rPr>
          <w:rFonts w:ascii="Arial" w:cs="Arial" w:eastAsia="Arial" w:hAnsi="Arial"/>
          <w:sz w:val="14"/>
          <w:szCs w:val="14"/>
          <w:color w:val="7CBD3F"/>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2025 Proxy Statement</w:t>
      </w:r>
      <w:r>
        <w:rPr>
          <w:rFonts w:ascii="Arial" w:cs="Arial" w:eastAsia="Arial" w:hAnsi="Arial"/>
          <w:sz w:val="14"/>
          <w:szCs w:val="14"/>
          <w:b w:val="1"/>
          <w:bCs w:val="1"/>
          <w:color w:val="auto"/>
        </w:rPr>
        <w:tab/>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142240</wp:posOffset>
            </wp:positionV>
            <wp:extent cx="715073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0735" cy="29845"/>
                    </a:xfrm>
                    <a:prstGeom prst="rect">
                      <a:avLst/>
                    </a:prstGeom>
                    <a:noFill/>
                  </pic:spPr>
                </pic:pic>
              </a:graphicData>
            </a:graphic>
          </wp:anchor>
        </w:drawing>
      </w:r>
    </w:p>
    <w:p>
      <w:pPr>
        <w:sectPr>
          <w:pgSz w:w="11900" w:h="16838" w:orient="portrait"/>
          <w:cols w:equalWidth="0" w:num="1">
            <w:col w:w="11260"/>
          </w:cols>
          <w:pgMar w:left="320" w:top="225" w:right="31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2"/>
          <w:szCs w:val="12"/>
          <w:b w:val="1"/>
          <w:bCs w:val="1"/>
          <w:u w:val="single" w:color="auto"/>
          <w:color w:val="0000EE"/>
        </w:rPr>
        <w:t>Back to Contents</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Board of Directors</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provides summary information about each nominee for director at the Annual Meeting and our continuing directors, as of the date of this Proxy Statement.</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19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160" w:type="dxa"/>
            <w:vAlign w:val="bottom"/>
          </w:tcPr>
          <w:p>
            <w:pPr>
              <w:jc w:val="center"/>
              <w:ind w:left="350"/>
              <w:spacing w:after="0"/>
              <w:rPr>
                <w:sz w:val="20"/>
                <w:szCs w:val="20"/>
                <w:color w:val="auto"/>
              </w:rPr>
            </w:pPr>
            <w:r>
              <w:rPr>
                <w:rFonts w:ascii="Arial" w:cs="Arial" w:eastAsia="Arial" w:hAnsi="Arial"/>
                <w:sz w:val="14"/>
                <w:szCs w:val="14"/>
                <w:b w:val="1"/>
                <w:bCs w:val="1"/>
                <w:color w:val="7CBD3F"/>
              </w:rPr>
              <w:t>Director</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7CBD3F"/>
                <w:w w:val="99"/>
              </w:rPr>
              <w:t>Year Current</w:t>
            </w:r>
          </w:p>
        </w:tc>
        <w:tc>
          <w:tcPr>
            <w:tcW w:w="2140" w:type="dxa"/>
            <w:vAlign w:val="bottom"/>
          </w:tcPr>
          <w:p>
            <w:pPr>
              <w:jc w:val="center"/>
              <w:ind w:right="930"/>
              <w:spacing w:after="0"/>
              <w:rPr>
                <w:sz w:val="20"/>
                <w:szCs w:val="20"/>
                <w:color w:val="auto"/>
              </w:rPr>
            </w:pPr>
            <w:r>
              <w:rPr>
                <w:rFonts w:ascii="Arial" w:cs="Arial" w:eastAsia="Arial" w:hAnsi="Arial"/>
                <w:sz w:val="14"/>
                <w:szCs w:val="14"/>
                <w:b w:val="1"/>
                <w:bCs w:val="1"/>
                <w:color w:val="7CBD3F"/>
                <w:w w:val="98"/>
              </w:rPr>
              <w:t>Current</w:t>
            </w:r>
          </w:p>
        </w:tc>
      </w:tr>
      <w:tr>
        <w:trPr>
          <w:trHeight w:val="179"/>
        </w:trPr>
        <w:tc>
          <w:tcPr>
            <w:tcW w:w="1960" w:type="dxa"/>
            <w:vAlign w:val="bottom"/>
            <w:tcBorders>
              <w:bottom w:val="single" w:sz="8" w:color="7CBD3E"/>
            </w:tcBorders>
          </w:tcPr>
          <w:p>
            <w:pPr>
              <w:ind w:left="40"/>
              <w:spacing w:after="0"/>
              <w:rPr>
                <w:sz w:val="20"/>
                <w:szCs w:val="20"/>
                <w:color w:val="auto"/>
              </w:rPr>
            </w:pPr>
            <w:r>
              <w:rPr>
                <w:rFonts w:ascii="Arial" w:cs="Arial" w:eastAsia="Arial" w:hAnsi="Arial"/>
                <w:sz w:val="14"/>
                <w:szCs w:val="14"/>
                <w:b w:val="1"/>
                <w:bCs w:val="1"/>
                <w:color w:val="7CBD3F"/>
              </w:rPr>
              <w:t>Nominee/Director Name</w:t>
            </w:r>
          </w:p>
        </w:tc>
        <w:tc>
          <w:tcPr>
            <w:tcW w:w="520" w:type="dxa"/>
            <w:vAlign w:val="bottom"/>
            <w:tcBorders>
              <w:bottom w:val="single" w:sz="8" w:color="7CBD3E"/>
            </w:tcBorders>
          </w:tcPr>
          <w:p>
            <w:pPr>
              <w:jc w:val="center"/>
              <w:spacing w:after="0"/>
              <w:rPr>
                <w:sz w:val="20"/>
                <w:szCs w:val="20"/>
                <w:color w:val="auto"/>
              </w:rPr>
            </w:pPr>
            <w:r>
              <w:rPr>
                <w:rFonts w:ascii="Arial" w:cs="Arial" w:eastAsia="Arial" w:hAnsi="Arial"/>
                <w:sz w:val="14"/>
                <w:szCs w:val="14"/>
                <w:b w:val="1"/>
                <w:bCs w:val="1"/>
                <w:color w:val="7CBD3F"/>
                <w:w w:val="98"/>
              </w:rPr>
              <w:t>Age</w:t>
            </w:r>
          </w:p>
        </w:tc>
        <w:tc>
          <w:tcPr>
            <w:tcW w:w="4380" w:type="dxa"/>
            <w:vAlign w:val="bottom"/>
            <w:tcBorders>
              <w:bottom w:val="single" w:sz="8" w:color="7CBD3E"/>
            </w:tcBorders>
          </w:tcPr>
          <w:p>
            <w:pPr>
              <w:ind w:left="80"/>
              <w:spacing w:after="0"/>
              <w:rPr>
                <w:sz w:val="20"/>
                <w:szCs w:val="20"/>
                <w:color w:val="auto"/>
              </w:rPr>
            </w:pPr>
            <w:r>
              <w:rPr>
                <w:rFonts w:ascii="Arial" w:cs="Arial" w:eastAsia="Arial" w:hAnsi="Arial"/>
                <w:sz w:val="14"/>
                <w:szCs w:val="14"/>
                <w:b w:val="1"/>
                <w:bCs w:val="1"/>
                <w:color w:val="7CBD3F"/>
              </w:rPr>
              <w:t>Principal Occupation</w:t>
            </w:r>
          </w:p>
        </w:tc>
        <w:tc>
          <w:tcPr>
            <w:tcW w:w="1160" w:type="dxa"/>
            <w:vAlign w:val="bottom"/>
            <w:tcBorders>
              <w:bottom w:val="single" w:sz="8" w:color="7CBD3E"/>
            </w:tcBorders>
          </w:tcPr>
          <w:p>
            <w:pPr>
              <w:jc w:val="center"/>
              <w:ind w:left="350"/>
              <w:spacing w:after="0"/>
              <w:rPr>
                <w:sz w:val="20"/>
                <w:szCs w:val="20"/>
                <w:color w:val="auto"/>
              </w:rPr>
            </w:pPr>
            <w:r>
              <w:rPr>
                <w:rFonts w:ascii="Arial" w:cs="Arial" w:eastAsia="Arial" w:hAnsi="Arial"/>
                <w:sz w:val="14"/>
                <w:szCs w:val="14"/>
                <w:b w:val="1"/>
                <w:bCs w:val="1"/>
                <w:color w:val="7CBD3F"/>
              </w:rPr>
              <w:t>Since</w:t>
            </w:r>
          </w:p>
        </w:tc>
        <w:tc>
          <w:tcPr>
            <w:tcW w:w="1100" w:type="dxa"/>
            <w:vAlign w:val="bottom"/>
            <w:tcBorders>
              <w:bottom w:val="single" w:sz="8" w:color="7CBD3E"/>
            </w:tcBorders>
          </w:tcPr>
          <w:p>
            <w:pPr>
              <w:jc w:val="center"/>
              <w:spacing w:after="0"/>
              <w:rPr>
                <w:sz w:val="20"/>
                <w:szCs w:val="20"/>
                <w:color w:val="auto"/>
              </w:rPr>
            </w:pPr>
            <w:r>
              <w:rPr>
                <w:rFonts w:ascii="Arial" w:cs="Arial" w:eastAsia="Arial" w:hAnsi="Arial"/>
                <w:sz w:val="14"/>
                <w:szCs w:val="14"/>
                <w:b w:val="1"/>
                <w:bCs w:val="1"/>
                <w:color w:val="7CBD3F"/>
                <w:w w:val="99"/>
              </w:rPr>
              <w:t>Term Expires</w:t>
            </w:r>
          </w:p>
        </w:tc>
        <w:tc>
          <w:tcPr>
            <w:tcW w:w="2140" w:type="dxa"/>
            <w:vAlign w:val="bottom"/>
            <w:tcBorders>
              <w:bottom w:val="single" w:sz="8" w:color="7CBD3E"/>
            </w:tcBorders>
          </w:tcPr>
          <w:p>
            <w:pPr>
              <w:ind w:left="100"/>
              <w:spacing w:after="0"/>
              <w:rPr>
                <w:sz w:val="20"/>
                <w:szCs w:val="20"/>
                <w:color w:val="auto"/>
              </w:rPr>
            </w:pPr>
            <w:r>
              <w:rPr>
                <w:rFonts w:ascii="Arial" w:cs="Arial" w:eastAsia="Arial" w:hAnsi="Arial"/>
                <w:sz w:val="14"/>
                <w:szCs w:val="14"/>
                <w:b w:val="1"/>
                <w:bCs w:val="1"/>
                <w:color w:val="7CBD3F"/>
              </w:rPr>
              <w:t>Director Class   Independent</w:t>
            </w:r>
          </w:p>
        </w:tc>
      </w:tr>
      <w:tr>
        <w:trPr>
          <w:trHeight w:val="204"/>
        </w:trPr>
        <w:tc>
          <w:tcPr>
            <w:tcW w:w="196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Director Nominees</w:t>
            </w:r>
          </w:p>
        </w:tc>
        <w:tc>
          <w:tcPr>
            <w:tcW w:w="52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140" w:type="dxa"/>
            <w:vAlign w:val="bottom"/>
          </w:tcPr>
          <w:p>
            <w:pPr>
              <w:spacing w:after="0"/>
              <w:rPr>
                <w:sz w:val="17"/>
                <w:szCs w:val="17"/>
                <w:color w:val="auto"/>
              </w:rPr>
            </w:pPr>
          </w:p>
        </w:tc>
      </w:tr>
      <w:tr>
        <w:trPr>
          <w:trHeight w:val="245"/>
        </w:trPr>
        <w:tc>
          <w:tcPr>
            <w:tcW w:w="1960" w:type="dxa"/>
            <w:vAlign w:val="bottom"/>
          </w:tcPr>
          <w:p>
            <w:pPr>
              <w:ind w:left="40"/>
              <w:spacing w:after="0"/>
              <w:rPr>
                <w:sz w:val="20"/>
                <w:szCs w:val="20"/>
                <w:color w:val="auto"/>
              </w:rPr>
            </w:pPr>
            <w:r>
              <w:rPr>
                <w:rFonts w:ascii="Arial" w:cs="Arial" w:eastAsia="Arial" w:hAnsi="Arial"/>
                <w:sz w:val="14"/>
                <w:szCs w:val="14"/>
                <w:b w:val="1"/>
                <w:bCs w:val="1"/>
                <w:color w:val="auto"/>
              </w:rPr>
              <w:t>Matthew K. Fust</w:t>
            </w:r>
          </w:p>
        </w:tc>
        <w:tc>
          <w:tcPr>
            <w:tcW w:w="520" w:type="dxa"/>
            <w:vAlign w:val="bottom"/>
          </w:tcPr>
          <w:p>
            <w:pPr>
              <w:jc w:val="center"/>
              <w:spacing w:after="0"/>
              <w:rPr>
                <w:sz w:val="20"/>
                <w:szCs w:val="20"/>
                <w:color w:val="auto"/>
              </w:rPr>
            </w:pPr>
            <w:r>
              <w:rPr>
                <w:rFonts w:ascii="Arial" w:cs="Arial" w:eastAsia="Arial" w:hAnsi="Arial"/>
                <w:sz w:val="14"/>
                <w:szCs w:val="14"/>
                <w:color w:val="auto"/>
                <w:w w:val="89"/>
              </w:rPr>
              <w:t>60</w:t>
            </w:r>
          </w:p>
        </w:tc>
        <w:tc>
          <w:tcPr>
            <w:tcW w:w="4380" w:type="dxa"/>
            <w:vAlign w:val="bottom"/>
          </w:tcPr>
          <w:p>
            <w:pPr>
              <w:ind w:left="80"/>
              <w:spacing w:after="0"/>
              <w:rPr>
                <w:sz w:val="20"/>
                <w:szCs w:val="20"/>
                <w:color w:val="auto"/>
              </w:rPr>
            </w:pPr>
            <w:r>
              <w:rPr>
                <w:rFonts w:ascii="Arial" w:cs="Arial" w:eastAsia="Arial" w:hAnsi="Arial"/>
                <w:sz w:val="14"/>
                <w:szCs w:val="14"/>
                <w:color w:val="auto"/>
              </w:rPr>
              <w:t>Board member and advisor to various life science companies</w:t>
            </w:r>
          </w:p>
        </w:tc>
        <w:tc>
          <w:tcPr>
            <w:tcW w:w="1160" w:type="dxa"/>
            <w:vAlign w:val="bottom"/>
          </w:tcPr>
          <w:p>
            <w:pPr>
              <w:jc w:val="center"/>
              <w:ind w:left="350"/>
              <w:spacing w:after="0"/>
              <w:rPr>
                <w:sz w:val="20"/>
                <w:szCs w:val="20"/>
                <w:color w:val="auto"/>
              </w:rPr>
            </w:pPr>
            <w:r>
              <w:rPr>
                <w:rFonts w:ascii="Arial" w:cs="Arial" w:eastAsia="Arial" w:hAnsi="Arial"/>
                <w:sz w:val="14"/>
                <w:szCs w:val="14"/>
                <w:color w:val="auto"/>
                <w:w w:val="96"/>
              </w:rPr>
              <w:t>2014</w:t>
            </w:r>
          </w:p>
        </w:tc>
        <w:tc>
          <w:tcPr>
            <w:tcW w:w="1100" w:type="dxa"/>
            <w:vAlign w:val="bottom"/>
          </w:tcPr>
          <w:p>
            <w:pPr>
              <w:jc w:val="center"/>
              <w:spacing w:after="0"/>
              <w:rPr>
                <w:sz w:val="20"/>
                <w:szCs w:val="20"/>
                <w:color w:val="auto"/>
              </w:rPr>
            </w:pPr>
            <w:r>
              <w:rPr>
                <w:rFonts w:ascii="Arial" w:cs="Arial" w:eastAsia="Arial" w:hAnsi="Arial"/>
                <w:sz w:val="14"/>
                <w:szCs w:val="14"/>
                <w:color w:val="auto"/>
                <w:w w:val="96"/>
              </w:rPr>
              <w:t>2025</w:t>
            </w:r>
          </w:p>
        </w:tc>
        <w:tc>
          <w:tcPr>
            <w:tcW w:w="2140" w:type="dxa"/>
            <w:vAlign w:val="bottom"/>
          </w:tcPr>
          <w:p>
            <w:pPr>
              <w:jc w:val="center"/>
              <w:ind w:right="910"/>
              <w:spacing w:after="0"/>
              <w:rPr>
                <w:sz w:val="20"/>
                <w:szCs w:val="20"/>
                <w:color w:val="auto"/>
              </w:rPr>
            </w:pPr>
            <w:r>
              <w:rPr>
                <w:rFonts w:ascii="Arial" w:cs="Arial" w:eastAsia="Arial" w:hAnsi="Arial"/>
                <w:sz w:val="14"/>
                <w:szCs w:val="14"/>
                <w:color w:val="auto"/>
              </w:rPr>
              <w:t>III</w:t>
            </w:r>
          </w:p>
        </w:tc>
      </w:tr>
      <w:tr>
        <w:trPr>
          <w:trHeight w:val="280"/>
        </w:trPr>
        <w:tc>
          <w:tcPr>
            <w:tcW w:w="1960" w:type="dxa"/>
            <w:vAlign w:val="bottom"/>
          </w:tcPr>
          <w:p>
            <w:pPr>
              <w:ind w:left="40"/>
              <w:spacing w:after="0"/>
              <w:rPr>
                <w:sz w:val="20"/>
                <w:szCs w:val="20"/>
                <w:color w:val="auto"/>
              </w:rPr>
            </w:pPr>
            <w:r>
              <w:rPr>
                <w:rFonts w:ascii="Arial" w:cs="Arial" w:eastAsia="Arial" w:hAnsi="Arial"/>
                <w:sz w:val="14"/>
                <w:szCs w:val="14"/>
                <w:b w:val="1"/>
                <w:bCs w:val="1"/>
                <w:color w:val="auto"/>
              </w:rPr>
              <w:t>Amrit Ray, M.D.</w:t>
            </w:r>
          </w:p>
        </w:tc>
        <w:tc>
          <w:tcPr>
            <w:tcW w:w="520" w:type="dxa"/>
            <w:vAlign w:val="bottom"/>
          </w:tcPr>
          <w:p>
            <w:pPr>
              <w:jc w:val="center"/>
              <w:spacing w:after="0"/>
              <w:rPr>
                <w:sz w:val="20"/>
                <w:szCs w:val="20"/>
                <w:color w:val="auto"/>
              </w:rPr>
            </w:pPr>
            <w:r>
              <w:rPr>
                <w:rFonts w:ascii="Arial" w:cs="Arial" w:eastAsia="Arial" w:hAnsi="Arial"/>
                <w:sz w:val="14"/>
                <w:szCs w:val="14"/>
                <w:color w:val="auto"/>
                <w:w w:val="89"/>
              </w:rPr>
              <w:t>52</w:t>
            </w:r>
          </w:p>
        </w:tc>
        <w:tc>
          <w:tcPr>
            <w:tcW w:w="4380" w:type="dxa"/>
            <w:vAlign w:val="bottom"/>
          </w:tcPr>
          <w:p>
            <w:pPr>
              <w:ind w:left="80"/>
              <w:spacing w:after="0"/>
              <w:rPr>
                <w:sz w:val="20"/>
                <w:szCs w:val="20"/>
                <w:color w:val="auto"/>
              </w:rPr>
            </w:pPr>
            <w:r>
              <w:rPr>
                <w:rFonts w:ascii="Arial" w:cs="Arial" w:eastAsia="Arial" w:hAnsi="Arial"/>
                <w:sz w:val="14"/>
                <w:szCs w:val="14"/>
                <w:color w:val="auto"/>
              </w:rPr>
              <w:t>Board member and advisor to various life science companies</w:t>
            </w:r>
          </w:p>
        </w:tc>
        <w:tc>
          <w:tcPr>
            <w:tcW w:w="1160" w:type="dxa"/>
            <w:vAlign w:val="bottom"/>
          </w:tcPr>
          <w:p>
            <w:pPr>
              <w:jc w:val="center"/>
              <w:ind w:left="350"/>
              <w:spacing w:after="0"/>
              <w:rPr>
                <w:sz w:val="20"/>
                <w:szCs w:val="20"/>
                <w:color w:val="auto"/>
              </w:rPr>
            </w:pPr>
            <w:r>
              <w:rPr>
                <w:rFonts w:ascii="Arial" w:cs="Arial" w:eastAsia="Arial" w:hAnsi="Arial"/>
                <w:sz w:val="14"/>
                <w:szCs w:val="14"/>
                <w:color w:val="auto"/>
                <w:w w:val="96"/>
              </w:rPr>
              <w:t>2022</w:t>
            </w:r>
          </w:p>
        </w:tc>
        <w:tc>
          <w:tcPr>
            <w:tcW w:w="1100" w:type="dxa"/>
            <w:vAlign w:val="bottom"/>
          </w:tcPr>
          <w:p>
            <w:pPr>
              <w:jc w:val="center"/>
              <w:spacing w:after="0"/>
              <w:rPr>
                <w:sz w:val="20"/>
                <w:szCs w:val="20"/>
                <w:color w:val="auto"/>
              </w:rPr>
            </w:pPr>
            <w:r>
              <w:rPr>
                <w:rFonts w:ascii="Arial" w:cs="Arial" w:eastAsia="Arial" w:hAnsi="Arial"/>
                <w:sz w:val="14"/>
                <w:szCs w:val="14"/>
                <w:color w:val="auto"/>
                <w:w w:val="96"/>
              </w:rPr>
              <w:t>2025</w:t>
            </w:r>
          </w:p>
        </w:tc>
        <w:tc>
          <w:tcPr>
            <w:tcW w:w="2140" w:type="dxa"/>
            <w:vAlign w:val="bottom"/>
          </w:tcPr>
          <w:p>
            <w:pPr>
              <w:jc w:val="center"/>
              <w:ind w:right="910"/>
              <w:spacing w:after="0"/>
              <w:rPr>
                <w:sz w:val="20"/>
                <w:szCs w:val="20"/>
                <w:color w:val="auto"/>
              </w:rPr>
            </w:pPr>
            <w:r>
              <w:rPr>
                <w:rFonts w:ascii="Arial" w:cs="Arial" w:eastAsia="Arial" w:hAnsi="Arial"/>
                <w:sz w:val="14"/>
                <w:szCs w:val="14"/>
                <w:color w:val="auto"/>
              </w:rPr>
              <w:t>III</w:t>
            </w:r>
          </w:p>
        </w:tc>
      </w:tr>
      <w:tr>
        <w:trPr>
          <w:trHeight w:val="256"/>
        </w:trPr>
        <w:tc>
          <w:tcPr>
            <w:tcW w:w="196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Continuing Directors</w:t>
            </w:r>
          </w:p>
        </w:tc>
        <w:tc>
          <w:tcPr>
            <w:tcW w:w="520" w:type="dxa"/>
            <w:vAlign w:val="bottom"/>
          </w:tcPr>
          <w:p>
            <w:pPr>
              <w:spacing w:after="0"/>
              <w:rPr>
                <w:sz w:val="22"/>
                <w:szCs w:val="22"/>
                <w:color w:val="auto"/>
              </w:rPr>
            </w:pPr>
          </w:p>
        </w:tc>
        <w:tc>
          <w:tcPr>
            <w:tcW w:w="43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140" w:type="dxa"/>
            <w:vAlign w:val="bottom"/>
          </w:tcPr>
          <w:p>
            <w:pPr>
              <w:spacing w:after="0"/>
              <w:rPr>
                <w:sz w:val="22"/>
                <w:szCs w:val="22"/>
                <w:color w:val="auto"/>
              </w:rPr>
            </w:pPr>
          </w:p>
        </w:tc>
      </w:tr>
      <w:tr>
        <w:trPr>
          <w:trHeight w:val="245"/>
        </w:trPr>
        <w:tc>
          <w:tcPr>
            <w:tcW w:w="1960" w:type="dxa"/>
            <w:vAlign w:val="bottom"/>
          </w:tcPr>
          <w:p>
            <w:pPr>
              <w:ind w:left="40"/>
              <w:spacing w:after="0"/>
              <w:rPr>
                <w:sz w:val="20"/>
                <w:szCs w:val="20"/>
                <w:color w:val="auto"/>
              </w:rPr>
            </w:pPr>
            <w:r>
              <w:rPr>
                <w:rFonts w:ascii="Arial" w:cs="Arial" w:eastAsia="Arial" w:hAnsi="Arial"/>
                <w:sz w:val="14"/>
                <w:szCs w:val="14"/>
                <w:b w:val="1"/>
                <w:bCs w:val="1"/>
                <w:color w:val="auto"/>
              </w:rPr>
              <w:t>Emil D. Kakkis, M.D., Ph.D.</w:t>
            </w:r>
          </w:p>
        </w:tc>
        <w:tc>
          <w:tcPr>
            <w:tcW w:w="520" w:type="dxa"/>
            <w:vAlign w:val="bottom"/>
          </w:tcPr>
          <w:p>
            <w:pPr>
              <w:jc w:val="center"/>
              <w:spacing w:after="0"/>
              <w:rPr>
                <w:sz w:val="20"/>
                <w:szCs w:val="20"/>
                <w:color w:val="auto"/>
              </w:rPr>
            </w:pPr>
            <w:r>
              <w:rPr>
                <w:rFonts w:ascii="Arial" w:cs="Arial" w:eastAsia="Arial" w:hAnsi="Arial"/>
                <w:sz w:val="14"/>
                <w:szCs w:val="14"/>
                <w:color w:val="auto"/>
                <w:w w:val="89"/>
              </w:rPr>
              <w:t>64</w:t>
            </w:r>
          </w:p>
        </w:tc>
        <w:tc>
          <w:tcPr>
            <w:tcW w:w="4380" w:type="dxa"/>
            <w:vAlign w:val="bottom"/>
          </w:tcPr>
          <w:p>
            <w:pPr>
              <w:ind w:left="80"/>
              <w:spacing w:after="0"/>
              <w:rPr>
                <w:sz w:val="20"/>
                <w:szCs w:val="20"/>
                <w:color w:val="auto"/>
              </w:rPr>
            </w:pPr>
            <w:r>
              <w:rPr>
                <w:rFonts w:ascii="Arial" w:cs="Arial" w:eastAsia="Arial" w:hAnsi="Arial"/>
                <w:sz w:val="14"/>
                <w:szCs w:val="14"/>
                <w:color w:val="auto"/>
              </w:rPr>
              <w:t>Founder, President and CEO, Ultragenyx</w:t>
            </w:r>
          </w:p>
        </w:tc>
        <w:tc>
          <w:tcPr>
            <w:tcW w:w="1160" w:type="dxa"/>
            <w:vAlign w:val="bottom"/>
          </w:tcPr>
          <w:p>
            <w:pPr>
              <w:jc w:val="center"/>
              <w:ind w:left="350"/>
              <w:spacing w:after="0"/>
              <w:rPr>
                <w:sz w:val="20"/>
                <w:szCs w:val="20"/>
                <w:color w:val="auto"/>
              </w:rPr>
            </w:pPr>
            <w:r>
              <w:rPr>
                <w:rFonts w:ascii="Arial" w:cs="Arial" w:eastAsia="Arial" w:hAnsi="Arial"/>
                <w:sz w:val="14"/>
                <w:szCs w:val="14"/>
                <w:color w:val="auto"/>
                <w:w w:val="96"/>
              </w:rPr>
              <w:t>2010</w:t>
            </w:r>
          </w:p>
        </w:tc>
        <w:tc>
          <w:tcPr>
            <w:tcW w:w="1100" w:type="dxa"/>
            <w:vAlign w:val="bottom"/>
          </w:tcPr>
          <w:p>
            <w:pPr>
              <w:jc w:val="center"/>
              <w:spacing w:after="0"/>
              <w:rPr>
                <w:sz w:val="20"/>
                <w:szCs w:val="20"/>
                <w:color w:val="auto"/>
              </w:rPr>
            </w:pPr>
            <w:r>
              <w:rPr>
                <w:rFonts w:ascii="Arial" w:cs="Arial" w:eastAsia="Arial" w:hAnsi="Arial"/>
                <w:sz w:val="14"/>
                <w:szCs w:val="14"/>
                <w:color w:val="auto"/>
                <w:w w:val="96"/>
              </w:rPr>
              <w:t>2026</w:t>
            </w:r>
          </w:p>
        </w:tc>
        <w:tc>
          <w:tcPr>
            <w:tcW w:w="2140" w:type="dxa"/>
            <w:vAlign w:val="bottom"/>
          </w:tcPr>
          <w:p>
            <w:pPr>
              <w:jc w:val="center"/>
              <w:ind w:right="910"/>
              <w:spacing w:after="0"/>
              <w:rPr>
                <w:sz w:val="20"/>
                <w:szCs w:val="20"/>
                <w:color w:val="auto"/>
              </w:rPr>
            </w:pPr>
            <w:r>
              <w:rPr>
                <w:rFonts w:ascii="Arial" w:cs="Arial" w:eastAsia="Arial" w:hAnsi="Arial"/>
                <w:sz w:val="14"/>
                <w:szCs w:val="14"/>
                <w:color w:val="auto"/>
              </w:rPr>
              <w:t>I</w:t>
            </w:r>
          </w:p>
        </w:tc>
      </w:tr>
      <w:tr>
        <w:trPr>
          <w:trHeight w:val="280"/>
        </w:trPr>
        <w:tc>
          <w:tcPr>
            <w:tcW w:w="1960" w:type="dxa"/>
            <w:vAlign w:val="bottom"/>
          </w:tcPr>
          <w:p>
            <w:pPr>
              <w:ind w:left="40"/>
              <w:spacing w:after="0"/>
              <w:rPr>
                <w:sz w:val="20"/>
                <w:szCs w:val="20"/>
                <w:color w:val="auto"/>
              </w:rPr>
            </w:pPr>
            <w:r>
              <w:rPr>
                <w:rFonts w:ascii="Arial" w:cs="Arial" w:eastAsia="Arial" w:hAnsi="Arial"/>
                <w:sz w:val="14"/>
                <w:szCs w:val="14"/>
                <w:b w:val="1"/>
                <w:bCs w:val="1"/>
                <w:color w:val="auto"/>
              </w:rPr>
              <w:t>Shehnaaz Suliman, M.D.</w:t>
            </w:r>
          </w:p>
        </w:tc>
        <w:tc>
          <w:tcPr>
            <w:tcW w:w="520" w:type="dxa"/>
            <w:vAlign w:val="bottom"/>
          </w:tcPr>
          <w:p>
            <w:pPr>
              <w:jc w:val="center"/>
              <w:spacing w:after="0"/>
              <w:rPr>
                <w:sz w:val="20"/>
                <w:szCs w:val="20"/>
                <w:color w:val="auto"/>
              </w:rPr>
            </w:pPr>
            <w:r>
              <w:rPr>
                <w:rFonts w:ascii="Arial" w:cs="Arial" w:eastAsia="Arial" w:hAnsi="Arial"/>
                <w:sz w:val="14"/>
                <w:szCs w:val="14"/>
                <w:color w:val="auto"/>
                <w:w w:val="89"/>
              </w:rPr>
              <w:t>53</w:t>
            </w:r>
          </w:p>
        </w:tc>
        <w:tc>
          <w:tcPr>
            <w:tcW w:w="4380" w:type="dxa"/>
            <w:vAlign w:val="bottom"/>
          </w:tcPr>
          <w:p>
            <w:pPr>
              <w:ind w:left="80"/>
              <w:spacing w:after="0"/>
              <w:rPr>
                <w:sz w:val="20"/>
                <w:szCs w:val="20"/>
                <w:color w:val="auto"/>
              </w:rPr>
            </w:pPr>
            <w:r>
              <w:rPr>
                <w:rFonts w:ascii="Arial" w:cs="Arial" w:eastAsia="Arial" w:hAnsi="Arial"/>
                <w:sz w:val="14"/>
                <w:szCs w:val="14"/>
                <w:color w:val="auto"/>
              </w:rPr>
              <w:t>Chief Executive Officer of ReCode Therapeutics</w:t>
            </w:r>
          </w:p>
        </w:tc>
        <w:tc>
          <w:tcPr>
            <w:tcW w:w="1160" w:type="dxa"/>
            <w:vAlign w:val="bottom"/>
          </w:tcPr>
          <w:p>
            <w:pPr>
              <w:jc w:val="center"/>
              <w:ind w:left="350"/>
              <w:spacing w:after="0"/>
              <w:rPr>
                <w:sz w:val="20"/>
                <w:szCs w:val="20"/>
                <w:color w:val="auto"/>
              </w:rPr>
            </w:pPr>
            <w:r>
              <w:rPr>
                <w:rFonts w:ascii="Arial" w:cs="Arial" w:eastAsia="Arial" w:hAnsi="Arial"/>
                <w:sz w:val="14"/>
                <w:szCs w:val="14"/>
                <w:color w:val="auto"/>
                <w:w w:val="96"/>
              </w:rPr>
              <w:t>2019</w:t>
            </w:r>
          </w:p>
        </w:tc>
        <w:tc>
          <w:tcPr>
            <w:tcW w:w="1100" w:type="dxa"/>
            <w:vAlign w:val="bottom"/>
          </w:tcPr>
          <w:p>
            <w:pPr>
              <w:jc w:val="center"/>
              <w:spacing w:after="0"/>
              <w:rPr>
                <w:sz w:val="20"/>
                <w:szCs w:val="20"/>
                <w:color w:val="auto"/>
              </w:rPr>
            </w:pPr>
            <w:r>
              <w:rPr>
                <w:rFonts w:ascii="Arial" w:cs="Arial" w:eastAsia="Arial" w:hAnsi="Arial"/>
                <w:sz w:val="14"/>
                <w:szCs w:val="14"/>
                <w:color w:val="auto"/>
                <w:w w:val="96"/>
              </w:rPr>
              <w:t>2026</w:t>
            </w:r>
          </w:p>
        </w:tc>
        <w:tc>
          <w:tcPr>
            <w:tcW w:w="2140" w:type="dxa"/>
            <w:vAlign w:val="bottom"/>
          </w:tcPr>
          <w:p>
            <w:pPr>
              <w:jc w:val="center"/>
              <w:ind w:right="910"/>
              <w:spacing w:after="0"/>
              <w:rPr>
                <w:sz w:val="20"/>
                <w:szCs w:val="20"/>
                <w:color w:val="auto"/>
              </w:rPr>
            </w:pPr>
            <w:r>
              <w:rPr>
                <w:rFonts w:ascii="Arial" w:cs="Arial" w:eastAsia="Arial" w:hAnsi="Arial"/>
                <w:sz w:val="14"/>
                <w:szCs w:val="14"/>
                <w:color w:val="auto"/>
              </w:rPr>
              <w:t>I</w:t>
            </w:r>
          </w:p>
        </w:tc>
      </w:tr>
      <w:tr>
        <w:trPr>
          <w:trHeight w:val="280"/>
        </w:trPr>
        <w:tc>
          <w:tcPr>
            <w:tcW w:w="1960" w:type="dxa"/>
            <w:vAlign w:val="bottom"/>
          </w:tcPr>
          <w:p>
            <w:pPr>
              <w:ind w:left="40"/>
              <w:spacing w:after="0"/>
              <w:rPr>
                <w:sz w:val="20"/>
                <w:szCs w:val="20"/>
                <w:color w:val="auto"/>
              </w:rPr>
            </w:pPr>
            <w:r>
              <w:rPr>
                <w:rFonts w:ascii="Arial" w:cs="Arial" w:eastAsia="Arial" w:hAnsi="Arial"/>
                <w:sz w:val="14"/>
                <w:szCs w:val="14"/>
                <w:b w:val="1"/>
                <w:bCs w:val="1"/>
                <w:color w:val="auto"/>
              </w:rPr>
              <w:t>Daniel G. Welch</w:t>
            </w:r>
          </w:p>
        </w:tc>
        <w:tc>
          <w:tcPr>
            <w:tcW w:w="520" w:type="dxa"/>
            <w:vAlign w:val="bottom"/>
          </w:tcPr>
          <w:p>
            <w:pPr>
              <w:jc w:val="center"/>
              <w:spacing w:after="0"/>
              <w:rPr>
                <w:sz w:val="20"/>
                <w:szCs w:val="20"/>
                <w:color w:val="auto"/>
              </w:rPr>
            </w:pPr>
            <w:r>
              <w:rPr>
                <w:rFonts w:ascii="Arial" w:cs="Arial" w:eastAsia="Arial" w:hAnsi="Arial"/>
                <w:sz w:val="14"/>
                <w:szCs w:val="14"/>
                <w:color w:val="auto"/>
                <w:w w:val="89"/>
              </w:rPr>
              <w:t>67</w:t>
            </w:r>
          </w:p>
        </w:tc>
        <w:tc>
          <w:tcPr>
            <w:tcW w:w="4380" w:type="dxa"/>
            <w:vAlign w:val="bottom"/>
          </w:tcPr>
          <w:p>
            <w:pPr>
              <w:ind w:left="80"/>
              <w:spacing w:after="0"/>
              <w:rPr>
                <w:sz w:val="20"/>
                <w:szCs w:val="20"/>
                <w:color w:val="auto"/>
              </w:rPr>
            </w:pPr>
            <w:r>
              <w:rPr>
                <w:rFonts w:ascii="Arial" w:cs="Arial" w:eastAsia="Arial" w:hAnsi="Arial"/>
                <w:sz w:val="14"/>
                <w:szCs w:val="14"/>
                <w:color w:val="auto"/>
              </w:rPr>
              <w:t>Board member and advisor to various life science companies</w:t>
            </w:r>
          </w:p>
        </w:tc>
        <w:tc>
          <w:tcPr>
            <w:tcW w:w="1160" w:type="dxa"/>
            <w:vAlign w:val="bottom"/>
          </w:tcPr>
          <w:p>
            <w:pPr>
              <w:jc w:val="center"/>
              <w:ind w:left="350"/>
              <w:spacing w:after="0"/>
              <w:rPr>
                <w:sz w:val="20"/>
                <w:szCs w:val="20"/>
                <w:color w:val="auto"/>
              </w:rPr>
            </w:pPr>
            <w:r>
              <w:rPr>
                <w:rFonts w:ascii="Arial" w:cs="Arial" w:eastAsia="Arial" w:hAnsi="Arial"/>
                <w:sz w:val="14"/>
                <w:szCs w:val="14"/>
                <w:color w:val="auto"/>
                <w:w w:val="96"/>
              </w:rPr>
              <w:t>2015</w:t>
            </w:r>
          </w:p>
        </w:tc>
        <w:tc>
          <w:tcPr>
            <w:tcW w:w="1100" w:type="dxa"/>
            <w:vAlign w:val="bottom"/>
          </w:tcPr>
          <w:p>
            <w:pPr>
              <w:jc w:val="center"/>
              <w:spacing w:after="0"/>
              <w:rPr>
                <w:sz w:val="20"/>
                <w:szCs w:val="20"/>
                <w:color w:val="auto"/>
              </w:rPr>
            </w:pPr>
            <w:r>
              <w:rPr>
                <w:rFonts w:ascii="Arial" w:cs="Arial" w:eastAsia="Arial" w:hAnsi="Arial"/>
                <w:sz w:val="14"/>
                <w:szCs w:val="14"/>
                <w:color w:val="auto"/>
                <w:w w:val="96"/>
              </w:rPr>
              <w:t>2026</w:t>
            </w:r>
          </w:p>
        </w:tc>
        <w:tc>
          <w:tcPr>
            <w:tcW w:w="2140" w:type="dxa"/>
            <w:vAlign w:val="bottom"/>
          </w:tcPr>
          <w:p>
            <w:pPr>
              <w:jc w:val="center"/>
              <w:ind w:right="910"/>
              <w:spacing w:after="0"/>
              <w:rPr>
                <w:sz w:val="20"/>
                <w:szCs w:val="20"/>
                <w:color w:val="auto"/>
              </w:rPr>
            </w:pPr>
            <w:r>
              <w:rPr>
                <w:rFonts w:ascii="Arial" w:cs="Arial" w:eastAsia="Arial" w:hAnsi="Arial"/>
                <w:sz w:val="14"/>
                <w:szCs w:val="14"/>
                <w:color w:val="auto"/>
              </w:rPr>
              <w:t>I</w:t>
            </w:r>
          </w:p>
        </w:tc>
      </w:tr>
      <w:tr>
        <w:trPr>
          <w:trHeight w:val="280"/>
        </w:trPr>
        <w:tc>
          <w:tcPr>
            <w:tcW w:w="1960" w:type="dxa"/>
            <w:vAlign w:val="bottom"/>
          </w:tcPr>
          <w:p>
            <w:pPr>
              <w:ind w:left="40"/>
              <w:spacing w:after="0"/>
              <w:rPr>
                <w:sz w:val="20"/>
                <w:szCs w:val="20"/>
                <w:color w:val="auto"/>
              </w:rPr>
            </w:pPr>
            <w:r>
              <w:rPr>
                <w:rFonts w:ascii="Arial" w:cs="Arial" w:eastAsia="Arial" w:hAnsi="Arial"/>
                <w:sz w:val="14"/>
                <w:szCs w:val="14"/>
                <w:b w:val="1"/>
                <w:bCs w:val="1"/>
                <w:color w:val="auto"/>
              </w:rPr>
              <w:t>Deborah Dunsire, M.D.</w:t>
            </w:r>
          </w:p>
        </w:tc>
        <w:tc>
          <w:tcPr>
            <w:tcW w:w="520" w:type="dxa"/>
            <w:vAlign w:val="bottom"/>
          </w:tcPr>
          <w:p>
            <w:pPr>
              <w:jc w:val="center"/>
              <w:spacing w:after="0"/>
              <w:rPr>
                <w:sz w:val="20"/>
                <w:szCs w:val="20"/>
                <w:color w:val="auto"/>
              </w:rPr>
            </w:pPr>
            <w:r>
              <w:rPr>
                <w:rFonts w:ascii="Arial" w:cs="Arial" w:eastAsia="Arial" w:hAnsi="Arial"/>
                <w:sz w:val="14"/>
                <w:szCs w:val="14"/>
                <w:color w:val="auto"/>
                <w:w w:val="89"/>
              </w:rPr>
              <w:t>62</w:t>
            </w:r>
          </w:p>
        </w:tc>
        <w:tc>
          <w:tcPr>
            <w:tcW w:w="4380" w:type="dxa"/>
            <w:vAlign w:val="bottom"/>
          </w:tcPr>
          <w:p>
            <w:pPr>
              <w:ind w:left="80"/>
              <w:spacing w:after="0"/>
              <w:rPr>
                <w:sz w:val="20"/>
                <w:szCs w:val="20"/>
                <w:color w:val="auto"/>
              </w:rPr>
            </w:pPr>
            <w:r>
              <w:rPr>
                <w:rFonts w:ascii="Arial" w:cs="Arial" w:eastAsia="Arial" w:hAnsi="Arial"/>
                <w:sz w:val="14"/>
                <w:szCs w:val="14"/>
                <w:color w:val="auto"/>
              </w:rPr>
              <w:t>Board member and advisor to various life science companies</w:t>
            </w:r>
          </w:p>
        </w:tc>
        <w:tc>
          <w:tcPr>
            <w:tcW w:w="1160" w:type="dxa"/>
            <w:vAlign w:val="bottom"/>
          </w:tcPr>
          <w:p>
            <w:pPr>
              <w:jc w:val="center"/>
              <w:ind w:left="350"/>
              <w:spacing w:after="0"/>
              <w:rPr>
                <w:sz w:val="20"/>
                <w:szCs w:val="20"/>
                <w:color w:val="auto"/>
              </w:rPr>
            </w:pPr>
            <w:r>
              <w:rPr>
                <w:rFonts w:ascii="Arial" w:cs="Arial" w:eastAsia="Arial" w:hAnsi="Arial"/>
                <w:sz w:val="14"/>
                <w:szCs w:val="14"/>
                <w:color w:val="auto"/>
                <w:w w:val="96"/>
              </w:rPr>
              <w:t>2017</w:t>
            </w:r>
          </w:p>
        </w:tc>
        <w:tc>
          <w:tcPr>
            <w:tcW w:w="1100" w:type="dxa"/>
            <w:vAlign w:val="bottom"/>
          </w:tcPr>
          <w:p>
            <w:pPr>
              <w:jc w:val="center"/>
              <w:spacing w:after="0"/>
              <w:rPr>
                <w:sz w:val="20"/>
                <w:szCs w:val="20"/>
                <w:color w:val="auto"/>
              </w:rPr>
            </w:pPr>
            <w:r>
              <w:rPr>
                <w:rFonts w:ascii="Arial" w:cs="Arial" w:eastAsia="Arial" w:hAnsi="Arial"/>
                <w:sz w:val="14"/>
                <w:szCs w:val="14"/>
                <w:color w:val="auto"/>
                <w:w w:val="96"/>
              </w:rPr>
              <w:t>2027</w:t>
            </w:r>
          </w:p>
        </w:tc>
        <w:tc>
          <w:tcPr>
            <w:tcW w:w="2140" w:type="dxa"/>
            <w:vAlign w:val="bottom"/>
          </w:tcPr>
          <w:p>
            <w:pPr>
              <w:jc w:val="center"/>
              <w:ind w:right="910"/>
              <w:spacing w:after="0"/>
              <w:rPr>
                <w:sz w:val="20"/>
                <w:szCs w:val="20"/>
                <w:color w:val="auto"/>
              </w:rPr>
            </w:pPr>
            <w:r>
              <w:rPr>
                <w:rFonts w:ascii="Arial" w:cs="Arial" w:eastAsia="Arial" w:hAnsi="Arial"/>
                <w:sz w:val="14"/>
                <w:szCs w:val="14"/>
                <w:color w:val="auto"/>
              </w:rPr>
              <w:t>II</w:t>
            </w:r>
          </w:p>
        </w:tc>
      </w:tr>
      <w:tr>
        <w:trPr>
          <w:trHeight w:val="280"/>
        </w:trPr>
        <w:tc>
          <w:tcPr>
            <w:tcW w:w="1960" w:type="dxa"/>
            <w:vAlign w:val="bottom"/>
          </w:tcPr>
          <w:p>
            <w:pPr>
              <w:ind w:left="40"/>
              <w:spacing w:after="0"/>
              <w:rPr>
                <w:sz w:val="20"/>
                <w:szCs w:val="20"/>
                <w:color w:val="auto"/>
              </w:rPr>
            </w:pPr>
            <w:r>
              <w:rPr>
                <w:rFonts w:ascii="Arial" w:cs="Arial" w:eastAsia="Arial" w:hAnsi="Arial"/>
                <w:sz w:val="14"/>
                <w:szCs w:val="14"/>
                <w:b w:val="1"/>
                <w:bCs w:val="1"/>
                <w:color w:val="auto"/>
              </w:rPr>
              <w:t>Michael Narachi</w:t>
            </w:r>
          </w:p>
        </w:tc>
        <w:tc>
          <w:tcPr>
            <w:tcW w:w="520" w:type="dxa"/>
            <w:vAlign w:val="bottom"/>
          </w:tcPr>
          <w:p>
            <w:pPr>
              <w:jc w:val="center"/>
              <w:spacing w:after="0"/>
              <w:rPr>
                <w:sz w:val="20"/>
                <w:szCs w:val="20"/>
                <w:color w:val="auto"/>
              </w:rPr>
            </w:pPr>
            <w:r>
              <w:rPr>
                <w:rFonts w:ascii="Arial" w:cs="Arial" w:eastAsia="Arial" w:hAnsi="Arial"/>
                <w:sz w:val="14"/>
                <w:szCs w:val="14"/>
                <w:color w:val="auto"/>
                <w:w w:val="89"/>
              </w:rPr>
              <w:t>65</w:t>
            </w:r>
          </w:p>
        </w:tc>
        <w:tc>
          <w:tcPr>
            <w:tcW w:w="4380" w:type="dxa"/>
            <w:vAlign w:val="bottom"/>
          </w:tcPr>
          <w:p>
            <w:pPr>
              <w:ind w:left="80"/>
              <w:spacing w:after="0"/>
              <w:rPr>
                <w:sz w:val="20"/>
                <w:szCs w:val="20"/>
                <w:color w:val="auto"/>
              </w:rPr>
            </w:pPr>
            <w:r>
              <w:rPr>
                <w:rFonts w:ascii="Arial" w:cs="Arial" w:eastAsia="Arial" w:hAnsi="Arial"/>
                <w:sz w:val="14"/>
                <w:szCs w:val="14"/>
                <w:color w:val="auto"/>
              </w:rPr>
              <w:t>Board member and advisor to various life science companies</w:t>
            </w:r>
          </w:p>
        </w:tc>
        <w:tc>
          <w:tcPr>
            <w:tcW w:w="1160" w:type="dxa"/>
            <w:vAlign w:val="bottom"/>
          </w:tcPr>
          <w:p>
            <w:pPr>
              <w:jc w:val="center"/>
              <w:ind w:left="350"/>
              <w:spacing w:after="0"/>
              <w:rPr>
                <w:sz w:val="20"/>
                <w:szCs w:val="20"/>
                <w:color w:val="auto"/>
              </w:rPr>
            </w:pPr>
            <w:r>
              <w:rPr>
                <w:rFonts w:ascii="Arial" w:cs="Arial" w:eastAsia="Arial" w:hAnsi="Arial"/>
                <w:sz w:val="14"/>
                <w:szCs w:val="14"/>
                <w:color w:val="auto"/>
                <w:w w:val="96"/>
              </w:rPr>
              <w:t>2015</w:t>
            </w:r>
          </w:p>
        </w:tc>
        <w:tc>
          <w:tcPr>
            <w:tcW w:w="1100" w:type="dxa"/>
            <w:vAlign w:val="bottom"/>
          </w:tcPr>
          <w:p>
            <w:pPr>
              <w:jc w:val="center"/>
              <w:spacing w:after="0"/>
              <w:rPr>
                <w:sz w:val="20"/>
                <w:szCs w:val="20"/>
                <w:color w:val="auto"/>
              </w:rPr>
            </w:pPr>
            <w:r>
              <w:rPr>
                <w:rFonts w:ascii="Arial" w:cs="Arial" w:eastAsia="Arial" w:hAnsi="Arial"/>
                <w:sz w:val="14"/>
                <w:szCs w:val="14"/>
                <w:color w:val="auto"/>
                <w:w w:val="96"/>
              </w:rPr>
              <w:t>2027</w:t>
            </w:r>
          </w:p>
        </w:tc>
        <w:tc>
          <w:tcPr>
            <w:tcW w:w="2140" w:type="dxa"/>
            <w:vAlign w:val="bottom"/>
          </w:tcPr>
          <w:p>
            <w:pPr>
              <w:jc w:val="center"/>
              <w:ind w:right="910"/>
              <w:spacing w:after="0"/>
              <w:rPr>
                <w:sz w:val="20"/>
                <w:szCs w:val="20"/>
                <w:color w:val="auto"/>
              </w:rPr>
            </w:pPr>
            <w:r>
              <w:rPr>
                <w:rFonts w:ascii="Arial" w:cs="Arial" w:eastAsia="Arial" w:hAnsi="Arial"/>
                <w:sz w:val="14"/>
                <w:szCs w:val="14"/>
                <w:color w:val="auto"/>
              </w:rPr>
              <w:t>II</w:t>
            </w:r>
          </w:p>
        </w:tc>
      </w:tr>
      <w:tr>
        <w:trPr>
          <w:trHeight w:val="280"/>
        </w:trPr>
        <w:tc>
          <w:tcPr>
            <w:tcW w:w="1960" w:type="dxa"/>
            <w:vAlign w:val="bottom"/>
          </w:tcPr>
          <w:p>
            <w:pPr>
              <w:ind w:left="40"/>
              <w:spacing w:after="0"/>
              <w:rPr>
                <w:sz w:val="20"/>
                <w:szCs w:val="20"/>
                <w:color w:val="auto"/>
              </w:rPr>
            </w:pPr>
            <w:r>
              <w:rPr>
                <w:rFonts w:ascii="Arial" w:cs="Arial" w:eastAsia="Arial" w:hAnsi="Arial"/>
                <w:sz w:val="14"/>
                <w:szCs w:val="14"/>
                <w:b w:val="1"/>
                <w:bCs w:val="1"/>
                <w:color w:val="auto"/>
              </w:rPr>
              <w:t>Corsee D. Sanders, Ph.D.</w:t>
            </w:r>
          </w:p>
        </w:tc>
        <w:tc>
          <w:tcPr>
            <w:tcW w:w="520" w:type="dxa"/>
            <w:vAlign w:val="bottom"/>
          </w:tcPr>
          <w:p>
            <w:pPr>
              <w:jc w:val="center"/>
              <w:spacing w:after="0"/>
              <w:rPr>
                <w:sz w:val="20"/>
                <w:szCs w:val="20"/>
                <w:color w:val="auto"/>
              </w:rPr>
            </w:pPr>
            <w:r>
              <w:rPr>
                <w:rFonts w:ascii="Arial" w:cs="Arial" w:eastAsia="Arial" w:hAnsi="Arial"/>
                <w:sz w:val="14"/>
                <w:szCs w:val="14"/>
                <w:color w:val="auto"/>
                <w:w w:val="89"/>
              </w:rPr>
              <w:t>68</w:t>
            </w:r>
          </w:p>
        </w:tc>
        <w:tc>
          <w:tcPr>
            <w:tcW w:w="4380" w:type="dxa"/>
            <w:vAlign w:val="bottom"/>
          </w:tcPr>
          <w:p>
            <w:pPr>
              <w:ind w:left="80"/>
              <w:spacing w:after="0"/>
              <w:rPr>
                <w:sz w:val="20"/>
                <w:szCs w:val="20"/>
                <w:color w:val="auto"/>
              </w:rPr>
            </w:pPr>
            <w:r>
              <w:rPr>
                <w:rFonts w:ascii="Arial" w:cs="Arial" w:eastAsia="Arial" w:hAnsi="Arial"/>
                <w:sz w:val="14"/>
                <w:szCs w:val="14"/>
                <w:color w:val="auto"/>
              </w:rPr>
              <w:t>Board member and advisor to various life science companies</w:t>
            </w:r>
          </w:p>
        </w:tc>
        <w:tc>
          <w:tcPr>
            <w:tcW w:w="1160" w:type="dxa"/>
            <w:vAlign w:val="bottom"/>
          </w:tcPr>
          <w:p>
            <w:pPr>
              <w:jc w:val="center"/>
              <w:ind w:left="350"/>
              <w:spacing w:after="0"/>
              <w:rPr>
                <w:sz w:val="20"/>
                <w:szCs w:val="20"/>
                <w:color w:val="auto"/>
              </w:rPr>
            </w:pPr>
            <w:r>
              <w:rPr>
                <w:rFonts w:ascii="Arial" w:cs="Arial" w:eastAsia="Arial" w:hAnsi="Arial"/>
                <w:sz w:val="14"/>
                <w:szCs w:val="14"/>
                <w:color w:val="auto"/>
                <w:w w:val="96"/>
              </w:rPr>
              <w:t>2021</w:t>
            </w:r>
          </w:p>
        </w:tc>
        <w:tc>
          <w:tcPr>
            <w:tcW w:w="1100" w:type="dxa"/>
            <w:vAlign w:val="bottom"/>
          </w:tcPr>
          <w:p>
            <w:pPr>
              <w:jc w:val="center"/>
              <w:spacing w:after="0"/>
              <w:rPr>
                <w:sz w:val="20"/>
                <w:szCs w:val="20"/>
                <w:color w:val="auto"/>
              </w:rPr>
            </w:pPr>
            <w:r>
              <w:rPr>
                <w:rFonts w:ascii="Arial" w:cs="Arial" w:eastAsia="Arial" w:hAnsi="Arial"/>
                <w:sz w:val="14"/>
                <w:szCs w:val="14"/>
                <w:color w:val="auto"/>
                <w:w w:val="96"/>
              </w:rPr>
              <w:t>2027</w:t>
            </w:r>
          </w:p>
        </w:tc>
        <w:tc>
          <w:tcPr>
            <w:tcW w:w="2140" w:type="dxa"/>
            <w:vAlign w:val="bottom"/>
          </w:tcPr>
          <w:p>
            <w:pPr>
              <w:jc w:val="center"/>
              <w:ind w:right="910"/>
              <w:spacing w:after="0"/>
              <w:rPr>
                <w:sz w:val="20"/>
                <w:szCs w:val="20"/>
                <w:color w:val="auto"/>
              </w:rPr>
            </w:pPr>
            <w:r>
              <w:rPr>
                <w:rFonts w:ascii="Arial" w:cs="Arial" w:eastAsia="Arial" w:hAnsi="Arial"/>
                <w:sz w:val="14"/>
                <w:szCs w:val="14"/>
                <w:color w:val="auto"/>
              </w:rPr>
              <w:t>II</w:t>
            </w:r>
          </w:p>
        </w:tc>
      </w:tr>
      <w:tr>
        <w:trPr>
          <w:trHeight w:val="45"/>
        </w:trPr>
        <w:tc>
          <w:tcPr>
            <w:tcW w:w="1960" w:type="dxa"/>
            <w:vAlign w:val="bottom"/>
            <w:tcBorders>
              <w:bottom w:val="single" w:sz="8" w:color="7CBD3E"/>
            </w:tcBorders>
          </w:tcPr>
          <w:p>
            <w:pPr>
              <w:spacing w:after="0"/>
              <w:rPr>
                <w:sz w:val="3"/>
                <w:szCs w:val="3"/>
                <w:color w:val="auto"/>
              </w:rPr>
            </w:pPr>
          </w:p>
        </w:tc>
        <w:tc>
          <w:tcPr>
            <w:tcW w:w="520" w:type="dxa"/>
            <w:vAlign w:val="bottom"/>
            <w:tcBorders>
              <w:bottom w:val="single" w:sz="8" w:color="7CBD3E"/>
            </w:tcBorders>
          </w:tcPr>
          <w:p>
            <w:pPr>
              <w:spacing w:after="0"/>
              <w:rPr>
                <w:sz w:val="3"/>
                <w:szCs w:val="3"/>
                <w:color w:val="auto"/>
              </w:rPr>
            </w:pPr>
          </w:p>
        </w:tc>
        <w:tc>
          <w:tcPr>
            <w:tcW w:w="4380" w:type="dxa"/>
            <w:vAlign w:val="bottom"/>
            <w:tcBorders>
              <w:bottom w:val="single" w:sz="8" w:color="7CBD3E"/>
            </w:tcBorders>
          </w:tcPr>
          <w:p>
            <w:pPr>
              <w:spacing w:after="0"/>
              <w:rPr>
                <w:sz w:val="3"/>
                <w:szCs w:val="3"/>
                <w:color w:val="auto"/>
              </w:rPr>
            </w:pPr>
          </w:p>
        </w:tc>
        <w:tc>
          <w:tcPr>
            <w:tcW w:w="1160" w:type="dxa"/>
            <w:vAlign w:val="bottom"/>
            <w:tcBorders>
              <w:bottom w:val="single" w:sz="8" w:color="7CBD3E"/>
            </w:tcBorders>
          </w:tcPr>
          <w:p>
            <w:pPr>
              <w:spacing w:after="0"/>
              <w:rPr>
                <w:sz w:val="3"/>
                <w:szCs w:val="3"/>
                <w:color w:val="auto"/>
              </w:rPr>
            </w:pPr>
          </w:p>
        </w:tc>
        <w:tc>
          <w:tcPr>
            <w:tcW w:w="1100" w:type="dxa"/>
            <w:vAlign w:val="bottom"/>
            <w:tcBorders>
              <w:bottom w:val="single" w:sz="8" w:color="7CBD3E"/>
            </w:tcBorders>
          </w:tcPr>
          <w:p>
            <w:pPr>
              <w:spacing w:after="0"/>
              <w:rPr>
                <w:sz w:val="3"/>
                <w:szCs w:val="3"/>
                <w:color w:val="auto"/>
              </w:rPr>
            </w:pPr>
          </w:p>
        </w:tc>
        <w:tc>
          <w:tcPr>
            <w:tcW w:w="2140" w:type="dxa"/>
            <w:vAlign w:val="bottom"/>
            <w:tcBorders>
              <w:bottom w:val="single" w:sz="8" w:color="7CBD3E"/>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-1576070</wp:posOffset>
            </wp:positionV>
            <wp:extent cx="7150735" cy="18503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0735" cy="1850390"/>
                    </a:xfrm>
                    <a:prstGeom prst="rect">
                      <a:avLst/>
                    </a:prstGeom>
                    <a:noFill/>
                  </pic:spPr>
                </pic:pic>
              </a:graphicData>
            </a:graphic>
          </wp:anchor>
        </w:drawing>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color w:val="FFFFFF"/>
        </w:rPr>
        <w:t>Board Composition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18415</wp:posOffset>
            </wp:positionV>
            <wp:extent cx="14605" cy="146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605" cy="1460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40640</wp:posOffset>
            </wp:positionV>
            <wp:extent cx="7150735" cy="17100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0735" cy="1710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right"/>
        <w:spacing w:after="0"/>
        <w:tabs>
          <w:tab w:leader="none" w:pos="60" w:val="left"/>
        </w:tabs>
        <w:rPr>
          <w:sz w:val="20"/>
          <w:szCs w:val="20"/>
          <w:color w:val="auto"/>
        </w:rPr>
      </w:pPr>
      <w:r>
        <w:rPr>
          <w:rFonts w:ascii="Arial" w:cs="Arial" w:eastAsia="Arial" w:hAnsi="Arial"/>
          <w:sz w:val="14"/>
          <w:szCs w:val="14"/>
          <w:b w:val="1"/>
          <w:bCs w:val="1"/>
          <w:color w:val="auto"/>
        </w:rPr>
        <w:t xml:space="preserve">ULTRAGENYX PHARMACEUTICAL INC. </w:t>
      </w:r>
      <w:r>
        <w:rPr>
          <w:rFonts w:ascii="Arial" w:cs="Arial" w:eastAsia="Arial" w:hAnsi="Arial"/>
          <w:sz w:val="14"/>
          <w:szCs w:val="14"/>
          <w:color w:val="7CBD3F"/>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2025 Proxy Statement</w:t>
      </w:r>
      <w:r>
        <w:rPr>
          <w:rFonts w:ascii="Arial" w:cs="Arial" w:eastAsia="Arial" w:hAnsi="Arial"/>
          <w:sz w:val="14"/>
          <w:szCs w:val="14"/>
          <w:b w:val="1"/>
          <w:bCs w:val="1"/>
          <w:color w:val="auto"/>
        </w:rPr>
        <w:tab/>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142240</wp:posOffset>
            </wp:positionV>
            <wp:extent cx="715073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0735" cy="29845"/>
                    </a:xfrm>
                    <a:prstGeom prst="rect">
                      <a:avLst/>
                    </a:prstGeom>
                    <a:noFill/>
                  </pic:spPr>
                </pic:pic>
              </a:graphicData>
            </a:graphic>
          </wp:anchor>
        </w:drawing>
      </w:r>
    </w:p>
    <w:p>
      <w:pPr>
        <w:sectPr>
          <w:pgSz w:w="11900" w:h="16838" w:orient="portrait"/>
          <w:cols w:equalWidth="0" w:num="1">
            <w:col w:w="11260"/>
          </w:cols>
          <w:pgMar w:left="320" w:top="225" w:right="319" w:bottom="1440" w:gutter="0" w:footer="0" w:header="0"/>
        </w:sectPr>
      </w:pPr>
    </w:p>
    <w:bookmarkStart w:id="7" w:name="page8"/>
    <w:bookmarkEnd w:id="7"/>
    <w:p>
      <w:pPr>
        <w:spacing w:after="0"/>
        <w:rPr>
          <w:sz w:val="20"/>
          <w:szCs w:val="20"/>
          <w:color w:val="auto"/>
        </w:rPr>
      </w:pPr>
      <w:r>
        <w:rPr>
          <w:rFonts w:ascii="Arial" w:cs="Arial" w:eastAsia="Arial" w:hAnsi="Arial"/>
          <w:sz w:val="12"/>
          <w:szCs w:val="12"/>
          <w:b w:val="1"/>
          <w:bCs w:val="1"/>
          <w:u w:val="single" w:color="auto"/>
          <w:color w:val="0000EE"/>
        </w:rPr>
        <w:t>Back to Contents</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Building the Right Board</w:t>
      </w:r>
    </w:p>
    <w:p>
      <w:pPr>
        <w:spacing w:after="0" w:line="175" w:lineRule="exact"/>
        <w:rPr>
          <w:sz w:val="20"/>
          <w:szCs w:val="20"/>
          <w:color w:val="auto"/>
        </w:rPr>
      </w:pPr>
    </w:p>
    <w:p>
      <w:pPr>
        <w:jc w:val="both"/>
        <w:spacing w:after="0" w:line="248" w:lineRule="auto"/>
        <w:rPr>
          <w:sz w:val="20"/>
          <w:szCs w:val="20"/>
          <w:color w:val="auto"/>
        </w:rPr>
      </w:pPr>
      <w:r>
        <w:rPr>
          <w:rFonts w:ascii="Arial" w:cs="Arial" w:eastAsia="Arial" w:hAnsi="Arial"/>
          <w:sz w:val="14"/>
          <w:szCs w:val="14"/>
          <w:color w:val="auto"/>
        </w:rPr>
        <w:t>Our Nominating and Corporate Governance Committee is responsible for reviewing with the entire Board from time to time the appropriate skills and characteristics required of directors in the context of the current Board composition and the anticipated needs of the Board and the Company. Our Nominating and Corporate Governance Committee actively considers whether potential candidates would assist in achieving a mix of Board members that represents a broad range of knowledge, skills, and experience, including whether the nominee has specific strengths that would augment existing skills and experiences of the Board and in a manner that is aligned with the Company’s strategic direction. The following matrix highlights each director’s primary skills or knowledge in these areas as identified by the Nominating and Corporate Governance Committee. The matrix does not encompass all of the knowledge, skills, experiences or attributes of our directors, and the fact that a particular knowledge, skill, experience or attribute is not listed does not mean that a director does not possess it. In addition, the absence of a particular knowledge, skill, experience or attribute with respect to any of our directors does not mean the director in question is unable to contribute to the decision-making process in that area. The type and degree of knowledge, skill and experience listed below may vary among the members of the Board.</w:t>
      </w:r>
    </w:p>
    <w:p>
      <w:pPr>
        <w:spacing w:after="0" w:line="161" w:lineRule="exact"/>
        <w:rPr>
          <w:sz w:val="20"/>
          <w:szCs w:val="20"/>
          <w:color w:val="auto"/>
        </w:rPr>
      </w:pPr>
    </w:p>
    <w:p>
      <w:pPr>
        <w:ind w:left="5780"/>
        <w:spacing w:after="0"/>
        <w:tabs>
          <w:tab w:leader="none" w:pos="6400" w:val="left"/>
          <w:tab w:leader="none" w:pos="7060" w:val="left"/>
          <w:tab w:leader="none" w:pos="7860" w:val="left"/>
          <w:tab w:leader="none" w:pos="8460" w:val="left"/>
          <w:tab w:leader="none" w:pos="9280" w:val="left"/>
          <w:tab w:leader="none" w:pos="9860" w:val="left"/>
          <w:tab w:leader="none" w:pos="10640" w:val="left"/>
        </w:tabs>
        <w:rPr>
          <w:sz w:val="20"/>
          <w:szCs w:val="20"/>
          <w:color w:val="auto"/>
        </w:rPr>
      </w:pPr>
      <w:r>
        <w:rPr>
          <w:rFonts w:ascii="Arial" w:cs="Arial" w:eastAsia="Arial" w:hAnsi="Arial"/>
          <w:sz w:val="14"/>
          <w:szCs w:val="14"/>
          <w:b w:val="1"/>
          <w:bCs w:val="1"/>
          <w:color w:val="7CBD3F"/>
        </w:rPr>
        <w:t>Welch</w:t>
        <w:tab/>
        <w:t>Kakkis</w:t>
        <w:tab/>
        <w:t>Dunsire</w:t>
      </w:r>
      <w:r>
        <w:rPr>
          <w:sz w:val="20"/>
          <w:szCs w:val="20"/>
          <w:color w:val="auto"/>
        </w:rPr>
        <w:tab/>
      </w:r>
      <w:r>
        <w:rPr>
          <w:rFonts w:ascii="Arial" w:cs="Arial" w:eastAsia="Arial" w:hAnsi="Arial"/>
          <w:sz w:val="14"/>
          <w:szCs w:val="14"/>
          <w:b w:val="1"/>
          <w:bCs w:val="1"/>
          <w:color w:val="7CBD3F"/>
        </w:rPr>
        <w:t>Fust</w:t>
      </w:r>
      <w:r>
        <w:rPr>
          <w:sz w:val="20"/>
          <w:szCs w:val="20"/>
          <w:color w:val="auto"/>
        </w:rPr>
        <w:tab/>
      </w:r>
      <w:r>
        <w:rPr>
          <w:rFonts w:ascii="Arial" w:cs="Arial" w:eastAsia="Arial" w:hAnsi="Arial"/>
          <w:sz w:val="14"/>
          <w:szCs w:val="14"/>
          <w:b w:val="1"/>
          <w:bCs w:val="1"/>
          <w:color w:val="7CBD3F"/>
        </w:rPr>
        <w:t>Narachi</w:t>
      </w:r>
      <w:r>
        <w:rPr>
          <w:sz w:val="20"/>
          <w:szCs w:val="20"/>
          <w:color w:val="auto"/>
        </w:rPr>
        <w:tab/>
      </w:r>
      <w:r>
        <w:rPr>
          <w:rFonts w:ascii="Arial" w:cs="Arial" w:eastAsia="Arial" w:hAnsi="Arial"/>
          <w:sz w:val="14"/>
          <w:szCs w:val="14"/>
          <w:b w:val="1"/>
          <w:bCs w:val="1"/>
          <w:color w:val="7CBD3F"/>
        </w:rPr>
        <w:t>Ray</w:t>
      </w:r>
      <w:r>
        <w:rPr>
          <w:sz w:val="20"/>
          <w:szCs w:val="20"/>
          <w:color w:val="auto"/>
        </w:rPr>
        <w:tab/>
      </w:r>
      <w:r>
        <w:rPr>
          <w:rFonts w:ascii="Arial" w:cs="Arial" w:eastAsia="Arial" w:hAnsi="Arial"/>
          <w:sz w:val="14"/>
          <w:szCs w:val="14"/>
          <w:b w:val="1"/>
          <w:bCs w:val="1"/>
          <w:color w:val="7CBD3F"/>
        </w:rPr>
        <w:t>Sanders</w:t>
      </w:r>
      <w:r>
        <w:rPr>
          <w:sz w:val="20"/>
          <w:szCs w:val="20"/>
          <w:color w:val="auto"/>
        </w:rPr>
        <w:tab/>
      </w:r>
      <w:r>
        <w:rPr>
          <w:rFonts w:ascii="Arial" w:cs="Arial" w:eastAsia="Arial" w:hAnsi="Arial"/>
          <w:sz w:val="13"/>
          <w:szCs w:val="13"/>
          <w:b w:val="1"/>
          <w:bCs w:val="1"/>
          <w:color w:val="7CBD3F"/>
        </w:rPr>
        <w:t>Suliman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50735" cy="146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pacing w:after="0" w:line="4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Skills and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50735"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pacing w:after="0" w:line="31" w:lineRule="exact"/>
        <w:rPr>
          <w:sz w:val="20"/>
          <w:szCs w:val="20"/>
          <w:color w:val="auto"/>
        </w:rPr>
      </w:pPr>
    </w:p>
    <w:p>
      <w:pPr>
        <w:ind w:left="40"/>
        <w:spacing w:after="0"/>
        <w:rPr>
          <w:sz w:val="20"/>
          <w:szCs w:val="20"/>
          <w:color w:val="auto"/>
        </w:rPr>
      </w:pPr>
      <w:r>
        <w:rPr>
          <w:rFonts w:ascii="Arial" w:cs="Arial" w:eastAsia="Arial" w:hAnsi="Arial"/>
          <w:sz w:val="14"/>
          <w:szCs w:val="14"/>
          <w:i w:val="1"/>
          <w:iCs w:val="1"/>
          <w:color w:val="auto"/>
        </w:rPr>
        <w:t>Core Board Capabilities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7150735"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pacing w:after="0" w:line="27" w:lineRule="exact"/>
        <w:rPr>
          <w:sz w:val="20"/>
          <w:szCs w:val="20"/>
          <w:color w:val="auto"/>
        </w:rPr>
      </w:pPr>
    </w:p>
    <w:p>
      <w:pPr>
        <w:ind w:left="40"/>
        <w:spacing w:after="0"/>
        <w:rPr>
          <w:sz w:val="20"/>
          <w:szCs w:val="20"/>
          <w:color w:val="auto"/>
        </w:rPr>
      </w:pPr>
      <w:r>
        <w:rPr>
          <w:rFonts w:ascii="Arial" w:cs="Arial" w:eastAsia="Arial" w:hAnsi="Arial"/>
          <w:sz w:val="14"/>
          <w:szCs w:val="14"/>
          <w:color w:val="auto"/>
        </w:rPr>
        <w:t>Biopharma C-level leadership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50735"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0735" cy="7620"/>
                    </a:xfrm>
                    <a:prstGeom prst="rect">
                      <a:avLst/>
                    </a:prstGeom>
                    <a:noFill/>
                  </pic:spPr>
                </pic:pic>
              </a:graphicData>
            </a:graphic>
          </wp:anchor>
        </w:drawing>
        <w:drawing>
          <wp:anchor simplePos="0" relativeHeight="251657728" behindDoc="1" locked="0" layoutInCell="0" allowOverlap="1">
            <wp:simplePos x="0" y="0"/>
            <wp:positionH relativeFrom="column">
              <wp:posOffset>3771265</wp:posOffset>
            </wp:positionH>
            <wp:positionV relativeFrom="paragraph">
              <wp:posOffset>-78740</wp:posOffset>
            </wp:positionV>
            <wp:extent cx="59055" cy="666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9055" cy="66675"/>
                    </a:xfrm>
                    <a:prstGeom prst="rect">
                      <a:avLst/>
                    </a:prstGeom>
                    <a:noFill/>
                  </pic:spPr>
                </pic:pic>
              </a:graphicData>
            </a:graphic>
          </wp:anchor>
        </w:drawing>
        <w:drawing>
          <wp:anchor simplePos="0" relativeHeight="251657728" behindDoc="1" locked="0" layoutInCell="0" allowOverlap="1">
            <wp:simplePos x="0" y="0"/>
            <wp:positionH relativeFrom="column">
              <wp:posOffset>4192905</wp:posOffset>
            </wp:positionH>
            <wp:positionV relativeFrom="paragraph">
              <wp:posOffset>-78740</wp:posOffset>
            </wp:positionV>
            <wp:extent cx="59055" cy="666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9055" cy="66675"/>
                    </a:xfrm>
                    <a:prstGeom prst="rect">
                      <a:avLst/>
                    </a:prstGeom>
                    <a:noFill/>
                  </pic:spPr>
                </pic:pic>
              </a:graphicData>
            </a:graphic>
          </wp:anchor>
        </w:drawing>
        <w:drawing>
          <wp:anchor simplePos="0" relativeHeight="251657728" behindDoc="1" locked="0" layoutInCell="0" allowOverlap="1">
            <wp:simplePos x="0" y="0"/>
            <wp:positionH relativeFrom="column">
              <wp:posOffset>4637405</wp:posOffset>
            </wp:positionH>
            <wp:positionV relativeFrom="paragraph">
              <wp:posOffset>-78740</wp:posOffset>
            </wp:positionV>
            <wp:extent cx="59055" cy="666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9055" cy="66675"/>
                    </a:xfrm>
                    <a:prstGeom prst="rect">
                      <a:avLst/>
                    </a:prstGeom>
                    <a:noFill/>
                  </pic:spPr>
                </pic:pic>
              </a:graphicData>
            </a:graphic>
          </wp:anchor>
        </w:drawing>
        <w:drawing>
          <wp:anchor simplePos="0" relativeHeight="251657728" behindDoc="1" locked="0" layoutInCell="0" allowOverlap="1">
            <wp:simplePos x="0" y="0"/>
            <wp:positionH relativeFrom="column">
              <wp:posOffset>5074285</wp:posOffset>
            </wp:positionH>
            <wp:positionV relativeFrom="paragraph">
              <wp:posOffset>-78740</wp:posOffset>
            </wp:positionV>
            <wp:extent cx="59055" cy="666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9055" cy="66675"/>
                    </a:xfrm>
                    <a:prstGeom prst="rect">
                      <a:avLst/>
                    </a:prstGeom>
                    <a:noFill/>
                  </pic:spPr>
                </pic:pic>
              </a:graphicData>
            </a:graphic>
          </wp:anchor>
        </w:drawing>
        <w:drawing>
          <wp:anchor simplePos="0" relativeHeight="251657728" behindDoc="1" locked="0" layoutInCell="0" allowOverlap="1">
            <wp:simplePos x="0" y="0"/>
            <wp:positionH relativeFrom="column">
              <wp:posOffset>5518150</wp:posOffset>
            </wp:positionH>
            <wp:positionV relativeFrom="paragraph">
              <wp:posOffset>-78740</wp:posOffset>
            </wp:positionV>
            <wp:extent cx="59055" cy="666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9055" cy="66675"/>
                    </a:xfrm>
                    <a:prstGeom prst="rect">
                      <a:avLst/>
                    </a:prstGeom>
                    <a:noFill/>
                  </pic:spPr>
                </pic:pic>
              </a:graphicData>
            </a:graphic>
          </wp:anchor>
        </w:drawing>
        <w:drawing>
          <wp:anchor simplePos="0" relativeHeight="251657728" behindDoc="1" locked="0" layoutInCell="0" allowOverlap="1">
            <wp:simplePos x="0" y="0"/>
            <wp:positionH relativeFrom="column">
              <wp:posOffset>5962015</wp:posOffset>
            </wp:positionH>
            <wp:positionV relativeFrom="paragraph">
              <wp:posOffset>-78740</wp:posOffset>
            </wp:positionV>
            <wp:extent cx="59055" cy="666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9055" cy="66675"/>
                    </a:xfrm>
                    <a:prstGeom prst="rect">
                      <a:avLst/>
                    </a:prstGeom>
                    <a:noFill/>
                  </pic:spPr>
                </pic:pic>
              </a:graphicData>
            </a:graphic>
          </wp:anchor>
        </w:drawing>
        <w:drawing>
          <wp:anchor simplePos="0" relativeHeight="251657728" behindDoc="1" locked="0" layoutInCell="0" allowOverlap="1">
            <wp:simplePos x="0" y="0"/>
            <wp:positionH relativeFrom="column">
              <wp:posOffset>6421120</wp:posOffset>
            </wp:positionH>
            <wp:positionV relativeFrom="paragraph">
              <wp:posOffset>-78740</wp:posOffset>
            </wp:positionV>
            <wp:extent cx="59055" cy="666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9055" cy="6667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-78740</wp:posOffset>
            </wp:positionV>
            <wp:extent cx="59055" cy="666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9055" cy="66675"/>
                    </a:xfrm>
                    <a:prstGeom prst="rect">
                      <a:avLst/>
                    </a:prstGeom>
                    <a:noFill/>
                  </pic:spPr>
                </pic:pic>
              </a:graphicData>
            </a:graphic>
          </wp:anchor>
        </w:drawing>
      </w:r>
    </w:p>
    <w:p>
      <w:pPr>
        <w:spacing w:after="0" w:line="29" w:lineRule="exact"/>
        <w:rPr>
          <w:sz w:val="20"/>
          <w:szCs w:val="20"/>
          <w:color w:val="auto"/>
        </w:rPr>
      </w:pPr>
    </w:p>
    <w:p>
      <w:pPr>
        <w:ind w:left="40"/>
        <w:spacing w:after="0"/>
        <w:rPr>
          <w:sz w:val="20"/>
          <w:szCs w:val="20"/>
          <w:color w:val="auto"/>
        </w:rPr>
      </w:pPr>
      <w:r>
        <w:rPr>
          <w:rFonts w:ascii="Arial" w:cs="Arial" w:eastAsia="Arial" w:hAnsi="Arial"/>
          <w:sz w:val="14"/>
          <w:szCs w:val="14"/>
          <w:color w:val="auto"/>
        </w:rPr>
        <w:t>Scientific and research leadership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50735"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0735" cy="7620"/>
                    </a:xfrm>
                    <a:prstGeom prst="rect">
                      <a:avLst/>
                    </a:prstGeom>
                    <a:noFill/>
                  </pic:spPr>
                </pic:pic>
              </a:graphicData>
            </a:graphic>
          </wp:anchor>
        </w:drawing>
        <w:drawing>
          <wp:anchor simplePos="0" relativeHeight="251657728" behindDoc="1" locked="0" layoutInCell="0" allowOverlap="1">
            <wp:simplePos x="0" y="0"/>
            <wp:positionH relativeFrom="column">
              <wp:posOffset>4192905</wp:posOffset>
            </wp:positionH>
            <wp:positionV relativeFrom="paragraph">
              <wp:posOffset>-78740</wp:posOffset>
            </wp:positionV>
            <wp:extent cx="59055" cy="666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9055" cy="66675"/>
                    </a:xfrm>
                    <a:prstGeom prst="rect">
                      <a:avLst/>
                    </a:prstGeom>
                    <a:noFill/>
                  </pic:spPr>
                </pic:pic>
              </a:graphicData>
            </a:graphic>
          </wp:anchor>
        </w:drawing>
        <w:drawing>
          <wp:anchor simplePos="0" relativeHeight="251657728" behindDoc="1" locked="0" layoutInCell="0" allowOverlap="1">
            <wp:simplePos x="0" y="0"/>
            <wp:positionH relativeFrom="column">
              <wp:posOffset>5962015</wp:posOffset>
            </wp:positionH>
            <wp:positionV relativeFrom="paragraph">
              <wp:posOffset>-78740</wp:posOffset>
            </wp:positionV>
            <wp:extent cx="59055" cy="666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9055" cy="66675"/>
                    </a:xfrm>
                    <a:prstGeom prst="rect">
                      <a:avLst/>
                    </a:prstGeom>
                    <a:noFill/>
                  </pic:spPr>
                </pic:pic>
              </a:graphicData>
            </a:graphic>
          </wp:anchor>
        </w:drawing>
        <w:drawing>
          <wp:anchor simplePos="0" relativeHeight="251657728" behindDoc="1" locked="0" layoutInCell="0" allowOverlap="1">
            <wp:simplePos x="0" y="0"/>
            <wp:positionH relativeFrom="column">
              <wp:posOffset>6421120</wp:posOffset>
            </wp:positionH>
            <wp:positionV relativeFrom="paragraph">
              <wp:posOffset>-78740</wp:posOffset>
            </wp:positionV>
            <wp:extent cx="59055" cy="666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9055" cy="6667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-78740</wp:posOffset>
            </wp:positionV>
            <wp:extent cx="59055" cy="666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9055" cy="66675"/>
                    </a:xfrm>
                    <a:prstGeom prst="rect">
                      <a:avLst/>
                    </a:prstGeom>
                    <a:noFill/>
                  </pic:spPr>
                </pic:pic>
              </a:graphicData>
            </a:graphic>
          </wp:anchor>
        </w:drawing>
      </w:r>
    </w:p>
    <w:p>
      <w:pPr>
        <w:spacing w:after="0" w:line="2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Clinical development leadership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50735"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0735" cy="7620"/>
                    </a:xfrm>
                    <a:prstGeom prst="rect">
                      <a:avLst/>
                    </a:prstGeom>
                    <a:noFill/>
                  </pic:spPr>
                </pic:pic>
              </a:graphicData>
            </a:graphic>
          </wp:anchor>
        </w:drawing>
        <w:drawing>
          <wp:anchor simplePos="0" relativeHeight="251657728" behindDoc="1" locked="0" layoutInCell="0" allowOverlap="1">
            <wp:simplePos x="0" y="0"/>
            <wp:positionH relativeFrom="column">
              <wp:posOffset>4192905</wp:posOffset>
            </wp:positionH>
            <wp:positionV relativeFrom="paragraph">
              <wp:posOffset>-78740</wp:posOffset>
            </wp:positionV>
            <wp:extent cx="59055" cy="666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9055" cy="66675"/>
                    </a:xfrm>
                    <a:prstGeom prst="rect">
                      <a:avLst/>
                    </a:prstGeom>
                    <a:noFill/>
                  </pic:spPr>
                </pic:pic>
              </a:graphicData>
            </a:graphic>
          </wp:anchor>
        </w:drawing>
        <w:drawing>
          <wp:anchor simplePos="0" relativeHeight="251657728" behindDoc="1" locked="0" layoutInCell="0" allowOverlap="1">
            <wp:simplePos x="0" y="0"/>
            <wp:positionH relativeFrom="column">
              <wp:posOffset>4637405</wp:posOffset>
            </wp:positionH>
            <wp:positionV relativeFrom="paragraph">
              <wp:posOffset>-78740</wp:posOffset>
            </wp:positionV>
            <wp:extent cx="59055" cy="666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9055" cy="66675"/>
                    </a:xfrm>
                    <a:prstGeom prst="rect">
                      <a:avLst/>
                    </a:prstGeom>
                    <a:noFill/>
                  </pic:spPr>
                </pic:pic>
              </a:graphicData>
            </a:graphic>
          </wp:anchor>
        </w:drawing>
        <w:drawing>
          <wp:anchor simplePos="0" relativeHeight="251657728" behindDoc="1" locked="0" layoutInCell="0" allowOverlap="1">
            <wp:simplePos x="0" y="0"/>
            <wp:positionH relativeFrom="column">
              <wp:posOffset>5518150</wp:posOffset>
            </wp:positionH>
            <wp:positionV relativeFrom="paragraph">
              <wp:posOffset>-78740</wp:posOffset>
            </wp:positionV>
            <wp:extent cx="59055" cy="666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9055" cy="66675"/>
                    </a:xfrm>
                    <a:prstGeom prst="rect">
                      <a:avLst/>
                    </a:prstGeom>
                    <a:noFill/>
                  </pic:spPr>
                </pic:pic>
              </a:graphicData>
            </a:graphic>
          </wp:anchor>
        </w:drawing>
        <w:drawing>
          <wp:anchor simplePos="0" relativeHeight="251657728" behindDoc="1" locked="0" layoutInCell="0" allowOverlap="1">
            <wp:simplePos x="0" y="0"/>
            <wp:positionH relativeFrom="column">
              <wp:posOffset>5962015</wp:posOffset>
            </wp:positionH>
            <wp:positionV relativeFrom="paragraph">
              <wp:posOffset>-78740</wp:posOffset>
            </wp:positionV>
            <wp:extent cx="59055" cy="666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9055" cy="66675"/>
                    </a:xfrm>
                    <a:prstGeom prst="rect">
                      <a:avLst/>
                    </a:prstGeom>
                    <a:noFill/>
                  </pic:spPr>
                </pic:pic>
              </a:graphicData>
            </a:graphic>
          </wp:anchor>
        </w:drawing>
        <w:drawing>
          <wp:anchor simplePos="0" relativeHeight="251657728" behindDoc="1" locked="0" layoutInCell="0" allowOverlap="1">
            <wp:simplePos x="0" y="0"/>
            <wp:positionH relativeFrom="column">
              <wp:posOffset>6421120</wp:posOffset>
            </wp:positionH>
            <wp:positionV relativeFrom="paragraph">
              <wp:posOffset>-78740</wp:posOffset>
            </wp:positionV>
            <wp:extent cx="59055" cy="666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9055" cy="6667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-78740</wp:posOffset>
            </wp:positionV>
            <wp:extent cx="59055" cy="666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9055" cy="66675"/>
                    </a:xfrm>
                    <a:prstGeom prst="rect">
                      <a:avLst/>
                    </a:prstGeom>
                    <a:noFill/>
                  </pic:spPr>
                </pic:pic>
              </a:graphicData>
            </a:graphic>
          </wp:anchor>
        </w:drawing>
      </w:r>
    </w:p>
    <w:p>
      <w:pPr>
        <w:spacing w:after="0" w:line="29"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Regulatory leadership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50735"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0735" cy="7620"/>
                    </a:xfrm>
                    <a:prstGeom prst="rect">
                      <a:avLst/>
                    </a:prstGeom>
                    <a:noFill/>
                  </pic:spPr>
                </pic:pic>
              </a:graphicData>
            </a:graphic>
          </wp:anchor>
        </w:drawing>
        <w:drawing>
          <wp:anchor simplePos="0" relativeHeight="251657728" behindDoc="1" locked="0" layoutInCell="0" allowOverlap="1">
            <wp:simplePos x="0" y="0"/>
            <wp:positionH relativeFrom="column">
              <wp:posOffset>4192905</wp:posOffset>
            </wp:positionH>
            <wp:positionV relativeFrom="paragraph">
              <wp:posOffset>-78740</wp:posOffset>
            </wp:positionV>
            <wp:extent cx="59055" cy="666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9055" cy="66675"/>
                    </a:xfrm>
                    <a:prstGeom prst="rect">
                      <a:avLst/>
                    </a:prstGeom>
                    <a:noFill/>
                  </pic:spPr>
                </pic:pic>
              </a:graphicData>
            </a:graphic>
          </wp:anchor>
        </w:drawing>
        <w:drawing>
          <wp:anchor simplePos="0" relativeHeight="251657728" behindDoc="1" locked="0" layoutInCell="0" allowOverlap="1">
            <wp:simplePos x="0" y="0"/>
            <wp:positionH relativeFrom="column">
              <wp:posOffset>5518150</wp:posOffset>
            </wp:positionH>
            <wp:positionV relativeFrom="paragraph">
              <wp:posOffset>-78740</wp:posOffset>
            </wp:positionV>
            <wp:extent cx="59055" cy="666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9055" cy="66675"/>
                    </a:xfrm>
                    <a:prstGeom prst="rect">
                      <a:avLst/>
                    </a:prstGeom>
                    <a:noFill/>
                  </pic:spPr>
                </pic:pic>
              </a:graphicData>
            </a:graphic>
          </wp:anchor>
        </w:drawing>
        <w:drawing>
          <wp:anchor simplePos="0" relativeHeight="251657728" behindDoc="1" locked="0" layoutInCell="0" allowOverlap="1">
            <wp:simplePos x="0" y="0"/>
            <wp:positionH relativeFrom="column">
              <wp:posOffset>5962015</wp:posOffset>
            </wp:positionH>
            <wp:positionV relativeFrom="paragraph">
              <wp:posOffset>-78740</wp:posOffset>
            </wp:positionV>
            <wp:extent cx="59055" cy="666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9055" cy="66675"/>
                    </a:xfrm>
                    <a:prstGeom prst="rect">
                      <a:avLst/>
                    </a:prstGeom>
                    <a:noFill/>
                  </pic:spPr>
                </pic:pic>
              </a:graphicData>
            </a:graphic>
          </wp:anchor>
        </w:drawing>
        <w:drawing>
          <wp:anchor simplePos="0" relativeHeight="251657728" behindDoc="1" locked="0" layoutInCell="0" allowOverlap="1">
            <wp:simplePos x="0" y="0"/>
            <wp:positionH relativeFrom="column">
              <wp:posOffset>6421120</wp:posOffset>
            </wp:positionH>
            <wp:positionV relativeFrom="paragraph">
              <wp:posOffset>-78740</wp:posOffset>
            </wp:positionV>
            <wp:extent cx="59055" cy="666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9055" cy="66675"/>
                    </a:xfrm>
                    <a:prstGeom prst="rect">
                      <a:avLst/>
                    </a:prstGeom>
                    <a:noFill/>
                  </pic:spPr>
                </pic:pic>
              </a:graphicData>
            </a:graphic>
          </wp:anchor>
        </w:drawing>
      </w:r>
    </w:p>
    <w:p>
      <w:pPr>
        <w:spacing w:after="0" w:line="29" w:lineRule="exact"/>
        <w:rPr>
          <w:sz w:val="20"/>
          <w:szCs w:val="20"/>
          <w:color w:val="auto"/>
        </w:rPr>
      </w:pPr>
    </w:p>
    <w:p>
      <w:pPr>
        <w:ind w:left="40"/>
        <w:spacing w:after="0"/>
        <w:rPr>
          <w:sz w:val="20"/>
          <w:szCs w:val="20"/>
          <w:color w:val="auto"/>
        </w:rPr>
      </w:pPr>
      <w:r>
        <w:rPr>
          <w:rFonts w:ascii="Arial" w:cs="Arial" w:eastAsia="Arial" w:hAnsi="Arial"/>
          <w:sz w:val="14"/>
          <w:szCs w:val="14"/>
          <w:color w:val="auto"/>
        </w:rPr>
        <w:t>Rare disease commercial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50735"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0735" cy="7620"/>
                    </a:xfrm>
                    <a:prstGeom prst="rect">
                      <a:avLst/>
                    </a:prstGeom>
                    <a:noFill/>
                  </pic:spPr>
                </pic:pic>
              </a:graphicData>
            </a:graphic>
          </wp:anchor>
        </w:drawing>
        <w:drawing>
          <wp:anchor simplePos="0" relativeHeight="251657728" behindDoc="1" locked="0" layoutInCell="0" allowOverlap="1">
            <wp:simplePos x="0" y="0"/>
            <wp:positionH relativeFrom="column">
              <wp:posOffset>3771265</wp:posOffset>
            </wp:positionH>
            <wp:positionV relativeFrom="paragraph">
              <wp:posOffset>-78740</wp:posOffset>
            </wp:positionV>
            <wp:extent cx="59055" cy="666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9055" cy="66675"/>
                    </a:xfrm>
                    <a:prstGeom prst="rect">
                      <a:avLst/>
                    </a:prstGeom>
                    <a:noFill/>
                  </pic:spPr>
                </pic:pic>
              </a:graphicData>
            </a:graphic>
          </wp:anchor>
        </w:drawing>
        <w:drawing>
          <wp:anchor simplePos="0" relativeHeight="251657728" behindDoc="1" locked="0" layoutInCell="0" allowOverlap="1">
            <wp:simplePos x="0" y="0"/>
            <wp:positionH relativeFrom="column">
              <wp:posOffset>4192905</wp:posOffset>
            </wp:positionH>
            <wp:positionV relativeFrom="paragraph">
              <wp:posOffset>-78740</wp:posOffset>
            </wp:positionV>
            <wp:extent cx="59055" cy="666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9055" cy="66675"/>
                    </a:xfrm>
                    <a:prstGeom prst="rect">
                      <a:avLst/>
                    </a:prstGeom>
                    <a:noFill/>
                  </pic:spPr>
                </pic:pic>
              </a:graphicData>
            </a:graphic>
          </wp:anchor>
        </w:drawing>
        <w:drawing>
          <wp:anchor simplePos="0" relativeHeight="251657728" behindDoc="1" locked="0" layoutInCell="0" allowOverlap="1">
            <wp:simplePos x="0" y="0"/>
            <wp:positionH relativeFrom="column">
              <wp:posOffset>4637405</wp:posOffset>
            </wp:positionH>
            <wp:positionV relativeFrom="paragraph">
              <wp:posOffset>-78740</wp:posOffset>
            </wp:positionV>
            <wp:extent cx="59055" cy="666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9055" cy="66675"/>
                    </a:xfrm>
                    <a:prstGeom prst="rect">
                      <a:avLst/>
                    </a:prstGeom>
                    <a:noFill/>
                  </pic:spPr>
                </pic:pic>
              </a:graphicData>
            </a:graphic>
          </wp:anchor>
        </w:drawing>
      </w:r>
    </w:p>
    <w:p>
      <w:pPr>
        <w:spacing w:after="0" w:line="29" w:lineRule="exact"/>
        <w:rPr>
          <w:sz w:val="20"/>
          <w:szCs w:val="20"/>
          <w:color w:val="auto"/>
        </w:rPr>
      </w:pPr>
    </w:p>
    <w:p>
      <w:pPr>
        <w:ind w:left="40"/>
        <w:spacing w:after="0"/>
        <w:rPr>
          <w:sz w:val="20"/>
          <w:szCs w:val="20"/>
          <w:color w:val="auto"/>
        </w:rPr>
      </w:pPr>
      <w:r>
        <w:rPr>
          <w:rFonts w:ascii="Arial" w:cs="Arial" w:eastAsia="Arial" w:hAnsi="Arial"/>
          <w:sz w:val="14"/>
          <w:szCs w:val="14"/>
          <w:color w:val="auto"/>
        </w:rPr>
        <w:t>Biopharma commercial leadership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50735" cy="7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0735" cy="7620"/>
                    </a:xfrm>
                    <a:prstGeom prst="rect">
                      <a:avLst/>
                    </a:prstGeom>
                    <a:noFill/>
                  </pic:spPr>
                </pic:pic>
              </a:graphicData>
            </a:graphic>
          </wp:anchor>
        </w:drawing>
        <w:drawing>
          <wp:anchor simplePos="0" relativeHeight="251657728" behindDoc="1" locked="0" layoutInCell="0" allowOverlap="1">
            <wp:simplePos x="0" y="0"/>
            <wp:positionH relativeFrom="column">
              <wp:posOffset>3771265</wp:posOffset>
            </wp:positionH>
            <wp:positionV relativeFrom="paragraph">
              <wp:posOffset>-78740</wp:posOffset>
            </wp:positionV>
            <wp:extent cx="59055" cy="666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9055" cy="66675"/>
                    </a:xfrm>
                    <a:prstGeom prst="rect">
                      <a:avLst/>
                    </a:prstGeom>
                    <a:noFill/>
                  </pic:spPr>
                </pic:pic>
              </a:graphicData>
            </a:graphic>
          </wp:anchor>
        </w:drawing>
        <w:drawing>
          <wp:anchor simplePos="0" relativeHeight="251657728" behindDoc="1" locked="0" layoutInCell="0" allowOverlap="1">
            <wp:simplePos x="0" y="0"/>
            <wp:positionH relativeFrom="column">
              <wp:posOffset>4637405</wp:posOffset>
            </wp:positionH>
            <wp:positionV relativeFrom="paragraph">
              <wp:posOffset>-78740</wp:posOffset>
            </wp:positionV>
            <wp:extent cx="59055" cy="666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9055" cy="66675"/>
                    </a:xfrm>
                    <a:prstGeom prst="rect">
                      <a:avLst/>
                    </a:prstGeom>
                    <a:noFill/>
                  </pic:spPr>
                </pic:pic>
              </a:graphicData>
            </a:graphic>
          </wp:anchor>
        </w:drawing>
        <w:drawing>
          <wp:anchor simplePos="0" relativeHeight="251657728" behindDoc="1" locked="0" layoutInCell="0" allowOverlap="1">
            <wp:simplePos x="0" y="0"/>
            <wp:positionH relativeFrom="column">
              <wp:posOffset>5518150</wp:posOffset>
            </wp:positionH>
            <wp:positionV relativeFrom="paragraph">
              <wp:posOffset>-78740</wp:posOffset>
            </wp:positionV>
            <wp:extent cx="59055" cy="666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9055" cy="66675"/>
                    </a:xfrm>
                    <a:prstGeom prst="rect">
                      <a:avLst/>
                    </a:prstGeom>
                    <a:noFill/>
                  </pic:spPr>
                </pic:pic>
              </a:graphicData>
            </a:graphic>
          </wp:anchor>
        </w:drawing>
        <w:drawing>
          <wp:anchor simplePos="0" relativeHeight="251657728" behindDoc="1" locked="0" layoutInCell="0" allowOverlap="1">
            <wp:simplePos x="0" y="0"/>
            <wp:positionH relativeFrom="column">
              <wp:posOffset>5962015</wp:posOffset>
            </wp:positionH>
            <wp:positionV relativeFrom="paragraph">
              <wp:posOffset>-78740</wp:posOffset>
            </wp:positionV>
            <wp:extent cx="59055" cy="666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9055" cy="66675"/>
                    </a:xfrm>
                    <a:prstGeom prst="rect">
                      <a:avLst/>
                    </a:prstGeom>
                    <a:noFill/>
                  </pic:spPr>
                </pic:pic>
              </a:graphicData>
            </a:graphic>
          </wp:anchor>
        </w:drawing>
      </w:r>
    </w:p>
    <w:p>
      <w:pPr>
        <w:spacing w:after="0" w:line="29" w:lineRule="exact"/>
        <w:rPr>
          <w:sz w:val="20"/>
          <w:szCs w:val="20"/>
          <w:color w:val="auto"/>
        </w:rPr>
      </w:pPr>
    </w:p>
    <w:p>
      <w:pPr>
        <w:ind w:left="40"/>
        <w:spacing w:after="0"/>
        <w:rPr>
          <w:sz w:val="20"/>
          <w:szCs w:val="20"/>
          <w:color w:val="auto"/>
        </w:rPr>
      </w:pPr>
      <w:r>
        <w:rPr>
          <w:rFonts w:ascii="Arial" w:cs="Arial" w:eastAsia="Arial" w:hAnsi="Arial"/>
          <w:sz w:val="14"/>
          <w:szCs w:val="14"/>
          <w:color w:val="auto"/>
        </w:rPr>
        <w:t>Global access, pricing and reimbursement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50735" cy="76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0735" cy="7620"/>
                    </a:xfrm>
                    <a:prstGeom prst="rect">
                      <a:avLst/>
                    </a:prstGeom>
                    <a:noFill/>
                  </pic:spPr>
                </pic:pic>
              </a:graphicData>
            </a:graphic>
          </wp:anchor>
        </w:drawing>
        <w:drawing>
          <wp:anchor simplePos="0" relativeHeight="251657728" behindDoc="1" locked="0" layoutInCell="0" allowOverlap="1">
            <wp:simplePos x="0" y="0"/>
            <wp:positionH relativeFrom="column">
              <wp:posOffset>3771265</wp:posOffset>
            </wp:positionH>
            <wp:positionV relativeFrom="paragraph">
              <wp:posOffset>-78740</wp:posOffset>
            </wp:positionV>
            <wp:extent cx="59055" cy="666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9055" cy="66675"/>
                    </a:xfrm>
                    <a:prstGeom prst="rect">
                      <a:avLst/>
                    </a:prstGeom>
                    <a:noFill/>
                  </pic:spPr>
                </pic:pic>
              </a:graphicData>
            </a:graphic>
          </wp:anchor>
        </w:drawing>
        <w:drawing>
          <wp:anchor simplePos="0" relativeHeight="251657728" behindDoc="1" locked="0" layoutInCell="0" allowOverlap="1">
            <wp:simplePos x="0" y="0"/>
            <wp:positionH relativeFrom="column">
              <wp:posOffset>4637405</wp:posOffset>
            </wp:positionH>
            <wp:positionV relativeFrom="paragraph">
              <wp:posOffset>-78740</wp:posOffset>
            </wp:positionV>
            <wp:extent cx="59055" cy="666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9055" cy="66675"/>
                    </a:xfrm>
                    <a:prstGeom prst="rect">
                      <a:avLst/>
                    </a:prstGeom>
                    <a:noFill/>
                  </pic:spPr>
                </pic:pic>
              </a:graphicData>
            </a:graphic>
          </wp:anchor>
        </w:drawing>
        <w:drawing>
          <wp:anchor simplePos="0" relativeHeight="251657728" behindDoc="1" locked="0" layoutInCell="0" allowOverlap="1">
            <wp:simplePos x="0" y="0"/>
            <wp:positionH relativeFrom="column">
              <wp:posOffset>5518150</wp:posOffset>
            </wp:positionH>
            <wp:positionV relativeFrom="paragraph">
              <wp:posOffset>-78740</wp:posOffset>
            </wp:positionV>
            <wp:extent cx="59055" cy="666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9055" cy="66675"/>
                    </a:xfrm>
                    <a:prstGeom prst="rect">
                      <a:avLst/>
                    </a:prstGeom>
                    <a:noFill/>
                  </pic:spPr>
                </pic:pic>
              </a:graphicData>
            </a:graphic>
          </wp:anchor>
        </w:drawing>
        <w:drawing>
          <wp:anchor simplePos="0" relativeHeight="251657728" behindDoc="1" locked="0" layoutInCell="0" allowOverlap="1">
            <wp:simplePos x="0" y="0"/>
            <wp:positionH relativeFrom="column">
              <wp:posOffset>5962015</wp:posOffset>
            </wp:positionH>
            <wp:positionV relativeFrom="paragraph">
              <wp:posOffset>-78740</wp:posOffset>
            </wp:positionV>
            <wp:extent cx="59055" cy="666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9055" cy="66675"/>
                    </a:xfrm>
                    <a:prstGeom prst="rect">
                      <a:avLst/>
                    </a:prstGeom>
                    <a:noFill/>
                  </pic:spPr>
                </pic:pic>
              </a:graphicData>
            </a:graphic>
          </wp:anchor>
        </w:drawing>
      </w:r>
    </w:p>
    <w:p>
      <w:pPr>
        <w:spacing w:after="0" w:line="29" w:lineRule="exact"/>
        <w:rPr>
          <w:sz w:val="20"/>
          <w:szCs w:val="20"/>
          <w:color w:val="auto"/>
        </w:rPr>
      </w:pPr>
    </w:p>
    <w:p>
      <w:pPr>
        <w:ind w:left="40"/>
        <w:spacing w:after="0"/>
        <w:rPr>
          <w:sz w:val="20"/>
          <w:szCs w:val="20"/>
          <w:color w:val="auto"/>
        </w:rPr>
      </w:pPr>
      <w:r>
        <w:rPr>
          <w:rFonts w:ascii="Arial" w:cs="Arial" w:eastAsia="Arial" w:hAnsi="Arial"/>
          <w:sz w:val="14"/>
          <w:szCs w:val="14"/>
          <w:color w:val="auto"/>
        </w:rPr>
        <w:t>Global business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50735" cy="76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0735" cy="7620"/>
                    </a:xfrm>
                    <a:prstGeom prst="rect">
                      <a:avLst/>
                    </a:prstGeom>
                    <a:noFill/>
                  </pic:spPr>
                </pic:pic>
              </a:graphicData>
            </a:graphic>
          </wp:anchor>
        </w:drawing>
        <w:drawing>
          <wp:anchor simplePos="0" relativeHeight="251657728" behindDoc="1" locked="0" layoutInCell="0" allowOverlap="1">
            <wp:simplePos x="0" y="0"/>
            <wp:positionH relativeFrom="column">
              <wp:posOffset>3771265</wp:posOffset>
            </wp:positionH>
            <wp:positionV relativeFrom="paragraph">
              <wp:posOffset>-78740</wp:posOffset>
            </wp:positionV>
            <wp:extent cx="59055" cy="666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9055" cy="66675"/>
                    </a:xfrm>
                    <a:prstGeom prst="rect">
                      <a:avLst/>
                    </a:prstGeom>
                    <a:noFill/>
                  </pic:spPr>
                </pic:pic>
              </a:graphicData>
            </a:graphic>
          </wp:anchor>
        </w:drawing>
        <w:drawing>
          <wp:anchor simplePos="0" relativeHeight="251657728" behindDoc="1" locked="0" layoutInCell="0" allowOverlap="1">
            <wp:simplePos x="0" y="0"/>
            <wp:positionH relativeFrom="column">
              <wp:posOffset>4192905</wp:posOffset>
            </wp:positionH>
            <wp:positionV relativeFrom="paragraph">
              <wp:posOffset>-78740</wp:posOffset>
            </wp:positionV>
            <wp:extent cx="59055" cy="666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9055" cy="66675"/>
                    </a:xfrm>
                    <a:prstGeom prst="rect">
                      <a:avLst/>
                    </a:prstGeom>
                    <a:noFill/>
                  </pic:spPr>
                </pic:pic>
              </a:graphicData>
            </a:graphic>
          </wp:anchor>
        </w:drawing>
        <w:drawing>
          <wp:anchor simplePos="0" relativeHeight="251657728" behindDoc="1" locked="0" layoutInCell="0" allowOverlap="1">
            <wp:simplePos x="0" y="0"/>
            <wp:positionH relativeFrom="column">
              <wp:posOffset>4637405</wp:posOffset>
            </wp:positionH>
            <wp:positionV relativeFrom="paragraph">
              <wp:posOffset>-78740</wp:posOffset>
            </wp:positionV>
            <wp:extent cx="59055" cy="666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9055" cy="66675"/>
                    </a:xfrm>
                    <a:prstGeom prst="rect">
                      <a:avLst/>
                    </a:prstGeom>
                    <a:noFill/>
                  </pic:spPr>
                </pic:pic>
              </a:graphicData>
            </a:graphic>
          </wp:anchor>
        </w:drawing>
        <w:drawing>
          <wp:anchor simplePos="0" relativeHeight="251657728" behindDoc="1" locked="0" layoutInCell="0" allowOverlap="1">
            <wp:simplePos x="0" y="0"/>
            <wp:positionH relativeFrom="column">
              <wp:posOffset>5074285</wp:posOffset>
            </wp:positionH>
            <wp:positionV relativeFrom="paragraph">
              <wp:posOffset>-78740</wp:posOffset>
            </wp:positionV>
            <wp:extent cx="59055" cy="666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9055" cy="66675"/>
                    </a:xfrm>
                    <a:prstGeom prst="rect">
                      <a:avLst/>
                    </a:prstGeom>
                    <a:noFill/>
                  </pic:spPr>
                </pic:pic>
              </a:graphicData>
            </a:graphic>
          </wp:anchor>
        </w:drawing>
        <w:drawing>
          <wp:anchor simplePos="0" relativeHeight="251657728" behindDoc="1" locked="0" layoutInCell="0" allowOverlap="1">
            <wp:simplePos x="0" y="0"/>
            <wp:positionH relativeFrom="column">
              <wp:posOffset>5518150</wp:posOffset>
            </wp:positionH>
            <wp:positionV relativeFrom="paragraph">
              <wp:posOffset>-78740</wp:posOffset>
            </wp:positionV>
            <wp:extent cx="59055" cy="666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9055" cy="66675"/>
                    </a:xfrm>
                    <a:prstGeom prst="rect">
                      <a:avLst/>
                    </a:prstGeom>
                    <a:noFill/>
                  </pic:spPr>
                </pic:pic>
              </a:graphicData>
            </a:graphic>
          </wp:anchor>
        </w:drawing>
        <w:drawing>
          <wp:anchor simplePos="0" relativeHeight="251657728" behindDoc="1" locked="0" layoutInCell="0" allowOverlap="1">
            <wp:simplePos x="0" y="0"/>
            <wp:positionH relativeFrom="column">
              <wp:posOffset>5962015</wp:posOffset>
            </wp:positionH>
            <wp:positionV relativeFrom="paragraph">
              <wp:posOffset>-78740</wp:posOffset>
            </wp:positionV>
            <wp:extent cx="59055" cy="666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9055" cy="66675"/>
                    </a:xfrm>
                    <a:prstGeom prst="rect">
                      <a:avLst/>
                    </a:prstGeom>
                    <a:noFill/>
                  </pic:spPr>
                </pic:pic>
              </a:graphicData>
            </a:graphic>
          </wp:anchor>
        </w:drawing>
        <w:drawing>
          <wp:anchor simplePos="0" relativeHeight="251657728" behindDoc="1" locked="0" layoutInCell="0" allowOverlap="1">
            <wp:simplePos x="0" y="0"/>
            <wp:positionH relativeFrom="column">
              <wp:posOffset>6421120</wp:posOffset>
            </wp:positionH>
            <wp:positionV relativeFrom="paragraph">
              <wp:posOffset>-78740</wp:posOffset>
            </wp:positionV>
            <wp:extent cx="59055" cy="666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9055" cy="6667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-78740</wp:posOffset>
            </wp:positionV>
            <wp:extent cx="59055" cy="666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9055" cy="66675"/>
                    </a:xfrm>
                    <a:prstGeom prst="rect">
                      <a:avLst/>
                    </a:prstGeom>
                    <a:noFill/>
                  </pic:spPr>
                </pic:pic>
              </a:graphicData>
            </a:graphic>
          </wp:anchor>
        </w:drawing>
      </w:r>
    </w:p>
    <w:p>
      <w:pPr>
        <w:spacing w:after="0" w:line="29" w:lineRule="exact"/>
        <w:rPr>
          <w:sz w:val="20"/>
          <w:szCs w:val="20"/>
          <w:color w:val="auto"/>
        </w:rPr>
      </w:pPr>
    </w:p>
    <w:p>
      <w:pPr>
        <w:ind w:left="40"/>
        <w:spacing w:after="0"/>
        <w:rPr>
          <w:sz w:val="20"/>
          <w:szCs w:val="20"/>
          <w:color w:val="auto"/>
        </w:rPr>
      </w:pPr>
      <w:r>
        <w:rPr>
          <w:rFonts w:ascii="Arial" w:cs="Arial" w:eastAsia="Arial" w:hAnsi="Arial"/>
          <w:sz w:val="14"/>
          <w:szCs w:val="14"/>
          <w:color w:val="auto"/>
        </w:rPr>
        <w:t>Finance and capital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50735" cy="76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0735" cy="7620"/>
                    </a:xfrm>
                    <a:prstGeom prst="rect">
                      <a:avLst/>
                    </a:prstGeom>
                    <a:noFill/>
                  </pic:spPr>
                </pic:pic>
              </a:graphicData>
            </a:graphic>
          </wp:anchor>
        </w:drawing>
        <w:drawing>
          <wp:anchor simplePos="0" relativeHeight="251657728" behindDoc="1" locked="0" layoutInCell="0" allowOverlap="1">
            <wp:simplePos x="0" y="0"/>
            <wp:positionH relativeFrom="column">
              <wp:posOffset>3771265</wp:posOffset>
            </wp:positionH>
            <wp:positionV relativeFrom="paragraph">
              <wp:posOffset>-78740</wp:posOffset>
            </wp:positionV>
            <wp:extent cx="59055" cy="666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9055" cy="66675"/>
                    </a:xfrm>
                    <a:prstGeom prst="rect">
                      <a:avLst/>
                    </a:prstGeom>
                    <a:noFill/>
                  </pic:spPr>
                </pic:pic>
              </a:graphicData>
            </a:graphic>
          </wp:anchor>
        </w:drawing>
        <w:drawing>
          <wp:anchor simplePos="0" relativeHeight="251657728" behindDoc="1" locked="0" layoutInCell="0" allowOverlap="1">
            <wp:simplePos x="0" y="0"/>
            <wp:positionH relativeFrom="column">
              <wp:posOffset>4637405</wp:posOffset>
            </wp:positionH>
            <wp:positionV relativeFrom="paragraph">
              <wp:posOffset>-78740</wp:posOffset>
            </wp:positionV>
            <wp:extent cx="59055" cy="666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9055" cy="66675"/>
                    </a:xfrm>
                    <a:prstGeom prst="rect">
                      <a:avLst/>
                    </a:prstGeom>
                    <a:noFill/>
                  </pic:spPr>
                </pic:pic>
              </a:graphicData>
            </a:graphic>
          </wp:anchor>
        </w:drawing>
        <w:drawing>
          <wp:anchor simplePos="0" relativeHeight="251657728" behindDoc="1" locked="0" layoutInCell="0" allowOverlap="1">
            <wp:simplePos x="0" y="0"/>
            <wp:positionH relativeFrom="column">
              <wp:posOffset>5074285</wp:posOffset>
            </wp:positionH>
            <wp:positionV relativeFrom="paragraph">
              <wp:posOffset>-78740</wp:posOffset>
            </wp:positionV>
            <wp:extent cx="59055" cy="666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9055" cy="66675"/>
                    </a:xfrm>
                    <a:prstGeom prst="rect">
                      <a:avLst/>
                    </a:prstGeom>
                    <a:noFill/>
                  </pic:spPr>
                </pic:pic>
              </a:graphicData>
            </a:graphic>
          </wp:anchor>
        </w:drawing>
        <w:drawing>
          <wp:anchor simplePos="0" relativeHeight="251657728" behindDoc="1" locked="0" layoutInCell="0" allowOverlap="1">
            <wp:simplePos x="0" y="0"/>
            <wp:positionH relativeFrom="column">
              <wp:posOffset>5518150</wp:posOffset>
            </wp:positionH>
            <wp:positionV relativeFrom="paragraph">
              <wp:posOffset>-78740</wp:posOffset>
            </wp:positionV>
            <wp:extent cx="59055" cy="666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9055" cy="6667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-78740</wp:posOffset>
            </wp:positionV>
            <wp:extent cx="59055" cy="666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9055" cy="66675"/>
                    </a:xfrm>
                    <a:prstGeom prst="rect">
                      <a:avLst/>
                    </a:prstGeom>
                    <a:noFill/>
                  </pic:spPr>
                </pic:pic>
              </a:graphicData>
            </a:graphic>
          </wp:anchor>
        </w:drawing>
      </w:r>
    </w:p>
    <w:p>
      <w:pPr>
        <w:spacing w:after="0" w:line="2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Corporate strategy and/or business development leadership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50735" cy="76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0735" cy="7620"/>
                    </a:xfrm>
                    <a:prstGeom prst="rect">
                      <a:avLst/>
                    </a:prstGeom>
                    <a:noFill/>
                  </pic:spPr>
                </pic:pic>
              </a:graphicData>
            </a:graphic>
          </wp:anchor>
        </w:drawing>
        <w:drawing>
          <wp:anchor simplePos="0" relativeHeight="251657728" behindDoc="1" locked="0" layoutInCell="0" allowOverlap="1">
            <wp:simplePos x="0" y="0"/>
            <wp:positionH relativeFrom="column">
              <wp:posOffset>3771265</wp:posOffset>
            </wp:positionH>
            <wp:positionV relativeFrom="paragraph">
              <wp:posOffset>-78740</wp:posOffset>
            </wp:positionV>
            <wp:extent cx="59055" cy="666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9055" cy="66675"/>
                    </a:xfrm>
                    <a:prstGeom prst="rect">
                      <a:avLst/>
                    </a:prstGeom>
                    <a:noFill/>
                  </pic:spPr>
                </pic:pic>
              </a:graphicData>
            </a:graphic>
          </wp:anchor>
        </w:drawing>
        <w:drawing>
          <wp:anchor simplePos="0" relativeHeight="251657728" behindDoc="1" locked="0" layoutInCell="0" allowOverlap="1">
            <wp:simplePos x="0" y="0"/>
            <wp:positionH relativeFrom="column">
              <wp:posOffset>4192905</wp:posOffset>
            </wp:positionH>
            <wp:positionV relativeFrom="paragraph">
              <wp:posOffset>-78740</wp:posOffset>
            </wp:positionV>
            <wp:extent cx="59055" cy="666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9055" cy="66675"/>
                    </a:xfrm>
                    <a:prstGeom prst="rect">
                      <a:avLst/>
                    </a:prstGeom>
                    <a:noFill/>
                  </pic:spPr>
                </pic:pic>
              </a:graphicData>
            </a:graphic>
          </wp:anchor>
        </w:drawing>
        <w:drawing>
          <wp:anchor simplePos="0" relativeHeight="251657728" behindDoc="1" locked="0" layoutInCell="0" allowOverlap="1">
            <wp:simplePos x="0" y="0"/>
            <wp:positionH relativeFrom="column">
              <wp:posOffset>4637405</wp:posOffset>
            </wp:positionH>
            <wp:positionV relativeFrom="paragraph">
              <wp:posOffset>-78740</wp:posOffset>
            </wp:positionV>
            <wp:extent cx="59055" cy="666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9055" cy="66675"/>
                    </a:xfrm>
                    <a:prstGeom prst="rect">
                      <a:avLst/>
                    </a:prstGeom>
                    <a:noFill/>
                  </pic:spPr>
                </pic:pic>
              </a:graphicData>
            </a:graphic>
          </wp:anchor>
        </w:drawing>
        <w:drawing>
          <wp:anchor simplePos="0" relativeHeight="251657728" behindDoc="1" locked="0" layoutInCell="0" allowOverlap="1">
            <wp:simplePos x="0" y="0"/>
            <wp:positionH relativeFrom="column">
              <wp:posOffset>5518150</wp:posOffset>
            </wp:positionH>
            <wp:positionV relativeFrom="paragraph">
              <wp:posOffset>-78740</wp:posOffset>
            </wp:positionV>
            <wp:extent cx="59055" cy="666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9055" cy="66675"/>
                    </a:xfrm>
                    <a:prstGeom prst="rect">
                      <a:avLst/>
                    </a:prstGeom>
                    <a:noFill/>
                  </pic:spPr>
                </pic:pic>
              </a:graphicData>
            </a:graphic>
          </wp:anchor>
        </w:drawing>
        <w:drawing>
          <wp:anchor simplePos="0" relativeHeight="251657728" behindDoc="1" locked="0" layoutInCell="0" allowOverlap="1">
            <wp:simplePos x="0" y="0"/>
            <wp:positionH relativeFrom="column">
              <wp:posOffset>5962015</wp:posOffset>
            </wp:positionH>
            <wp:positionV relativeFrom="paragraph">
              <wp:posOffset>-78740</wp:posOffset>
            </wp:positionV>
            <wp:extent cx="59055" cy="666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9055" cy="6667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-78740</wp:posOffset>
            </wp:positionV>
            <wp:extent cx="59055" cy="6667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9055" cy="66675"/>
                    </a:xfrm>
                    <a:prstGeom prst="rect">
                      <a:avLst/>
                    </a:prstGeom>
                    <a:noFill/>
                  </pic:spPr>
                </pic:pic>
              </a:graphicData>
            </a:graphic>
          </wp:anchor>
        </w:drawing>
      </w:r>
    </w:p>
    <w:p>
      <w:pPr>
        <w:spacing w:after="0" w:line="2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Corporate governance and board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135255</wp:posOffset>
            </wp:positionV>
            <wp:extent cx="7150735" cy="76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073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16510</wp:posOffset>
            </wp:positionV>
            <wp:extent cx="7150735" cy="76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0735" cy="7620"/>
                    </a:xfrm>
                    <a:prstGeom prst="rect">
                      <a:avLst/>
                    </a:prstGeom>
                    <a:noFill/>
                  </pic:spPr>
                </pic:pic>
              </a:graphicData>
            </a:graphic>
          </wp:anchor>
        </w:drawing>
        <w:drawing>
          <wp:anchor simplePos="0" relativeHeight="251657728" behindDoc="1" locked="0" layoutInCell="0" allowOverlap="1">
            <wp:simplePos x="0" y="0"/>
            <wp:positionH relativeFrom="column">
              <wp:posOffset>3771265</wp:posOffset>
            </wp:positionH>
            <wp:positionV relativeFrom="paragraph">
              <wp:posOffset>-78740</wp:posOffset>
            </wp:positionV>
            <wp:extent cx="59055" cy="666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9055" cy="66675"/>
                    </a:xfrm>
                    <a:prstGeom prst="rect">
                      <a:avLst/>
                    </a:prstGeom>
                    <a:noFill/>
                  </pic:spPr>
                </pic:pic>
              </a:graphicData>
            </a:graphic>
          </wp:anchor>
        </w:drawing>
        <w:drawing>
          <wp:anchor simplePos="0" relativeHeight="251657728" behindDoc="1" locked="0" layoutInCell="0" allowOverlap="1">
            <wp:simplePos x="0" y="0"/>
            <wp:positionH relativeFrom="column">
              <wp:posOffset>4192905</wp:posOffset>
            </wp:positionH>
            <wp:positionV relativeFrom="paragraph">
              <wp:posOffset>-78740</wp:posOffset>
            </wp:positionV>
            <wp:extent cx="59055" cy="6667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9055" cy="66675"/>
                    </a:xfrm>
                    <a:prstGeom prst="rect">
                      <a:avLst/>
                    </a:prstGeom>
                    <a:noFill/>
                  </pic:spPr>
                </pic:pic>
              </a:graphicData>
            </a:graphic>
          </wp:anchor>
        </w:drawing>
        <w:drawing>
          <wp:anchor simplePos="0" relativeHeight="251657728" behindDoc="1" locked="0" layoutInCell="0" allowOverlap="1">
            <wp:simplePos x="0" y="0"/>
            <wp:positionH relativeFrom="column">
              <wp:posOffset>4637405</wp:posOffset>
            </wp:positionH>
            <wp:positionV relativeFrom="paragraph">
              <wp:posOffset>-78740</wp:posOffset>
            </wp:positionV>
            <wp:extent cx="59055" cy="6667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9055" cy="66675"/>
                    </a:xfrm>
                    <a:prstGeom prst="rect">
                      <a:avLst/>
                    </a:prstGeom>
                    <a:noFill/>
                  </pic:spPr>
                </pic:pic>
              </a:graphicData>
            </a:graphic>
          </wp:anchor>
        </w:drawing>
        <w:drawing>
          <wp:anchor simplePos="0" relativeHeight="251657728" behindDoc="1" locked="0" layoutInCell="0" allowOverlap="1">
            <wp:simplePos x="0" y="0"/>
            <wp:positionH relativeFrom="column">
              <wp:posOffset>5074285</wp:posOffset>
            </wp:positionH>
            <wp:positionV relativeFrom="paragraph">
              <wp:posOffset>-78740</wp:posOffset>
            </wp:positionV>
            <wp:extent cx="59055" cy="6667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9055" cy="66675"/>
                    </a:xfrm>
                    <a:prstGeom prst="rect">
                      <a:avLst/>
                    </a:prstGeom>
                    <a:noFill/>
                  </pic:spPr>
                </pic:pic>
              </a:graphicData>
            </a:graphic>
          </wp:anchor>
        </w:drawing>
        <w:drawing>
          <wp:anchor simplePos="0" relativeHeight="251657728" behindDoc="1" locked="0" layoutInCell="0" allowOverlap="1">
            <wp:simplePos x="0" y="0"/>
            <wp:positionH relativeFrom="column">
              <wp:posOffset>5518150</wp:posOffset>
            </wp:positionH>
            <wp:positionV relativeFrom="paragraph">
              <wp:posOffset>-78740</wp:posOffset>
            </wp:positionV>
            <wp:extent cx="59055" cy="6667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9055" cy="66675"/>
                    </a:xfrm>
                    <a:prstGeom prst="rect">
                      <a:avLst/>
                    </a:prstGeom>
                    <a:noFill/>
                  </pic:spPr>
                </pic:pic>
              </a:graphicData>
            </a:graphic>
          </wp:anchor>
        </w:drawing>
        <w:drawing>
          <wp:anchor simplePos="0" relativeHeight="251657728" behindDoc="1" locked="0" layoutInCell="0" allowOverlap="1">
            <wp:simplePos x="0" y="0"/>
            <wp:positionH relativeFrom="column">
              <wp:posOffset>5962015</wp:posOffset>
            </wp:positionH>
            <wp:positionV relativeFrom="paragraph">
              <wp:posOffset>-78740</wp:posOffset>
            </wp:positionV>
            <wp:extent cx="59055" cy="6667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9055" cy="66675"/>
                    </a:xfrm>
                    <a:prstGeom prst="rect">
                      <a:avLst/>
                    </a:prstGeom>
                    <a:noFill/>
                  </pic:spPr>
                </pic:pic>
              </a:graphicData>
            </a:graphic>
          </wp:anchor>
        </w:drawing>
        <w:drawing>
          <wp:anchor simplePos="0" relativeHeight="251657728" behindDoc="1" locked="0" layoutInCell="0" allowOverlap="1">
            <wp:simplePos x="0" y="0"/>
            <wp:positionH relativeFrom="column">
              <wp:posOffset>6421120</wp:posOffset>
            </wp:positionH>
            <wp:positionV relativeFrom="paragraph">
              <wp:posOffset>-78740</wp:posOffset>
            </wp:positionV>
            <wp:extent cx="59055" cy="6667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9055" cy="6667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-78740</wp:posOffset>
            </wp:positionV>
            <wp:extent cx="59055" cy="6667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9055" cy="66675"/>
                    </a:xfrm>
                    <a:prstGeom prst="rect">
                      <a:avLst/>
                    </a:prstGeom>
                    <a:noFill/>
                  </pic:spPr>
                </pic:pic>
              </a:graphicData>
            </a:graphic>
          </wp:anchor>
        </w:drawing>
      </w:r>
    </w:p>
    <w:p>
      <w:pPr>
        <w:spacing w:after="0" w:line="217"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color w:val="auto"/>
        </w:rPr>
        <w:t>Relevant / Advisory Capabilities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7150735" cy="76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pacing w:after="0" w:line="27"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Compliance (GXP, commercial)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50735" cy="76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0735" cy="7620"/>
                    </a:xfrm>
                    <a:prstGeom prst="rect">
                      <a:avLst/>
                    </a:prstGeom>
                    <a:noFill/>
                  </pic:spPr>
                </pic:pic>
              </a:graphicData>
            </a:graphic>
          </wp:anchor>
        </w:drawing>
        <w:drawing>
          <wp:anchor simplePos="0" relativeHeight="251657728" behindDoc="1" locked="0" layoutInCell="0" allowOverlap="1">
            <wp:simplePos x="0" y="0"/>
            <wp:positionH relativeFrom="column">
              <wp:posOffset>3771265</wp:posOffset>
            </wp:positionH>
            <wp:positionV relativeFrom="paragraph">
              <wp:posOffset>-78740</wp:posOffset>
            </wp:positionV>
            <wp:extent cx="59055" cy="6667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9055" cy="66675"/>
                    </a:xfrm>
                    <a:prstGeom prst="rect">
                      <a:avLst/>
                    </a:prstGeom>
                    <a:noFill/>
                  </pic:spPr>
                </pic:pic>
              </a:graphicData>
            </a:graphic>
          </wp:anchor>
        </w:drawing>
        <w:drawing>
          <wp:anchor simplePos="0" relativeHeight="251657728" behindDoc="1" locked="0" layoutInCell="0" allowOverlap="1">
            <wp:simplePos x="0" y="0"/>
            <wp:positionH relativeFrom="column">
              <wp:posOffset>4192905</wp:posOffset>
            </wp:positionH>
            <wp:positionV relativeFrom="paragraph">
              <wp:posOffset>-78740</wp:posOffset>
            </wp:positionV>
            <wp:extent cx="59055" cy="6667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9055" cy="66675"/>
                    </a:xfrm>
                    <a:prstGeom prst="rect">
                      <a:avLst/>
                    </a:prstGeom>
                    <a:noFill/>
                  </pic:spPr>
                </pic:pic>
              </a:graphicData>
            </a:graphic>
          </wp:anchor>
        </w:drawing>
        <w:drawing>
          <wp:anchor simplePos="0" relativeHeight="251657728" behindDoc="1" locked="0" layoutInCell="0" allowOverlap="1">
            <wp:simplePos x="0" y="0"/>
            <wp:positionH relativeFrom="column">
              <wp:posOffset>4637405</wp:posOffset>
            </wp:positionH>
            <wp:positionV relativeFrom="paragraph">
              <wp:posOffset>-78740</wp:posOffset>
            </wp:positionV>
            <wp:extent cx="59055" cy="6667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9055" cy="66675"/>
                    </a:xfrm>
                    <a:prstGeom prst="rect">
                      <a:avLst/>
                    </a:prstGeom>
                    <a:noFill/>
                  </pic:spPr>
                </pic:pic>
              </a:graphicData>
            </a:graphic>
          </wp:anchor>
        </w:drawing>
        <w:drawing>
          <wp:anchor simplePos="0" relativeHeight="251657728" behindDoc="1" locked="0" layoutInCell="0" allowOverlap="1">
            <wp:simplePos x="0" y="0"/>
            <wp:positionH relativeFrom="column">
              <wp:posOffset>5074285</wp:posOffset>
            </wp:positionH>
            <wp:positionV relativeFrom="paragraph">
              <wp:posOffset>-78740</wp:posOffset>
            </wp:positionV>
            <wp:extent cx="59055" cy="6667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9055" cy="66675"/>
                    </a:xfrm>
                    <a:prstGeom prst="rect">
                      <a:avLst/>
                    </a:prstGeom>
                    <a:noFill/>
                  </pic:spPr>
                </pic:pic>
              </a:graphicData>
            </a:graphic>
          </wp:anchor>
        </w:drawing>
        <w:drawing>
          <wp:anchor simplePos="0" relativeHeight="251657728" behindDoc="1" locked="0" layoutInCell="0" allowOverlap="1">
            <wp:simplePos x="0" y="0"/>
            <wp:positionH relativeFrom="column">
              <wp:posOffset>5518150</wp:posOffset>
            </wp:positionH>
            <wp:positionV relativeFrom="paragraph">
              <wp:posOffset>-78740</wp:posOffset>
            </wp:positionV>
            <wp:extent cx="59055" cy="6667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9055" cy="66675"/>
                    </a:xfrm>
                    <a:prstGeom prst="rect">
                      <a:avLst/>
                    </a:prstGeom>
                    <a:noFill/>
                  </pic:spPr>
                </pic:pic>
              </a:graphicData>
            </a:graphic>
          </wp:anchor>
        </w:drawing>
        <w:drawing>
          <wp:anchor simplePos="0" relativeHeight="251657728" behindDoc="1" locked="0" layoutInCell="0" allowOverlap="1">
            <wp:simplePos x="0" y="0"/>
            <wp:positionH relativeFrom="column">
              <wp:posOffset>5962015</wp:posOffset>
            </wp:positionH>
            <wp:positionV relativeFrom="paragraph">
              <wp:posOffset>-78740</wp:posOffset>
            </wp:positionV>
            <wp:extent cx="59055" cy="6667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9055" cy="66675"/>
                    </a:xfrm>
                    <a:prstGeom prst="rect">
                      <a:avLst/>
                    </a:prstGeom>
                    <a:noFill/>
                  </pic:spPr>
                </pic:pic>
              </a:graphicData>
            </a:graphic>
          </wp:anchor>
        </w:drawing>
        <w:drawing>
          <wp:anchor simplePos="0" relativeHeight="251657728" behindDoc="1" locked="0" layoutInCell="0" allowOverlap="1">
            <wp:simplePos x="0" y="0"/>
            <wp:positionH relativeFrom="column">
              <wp:posOffset>6421120</wp:posOffset>
            </wp:positionH>
            <wp:positionV relativeFrom="paragraph">
              <wp:posOffset>-78740</wp:posOffset>
            </wp:positionV>
            <wp:extent cx="59055" cy="6667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9055" cy="66675"/>
                    </a:xfrm>
                    <a:prstGeom prst="rect">
                      <a:avLst/>
                    </a:prstGeom>
                    <a:noFill/>
                  </pic:spPr>
                </pic:pic>
              </a:graphicData>
            </a:graphic>
          </wp:anchor>
        </w:drawing>
      </w:r>
    </w:p>
    <w:p>
      <w:pPr>
        <w:spacing w:after="0" w:line="2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Corporate legal and 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50735" cy="76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0735" cy="7620"/>
                    </a:xfrm>
                    <a:prstGeom prst="rect">
                      <a:avLst/>
                    </a:prstGeom>
                    <a:noFill/>
                  </pic:spPr>
                </pic:pic>
              </a:graphicData>
            </a:graphic>
          </wp:anchor>
        </w:drawing>
        <w:drawing>
          <wp:anchor simplePos="0" relativeHeight="251657728" behindDoc="1" locked="0" layoutInCell="0" allowOverlap="1">
            <wp:simplePos x="0" y="0"/>
            <wp:positionH relativeFrom="column">
              <wp:posOffset>3771265</wp:posOffset>
            </wp:positionH>
            <wp:positionV relativeFrom="paragraph">
              <wp:posOffset>-78740</wp:posOffset>
            </wp:positionV>
            <wp:extent cx="59055" cy="6667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9055" cy="66675"/>
                    </a:xfrm>
                    <a:prstGeom prst="rect">
                      <a:avLst/>
                    </a:prstGeom>
                    <a:noFill/>
                  </pic:spPr>
                </pic:pic>
              </a:graphicData>
            </a:graphic>
          </wp:anchor>
        </w:drawing>
        <w:drawing>
          <wp:anchor simplePos="0" relativeHeight="251657728" behindDoc="1" locked="0" layoutInCell="0" allowOverlap="1">
            <wp:simplePos x="0" y="0"/>
            <wp:positionH relativeFrom="column">
              <wp:posOffset>4637405</wp:posOffset>
            </wp:positionH>
            <wp:positionV relativeFrom="paragraph">
              <wp:posOffset>-78740</wp:posOffset>
            </wp:positionV>
            <wp:extent cx="59055" cy="6667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9055" cy="66675"/>
                    </a:xfrm>
                    <a:prstGeom prst="rect">
                      <a:avLst/>
                    </a:prstGeom>
                    <a:noFill/>
                  </pic:spPr>
                </pic:pic>
              </a:graphicData>
            </a:graphic>
          </wp:anchor>
        </w:drawing>
        <w:drawing>
          <wp:anchor simplePos="0" relativeHeight="251657728" behindDoc="1" locked="0" layoutInCell="0" allowOverlap="1">
            <wp:simplePos x="0" y="0"/>
            <wp:positionH relativeFrom="column">
              <wp:posOffset>5518150</wp:posOffset>
            </wp:positionH>
            <wp:positionV relativeFrom="paragraph">
              <wp:posOffset>-78740</wp:posOffset>
            </wp:positionV>
            <wp:extent cx="59055" cy="6667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9055" cy="6667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-78740</wp:posOffset>
            </wp:positionV>
            <wp:extent cx="59055" cy="6667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9055" cy="66675"/>
                    </a:xfrm>
                    <a:prstGeom prst="rect">
                      <a:avLst/>
                    </a:prstGeom>
                    <a:noFill/>
                  </pic:spPr>
                </pic:pic>
              </a:graphicData>
            </a:graphic>
          </wp:anchor>
        </w:drawing>
      </w:r>
    </w:p>
    <w:p>
      <w:pPr>
        <w:spacing w:after="0" w:line="29" w:lineRule="exact"/>
        <w:rPr>
          <w:sz w:val="20"/>
          <w:szCs w:val="20"/>
          <w:color w:val="auto"/>
        </w:rPr>
      </w:pPr>
    </w:p>
    <w:p>
      <w:pPr>
        <w:ind w:left="40"/>
        <w:spacing w:after="0"/>
        <w:rPr>
          <w:sz w:val="20"/>
          <w:szCs w:val="20"/>
          <w:color w:val="auto"/>
        </w:rPr>
      </w:pPr>
      <w:r>
        <w:rPr>
          <w:rFonts w:ascii="Arial" w:cs="Arial" w:eastAsia="Arial" w:hAnsi="Arial"/>
          <w:sz w:val="14"/>
          <w:szCs w:val="14"/>
          <w:color w:val="auto"/>
        </w:rPr>
        <w:t>Government affairs and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50735" cy="76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0735" cy="7620"/>
                    </a:xfrm>
                    <a:prstGeom prst="rect">
                      <a:avLst/>
                    </a:prstGeom>
                    <a:noFill/>
                  </pic:spPr>
                </pic:pic>
              </a:graphicData>
            </a:graphic>
          </wp:anchor>
        </w:drawing>
        <w:drawing>
          <wp:anchor simplePos="0" relativeHeight="251657728" behindDoc="1" locked="0" layoutInCell="0" allowOverlap="1">
            <wp:simplePos x="0" y="0"/>
            <wp:positionH relativeFrom="column">
              <wp:posOffset>3771265</wp:posOffset>
            </wp:positionH>
            <wp:positionV relativeFrom="paragraph">
              <wp:posOffset>-78740</wp:posOffset>
            </wp:positionV>
            <wp:extent cx="59055" cy="6667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9055" cy="66675"/>
                    </a:xfrm>
                    <a:prstGeom prst="rect">
                      <a:avLst/>
                    </a:prstGeom>
                    <a:noFill/>
                  </pic:spPr>
                </pic:pic>
              </a:graphicData>
            </a:graphic>
          </wp:anchor>
        </w:drawing>
        <w:drawing>
          <wp:anchor simplePos="0" relativeHeight="251657728" behindDoc="1" locked="0" layoutInCell="0" allowOverlap="1">
            <wp:simplePos x="0" y="0"/>
            <wp:positionH relativeFrom="column">
              <wp:posOffset>4192905</wp:posOffset>
            </wp:positionH>
            <wp:positionV relativeFrom="paragraph">
              <wp:posOffset>-78740</wp:posOffset>
            </wp:positionV>
            <wp:extent cx="59055" cy="6667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9055" cy="66675"/>
                    </a:xfrm>
                    <a:prstGeom prst="rect">
                      <a:avLst/>
                    </a:prstGeom>
                    <a:noFill/>
                  </pic:spPr>
                </pic:pic>
              </a:graphicData>
            </a:graphic>
          </wp:anchor>
        </w:drawing>
        <w:drawing>
          <wp:anchor simplePos="0" relativeHeight="251657728" behindDoc="1" locked="0" layoutInCell="0" allowOverlap="1">
            <wp:simplePos x="0" y="0"/>
            <wp:positionH relativeFrom="column">
              <wp:posOffset>4637405</wp:posOffset>
            </wp:positionH>
            <wp:positionV relativeFrom="paragraph">
              <wp:posOffset>-78740</wp:posOffset>
            </wp:positionV>
            <wp:extent cx="59055" cy="6667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9055" cy="66675"/>
                    </a:xfrm>
                    <a:prstGeom prst="rect">
                      <a:avLst/>
                    </a:prstGeom>
                    <a:noFill/>
                  </pic:spPr>
                </pic:pic>
              </a:graphicData>
            </a:graphic>
          </wp:anchor>
        </w:drawing>
        <w:drawing>
          <wp:anchor simplePos="0" relativeHeight="251657728" behindDoc="1" locked="0" layoutInCell="0" allowOverlap="1">
            <wp:simplePos x="0" y="0"/>
            <wp:positionH relativeFrom="column">
              <wp:posOffset>5518150</wp:posOffset>
            </wp:positionH>
            <wp:positionV relativeFrom="paragraph">
              <wp:posOffset>-78740</wp:posOffset>
            </wp:positionV>
            <wp:extent cx="59055" cy="6667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9055" cy="66675"/>
                    </a:xfrm>
                    <a:prstGeom prst="rect">
                      <a:avLst/>
                    </a:prstGeom>
                    <a:noFill/>
                  </pic:spPr>
                </pic:pic>
              </a:graphicData>
            </a:graphic>
          </wp:anchor>
        </w:drawing>
        <w:drawing>
          <wp:anchor simplePos="0" relativeHeight="251657728" behindDoc="1" locked="0" layoutInCell="0" allowOverlap="1">
            <wp:simplePos x="0" y="0"/>
            <wp:positionH relativeFrom="column">
              <wp:posOffset>5962015</wp:posOffset>
            </wp:positionH>
            <wp:positionV relativeFrom="paragraph">
              <wp:posOffset>-78740</wp:posOffset>
            </wp:positionV>
            <wp:extent cx="59055" cy="6667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9055" cy="66675"/>
                    </a:xfrm>
                    <a:prstGeom prst="rect">
                      <a:avLst/>
                    </a:prstGeom>
                    <a:noFill/>
                  </pic:spPr>
                </pic:pic>
              </a:graphicData>
            </a:graphic>
          </wp:anchor>
        </w:drawing>
      </w:r>
    </w:p>
    <w:p>
      <w:pPr>
        <w:spacing w:after="0" w:line="29" w:lineRule="exact"/>
        <w:rPr>
          <w:sz w:val="20"/>
          <w:szCs w:val="20"/>
          <w:color w:val="auto"/>
        </w:rPr>
      </w:pPr>
    </w:p>
    <w:p>
      <w:pPr>
        <w:ind w:left="40"/>
        <w:spacing w:after="0"/>
        <w:rPr>
          <w:sz w:val="20"/>
          <w:szCs w:val="20"/>
          <w:color w:val="auto"/>
        </w:rPr>
      </w:pPr>
      <w:r>
        <w:rPr>
          <w:rFonts w:ascii="Arial" w:cs="Arial" w:eastAsia="Arial" w:hAnsi="Arial"/>
          <w:sz w:val="14"/>
          <w:szCs w:val="14"/>
          <w:color w:val="auto"/>
        </w:rPr>
        <w:t>Human resources and organizational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50735" cy="76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0735" cy="7620"/>
                    </a:xfrm>
                    <a:prstGeom prst="rect">
                      <a:avLst/>
                    </a:prstGeom>
                    <a:noFill/>
                  </pic:spPr>
                </pic:pic>
              </a:graphicData>
            </a:graphic>
          </wp:anchor>
        </w:drawing>
        <w:drawing>
          <wp:anchor simplePos="0" relativeHeight="251657728" behindDoc="1" locked="0" layoutInCell="0" allowOverlap="1">
            <wp:simplePos x="0" y="0"/>
            <wp:positionH relativeFrom="column">
              <wp:posOffset>3771265</wp:posOffset>
            </wp:positionH>
            <wp:positionV relativeFrom="paragraph">
              <wp:posOffset>-78740</wp:posOffset>
            </wp:positionV>
            <wp:extent cx="59055" cy="6667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9055" cy="66675"/>
                    </a:xfrm>
                    <a:prstGeom prst="rect">
                      <a:avLst/>
                    </a:prstGeom>
                    <a:noFill/>
                  </pic:spPr>
                </pic:pic>
              </a:graphicData>
            </a:graphic>
          </wp:anchor>
        </w:drawing>
        <w:drawing>
          <wp:anchor simplePos="0" relativeHeight="251657728" behindDoc="1" locked="0" layoutInCell="0" allowOverlap="1">
            <wp:simplePos x="0" y="0"/>
            <wp:positionH relativeFrom="column">
              <wp:posOffset>4192905</wp:posOffset>
            </wp:positionH>
            <wp:positionV relativeFrom="paragraph">
              <wp:posOffset>-78740</wp:posOffset>
            </wp:positionV>
            <wp:extent cx="59055" cy="6667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9055" cy="66675"/>
                    </a:xfrm>
                    <a:prstGeom prst="rect">
                      <a:avLst/>
                    </a:prstGeom>
                    <a:noFill/>
                  </pic:spPr>
                </pic:pic>
              </a:graphicData>
            </a:graphic>
          </wp:anchor>
        </w:drawing>
        <w:drawing>
          <wp:anchor simplePos="0" relativeHeight="251657728" behindDoc="1" locked="0" layoutInCell="0" allowOverlap="1">
            <wp:simplePos x="0" y="0"/>
            <wp:positionH relativeFrom="column">
              <wp:posOffset>4637405</wp:posOffset>
            </wp:positionH>
            <wp:positionV relativeFrom="paragraph">
              <wp:posOffset>-78740</wp:posOffset>
            </wp:positionV>
            <wp:extent cx="59055" cy="6667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9055" cy="66675"/>
                    </a:xfrm>
                    <a:prstGeom prst="rect">
                      <a:avLst/>
                    </a:prstGeom>
                    <a:noFill/>
                  </pic:spPr>
                </pic:pic>
              </a:graphicData>
            </a:graphic>
          </wp:anchor>
        </w:drawing>
        <w:drawing>
          <wp:anchor simplePos="0" relativeHeight="251657728" behindDoc="1" locked="0" layoutInCell="0" allowOverlap="1">
            <wp:simplePos x="0" y="0"/>
            <wp:positionH relativeFrom="column">
              <wp:posOffset>5074285</wp:posOffset>
            </wp:positionH>
            <wp:positionV relativeFrom="paragraph">
              <wp:posOffset>-78740</wp:posOffset>
            </wp:positionV>
            <wp:extent cx="59055" cy="6667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9055" cy="66675"/>
                    </a:xfrm>
                    <a:prstGeom prst="rect">
                      <a:avLst/>
                    </a:prstGeom>
                    <a:noFill/>
                  </pic:spPr>
                </pic:pic>
              </a:graphicData>
            </a:graphic>
          </wp:anchor>
        </w:drawing>
        <w:drawing>
          <wp:anchor simplePos="0" relativeHeight="251657728" behindDoc="1" locked="0" layoutInCell="0" allowOverlap="1">
            <wp:simplePos x="0" y="0"/>
            <wp:positionH relativeFrom="column">
              <wp:posOffset>5518150</wp:posOffset>
            </wp:positionH>
            <wp:positionV relativeFrom="paragraph">
              <wp:posOffset>-78740</wp:posOffset>
            </wp:positionV>
            <wp:extent cx="59055" cy="6667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9055" cy="66675"/>
                    </a:xfrm>
                    <a:prstGeom prst="rect">
                      <a:avLst/>
                    </a:prstGeom>
                    <a:noFill/>
                  </pic:spPr>
                </pic:pic>
              </a:graphicData>
            </a:graphic>
          </wp:anchor>
        </w:drawing>
        <w:drawing>
          <wp:anchor simplePos="0" relativeHeight="251657728" behindDoc="1" locked="0" layoutInCell="0" allowOverlap="1">
            <wp:simplePos x="0" y="0"/>
            <wp:positionH relativeFrom="column">
              <wp:posOffset>5962015</wp:posOffset>
            </wp:positionH>
            <wp:positionV relativeFrom="paragraph">
              <wp:posOffset>-78740</wp:posOffset>
            </wp:positionV>
            <wp:extent cx="59055" cy="6667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9055" cy="66675"/>
                    </a:xfrm>
                    <a:prstGeom prst="rect">
                      <a:avLst/>
                    </a:prstGeom>
                    <a:noFill/>
                  </pic:spPr>
                </pic:pic>
              </a:graphicData>
            </a:graphic>
          </wp:anchor>
        </w:drawing>
        <w:drawing>
          <wp:anchor simplePos="0" relativeHeight="251657728" behindDoc="1" locked="0" layoutInCell="0" allowOverlap="1">
            <wp:simplePos x="0" y="0"/>
            <wp:positionH relativeFrom="column">
              <wp:posOffset>6421120</wp:posOffset>
            </wp:positionH>
            <wp:positionV relativeFrom="paragraph">
              <wp:posOffset>-78740</wp:posOffset>
            </wp:positionV>
            <wp:extent cx="59055" cy="6667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9055" cy="6667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-78740</wp:posOffset>
            </wp:positionV>
            <wp:extent cx="59055" cy="6667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9055" cy="66675"/>
                    </a:xfrm>
                    <a:prstGeom prst="rect">
                      <a:avLst/>
                    </a:prstGeom>
                    <a:noFill/>
                  </pic:spPr>
                </pic:pic>
              </a:graphicData>
            </a:graphic>
          </wp:anchor>
        </w:drawing>
      </w:r>
    </w:p>
    <w:p>
      <w:pPr>
        <w:spacing w:after="0" w:line="29" w:lineRule="exact"/>
        <w:rPr>
          <w:sz w:val="20"/>
          <w:szCs w:val="20"/>
          <w:color w:val="auto"/>
        </w:rPr>
      </w:pPr>
    </w:p>
    <w:p>
      <w:pPr>
        <w:ind w:left="40"/>
        <w:spacing w:after="0"/>
        <w:rPr>
          <w:sz w:val="20"/>
          <w:szCs w:val="20"/>
          <w:color w:val="auto"/>
        </w:rPr>
      </w:pPr>
      <w:r>
        <w:rPr>
          <w:rFonts w:ascii="Arial" w:cs="Arial" w:eastAsia="Arial" w:hAnsi="Arial"/>
          <w:sz w:val="14"/>
          <w:szCs w:val="14"/>
          <w:color w:val="auto"/>
        </w:rPr>
        <w:t>Manufacturing/supply chain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50735" cy="146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0735" cy="14605"/>
                    </a:xfrm>
                    <a:prstGeom prst="rect">
                      <a:avLst/>
                    </a:prstGeom>
                    <a:noFill/>
                  </pic:spPr>
                </pic:pic>
              </a:graphicData>
            </a:graphic>
          </wp:anchor>
        </w:drawing>
        <w:drawing>
          <wp:anchor simplePos="0" relativeHeight="251657728" behindDoc="1" locked="0" layoutInCell="0" allowOverlap="1">
            <wp:simplePos x="0" y="0"/>
            <wp:positionH relativeFrom="column">
              <wp:posOffset>3771265</wp:posOffset>
            </wp:positionH>
            <wp:positionV relativeFrom="paragraph">
              <wp:posOffset>-78740</wp:posOffset>
            </wp:positionV>
            <wp:extent cx="59055" cy="6667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9055" cy="66675"/>
                    </a:xfrm>
                    <a:prstGeom prst="rect">
                      <a:avLst/>
                    </a:prstGeom>
                    <a:noFill/>
                  </pic:spPr>
                </pic:pic>
              </a:graphicData>
            </a:graphic>
          </wp:anchor>
        </w:drawing>
        <w:drawing>
          <wp:anchor simplePos="0" relativeHeight="251657728" behindDoc="1" locked="0" layoutInCell="0" allowOverlap="1">
            <wp:simplePos x="0" y="0"/>
            <wp:positionH relativeFrom="column">
              <wp:posOffset>4192905</wp:posOffset>
            </wp:positionH>
            <wp:positionV relativeFrom="paragraph">
              <wp:posOffset>-78740</wp:posOffset>
            </wp:positionV>
            <wp:extent cx="59055" cy="6667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9055" cy="66675"/>
                    </a:xfrm>
                    <a:prstGeom prst="rect">
                      <a:avLst/>
                    </a:prstGeom>
                    <a:noFill/>
                  </pic:spPr>
                </pic:pic>
              </a:graphicData>
            </a:graphic>
          </wp:anchor>
        </w:drawing>
        <w:drawing>
          <wp:anchor simplePos="0" relativeHeight="251657728" behindDoc="1" locked="0" layoutInCell="0" allowOverlap="1">
            <wp:simplePos x="0" y="0"/>
            <wp:positionH relativeFrom="column">
              <wp:posOffset>4637405</wp:posOffset>
            </wp:positionH>
            <wp:positionV relativeFrom="paragraph">
              <wp:posOffset>-78740</wp:posOffset>
            </wp:positionV>
            <wp:extent cx="59055" cy="6667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9055" cy="66675"/>
                    </a:xfrm>
                    <a:prstGeom prst="rect">
                      <a:avLst/>
                    </a:prstGeom>
                    <a:noFill/>
                  </pic:spPr>
                </pic:pic>
              </a:graphicData>
            </a:graphic>
          </wp:anchor>
        </w:drawing>
        <w:drawing>
          <wp:anchor simplePos="0" relativeHeight="251657728" behindDoc="1" locked="0" layoutInCell="0" allowOverlap="1">
            <wp:simplePos x="0" y="0"/>
            <wp:positionH relativeFrom="column">
              <wp:posOffset>5518150</wp:posOffset>
            </wp:positionH>
            <wp:positionV relativeFrom="paragraph">
              <wp:posOffset>-78740</wp:posOffset>
            </wp:positionV>
            <wp:extent cx="59055" cy="6667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9055" cy="66675"/>
                    </a:xfrm>
                    <a:prstGeom prst="rect">
                      <a:avLst/>
                    </a:prstGeom>
                    <a:noFill/>
                  </pic:spPr>
                </pic:pic>
              </a:graphicData>
            </a:graphic>
          </wp:anchor>
        </w:drawing>
      </w:r>
    </w:p>
    <w:p>
      <w:pPr>
        <w:spacing w:after="0" w:line="4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50735" cy="76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pacing w:after="0" w:line="2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Gender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50735" cy="76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pacing w:after="0" w:line="29" w:lineRule="exact"/>
        <w:rPr>
          <w:sz w:val="20"/>
          <w:szCs w:val="20"/>
          <w:color w:val="auto"/>
        </w:rPr>
      </w:pPr>
    </w:p>
    <w:p>
      <w:pPr>
        <w:ind w:left="40"/>
        <w:spacing w:after="0"/>
        <w:rPr>
          <w:sz w:val="20"/>
          <w:szCs w:val="20"/>
          <w:color w:val="auto"/>
        </w:rPr>
      </w:pPr>
      <w:r>
        <w:rPr>
          <w:rFonts w:ascii="Arial" w:cs="Arial" w:eastAsia="Arial" w:hAnsi="Arial"/>
          <w:sz w:val="14"/>
          <w:szCs w:val="14"/>
          <w:color w:val="auto"/>
        </w:rPr>
        <w:t>Male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50735" cy="76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0735" cy="7620"/>
                    </a:xfrm>
                    <a:prstGeom prst="rect">
                      <a:avLst/>
                    </a:prstGeom>
                    <a:noFill/>
                  </pic:spPr>
                </pic:pic>
              </a:graphicData>
            </a:graphic>
          </wp:anchor>
        </w:drawing>
        <w:drawing>
          <wp:anchor simplePos="0" relativeHeight="251657728" behindDoc="1" locked="0" layoutInCell="0" allowOverlap="1">
            <wp:simplePos x="0" y="0"/>
            <wp:positionH relativeFrom="column">
              <wp:posOffset>3771265</wp:posOffset>
            </wp:positionH>
            <wp:positionV relativeFrom="paragraph">
              <wp:posOffset>-78740</wp:posOffset>
            </wp:positionV>
            <wp:extent cx="59055" cy="6667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9055" cy="66675"/>
                    </a:xfrm>
                    <a:prstGeom prst="rect">
                      <a:avLst/>
                    </a:prstGeom>
                    <a:noFill/>
                  </pic:spPr>
                </pic:pic>
              </a:graphicData>
            </a:graphic>
          </wp:anchor>
        </w:drawing>
        <w:drawing>
          <wp:anchor simplePos="0" relativeHeight="251657728" behindDoc="1" locked="0" layoutInCell="0" allowOverlap="1">
            <wp:simplePos x="0" y="0"/>
            <wp:positionH relativeFrom="column">
              <wp:posOffset>4192905</wp:posOffset>
            </wp:positionH>
            <wp:positionV relativeFrom="paragraph">
              <wp:posOffset>-78740</wp:posOffset>
            </wp:positionV>
            <wp:extent cx="59055" cy="6667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9055" cy="66675"/>
                    </a:xfrm>
                    <a:prstGeom prst="rect">
                      <a:avLst/>
                    </a:prstGeom>
                    <a:noFill/>
                  </pic:spPr>
                </pic:pic>
              </a:graphicData>
            </a:graphic>
          </wp:anchor>
        </w:drawing>
        <w:drawing>
          <wp:anchor simplePos="0" relativeHeight="251657728" behindDoc="1" locked="0" layoutInCell="0" allowOverlap="1">
            <wp:simplePos x="0" y="0"/>
            <wp:positionH relativeFrom="column">
              <wp:posOffset>5074285</wp:posOffset>
            </wp:positionH>
            <wp:positionV relativeFrom="paragraph">
              <wp:posOffset>-78740</wp:posOffset>
            </wp:positionV>
            <wp:extent cx="59055" cy="6667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9055" cy="66675"/>
                    </a:xfrm>
                    <a:prstGeom prst="rect">
                      <a:avLst/>
                    </a:prstGeom>
                    <a:noFill/>
                  </pic:spPr>
                </pic:pic>
              </a:graphicData>
            </a:graphic>
          </wp:anchor>
        </w:drawing>
        <w:drawing>
          <wp:anchor simplePos="0" relativeHeight="251657728" behindDoc="1" locked="0" layoutInCell="0" allowOverlap="1">
            <wp:simplePos x="0" y="0"/>
            <wp:positionH relativeFrom="column">
              <wp:posOffset>5518150</wp:posOffset>
            </wp:positionH>
            <wp:positionV relativeFrom="paragraph">
              <wp:posOffset>-78740</wp:posOffset>
            </wp:positionV>
            <wp:extent cx="59055" cy="6667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9055" cy="66675"/>
                    </a:xfrm>
                    <a:prstGeom prst="rect">
                      <a:avLst/>
                    </a:prstGeom>
                    <a:noFill/>
                  </pic:spPr>
                </pic:pic>
              </a:graphicData>
            </a:graphic>
          </wp:anchor>
        </w:drawing>
        <w:drawing>
          <wp:anchor simplePos="0" relativeHeight="251657728" behindDoc="1" locked="0" layoutInCell="0" allowOverlap="1">
            <wp:simplePos x="0" y="0"/>
            <wp:positionH relativeFrom="column">
              <wp:posOffset>5962015</wp:posOffset>
            </wp:positionH>
            <wp:positionV relativeFrom="paragraph">
              <wp:posOffset>-78740</wp:posOffset>
            </wp:positionV>
            <wp:extent cx="59055" cy="6667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9055" cy="66675"/>
                    </a:xfrm>
                    <a:prstGeom prst="rect">
                      <a:avLst/>
                    </a:prstGeom>
                    <a:noFill/>
                  </pic:spPr>
                </pic:pic>
              </a:graphicData>
            </a:graphic>
          </wp:anchor>
        </w:drawing>
      </w:r>
    </w:p>
    <w:p>
      <w:pPr>
        <w:spacing w:after="0" w:line="29" w:lineRule="exact"/>
        <w:rPr>
          <w:sz w:val="20"/>
          <w:szCs w:val="20"/>
          <w:color w:val="auto"/>
        </w:rPr>
      </w:pPr>
    </w:p>
    <w:p>
      <w:pPr>
        <w:ind w:left="40"/>
        <w:spacing w:after="0"/>
        <w:rPr>
          <w:sz w:val="20"/>
          <w:szCs w:val="20"/>
          <w:color w:val="auto"/>
        </w:rPr>
      </w:pPr>
      <w:r>
        <w:rPr>
          <w:rFonts w:ascii="Arial" w:cs="Arial" w:eastAsia="Arial" w:hAnsi="Arial"/>
          <w:sz w:val="14"/>
          <w:szCs w:val="14"/>
          <w:color w:val="auto"/>
        </w:rPr>
        <w:t>Female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50735" cy="76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0735" cy="7620"/>
                    </a:xfrm>
                    <a:prstGeom prst="rect">
                      <a:avLst/>
                    </a:prstGeom>
                    <a:noFill/>
                  </pic:spPr>
                </pic:pic>
              </a:graphicData>
            </a:graphic>
          </wp:anchor>
        </w:drawing>
        <w:drawing>
          <wp:anchor simplePos="0" relativeHeight="251657728" behindDoc="1" locked="0" layoutInCell="0" allowOverlap="1">
            <wp:simplePos x="0" y="0"/>
            <wp:positionH relativeFrom="column">
              <wp:posOffset>4637405</wp:posOffset>
            </wp:positionH>
            <wp:positionV relativeFrom="paragraph">
              <wp:posOffset>-78740</wp:posOffset>
            </wp:positionV>
            <wp:extent cx="59055" cy="6667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9055" cy="66675"/>
                    </a:xfrm>
                    <a:prstGeom prst="rect">
                      <a:avLst/>
                    </a:prstGeom>
                    <a:noFill/>
                  </pic:spPr>
                </pic:pic>
              </a:graphicData>
            </a:graphic>
          </wp:anchor>
        </w:drawing>
        <w:drawing>
          <wp:anchor simplePos="0" relativeHeight="251657728" behindDoc="1" locked="0" layoutInCell="0" allowOverlap="1">
            <wp:simplePos x="0" y="0"/>
            <wp:positionH relativeFrom="column">
              <wp:posOffset>6421120</wp:posOffset>
            </wp:positionH>
            <wp:positionV relativeFrom="paragraph">
              <wp:posOffset>-78740</wp:posOffset>
            </wp:positionV>
            <wp:extent cx="59055" cy="6667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9055" cy="6667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-78740</wp:posOffset>
            </wp:positionV>
            <wp:extent cx="59055" cy="6667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9055" cy="66675"/>
                    </a:xfrm>
                    <a:prstGeom prst="rect">
                      <a:avLst/>
                    </a:prstGeom>
                    <a:noFill/>
                  </pic:spPr>
                </pic:pic>
              </a:graphicData>
            </a:graphic>
          </wp:anchor>
        </w:drawing>
      </w:r>
    </w:p>
    <w:p>
      <w:pPr>
        <w:spacing w:after="0" w:line="2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Race/Ethnicity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50735" cy="762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pacing w:after="0" w:line="29" w:lineRule="exact"/>
        <w:rPr>
          <w:sz w:val="20"/>
          <w:szCs w:val="20"/>
          <w:color w:val="auto"/>
        </w:rPr>
      </w:pPr>
    </w:p>
    <w:p>
      <w:pPr>
        <w:ind w:left="40"/>
        <w:spacing w:after="0"/>
        <w:rPr>
          <w:sz w:val="20"/>
          <w:szCs w:val="20"/>
          <w:color w:val="auto"/>
        </w:rPr>
      </w:pPr>
      <w:r>
        <w:rPr>
          <w:rFonts w:ascii="Arial" w:cs="Arial" w:eastAsia="Arial" w:hAnsi="Arial"/>
          <w:sz w:val="14"/>
          <w:szCs w:val="14"/>
          <w:color w:val="auto"/>
        </w:rPr>
        <w:t>Asian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50735" cy="762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0735" cy="7620"/>
                    </a:xfrm>
                    <a:prstGeom prst="rect">
                      <a:avLst/>
                    </a:prstGeom>
                    <a:noFill/>
                  </pic:spPr>
                </pic:pic>
              </a:graphicData>
            </a:graphic>
          </wp:anchor>
        </w:drawing>
        <w:drawing>
          <wp:anchor simplePos="0" relativeHeight="251657728" behindDoc="1" locked="0" layoutInCell="0" allowOverlap="1">
            <wp:simplePos x="0" y="0"/>
            <wp:positionH relativeFrom="column">
              <wp:posOffset>5962015</wp:posOffset>
            </wp:positionH>
            <wp:positionV relativeFrom="paragraph">
              <wp:posOffset>-78740</wp:posOffset>
            </wp:positionV>
            <wp:extent cx="59055" cy="6667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9055" cy="66675"/>
                    </a:xfrm>
                    <a:prstGeom prst="rect">
                      <a:avLst/>
                    </a:prstGeom>
                    <a:noFill/>
                  </pic:spPr>
                </pic:pic>
              </a:graphicData>
            </a:graphic>
          </wp:anchor>
        </w:drawing>
        <w:drawing>
          <wp:anchor simplePos="0" relativeHeight="251657728" behindDoc="1" locked="0" layoutInCell="0" allowOverlap="1">
            <wp:simplePos x="0" y="0"/>
            <wp:positionH relativeFrom="column">
              <wp:posOffset>6421120</wp:posOffset>
            </wp:positionH>
            <wp:positionV relativeFrom="paragraph">
              <wp:posOffset>-78740</wp:posOffset>
            </wp:positionV>
            <wp:extent cx="59055" cy="6667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9055" cy="6667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-78740</wp:posOffset>
            </wp:positionV>
            <wp:extent cx="59055" cy="6667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9055" cy="66675"/>
                    </a:xfrm>
                    <a:prstGeom prst="rect">
                      <a:avLst/>
                    </a:prstGeom>
                    <a:noFill/>
                  </pic:spPr>
                </pic:pic>
              </a:graphicData>
            </a:graphic>
          </wp:anchor>
        </w:drawing>
      </w:r>
    </w:p>
    <w:p>
      <w:pPr>
        <w:spacing w:after="0" w:line="29" w:lineRule="exact"/>
        <w:rPr>
          <w:sz w:val="20"/>
          <w:szCs w:val="20"/>
          <w:color w:val="auto"/>
        </w:rPr>
      </w:pPr>
    </w:p>
    <w:p>
      <w:pPr>
        <w:ind w:left="40"/>
        <w:spacing w:after="0"/>
        <w:rPr>
          <w:sz w:val="20"/>
          <w:szCs w:val="20"/>
          <w:color w:val="auto"/>
        </w:rPr>
      </w:pPr>
      <w:r>
        <w:rPr>
          <w:rFonts w:ascii="Arial" w:cs="Arial" w:eastAsia="Arial" w:hAnsi="Arial"/>
          <w:sz w:val="14"/>
          <w:szCs w:val="14"/>
          <w:color w:val="auto"/>
        </w:rPr>
        <w:t>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50735" cy="762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0735" cy="7620"/>
                    </a:xfrm>
                    <a:prstGeom prst="rect">
                      <a:avLst/>
                    </a:prstGeom>
                    <a:noFill/>
                  </pic:spPr>
                </pic:pic>
              </a:graphicData>
            </a:graphic>
          </wp:anchor>
        </w:drawing>
        <w:drawing>
          <wp:anchor simplePos="0" relativeHeight="251657728" behindDoc="1" locked="0" layoutInCell="0" allowOverlap="1">
            <wp:simplePos x="0" y="0"/>
            <wp:positionH relativeFrom="column">
              <wp:posOffset>3771265</wp:posOffset>
            </wp:positionH>
            <wp:positionV relativeFrom="paragraph">
              <wp:posOffset>-78740</wp:posOffset>
            </wp:positionV>
            <wp:extent cx="59055" cy="6667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9055" cy="66675"/>
                    </a:xfrm>
                    <a:prstGeom prst="rect">
                      <a:avLst/>
                    </a:prstGeom>
                    <a:noFill/>
                  </pic:spPr>
                </pic:pic>
              </a:graphicData>
            </a:graphic>
          </wp:anchor>
        </w:drawing>
        <w:drawing>
          <wp:anchor simplePos="0" relativeHeight="251657728" behindDoc="1" locked="0" layoutInCell="0" allowOverlap="1">
            <wp:simplePos x="0" y="0"/>
            <wp:positionH relativeFrom="column">
              <wp:posOffset>4192905</wp:posOffset>
            </wp:positionH>
            <wp:positionV relativeFrom="paragraph">
              <wp:posOffset>-78740</wp:posOffset>
            </wp:positionV>
            <wp:extent cx="59055" cy="6667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9055" cy="66675"/>
                    </a:xfrm>
                    <a:prstGeom prst="rect">
                      <a:avLst/>
                    </a:prstGeom>
                    <a:noFill/>
                  </pic:spPr>
                </pic:pic>
              </a:graphicData>
            </a:graphic>
          </wp:anchor>
        </w:drawing>
        <w:drawing>
          <wp:anchor simplePos="0" relativeHeight="251657728" behindDoc="1" locked="0" layoutInCell="0" allowOverlap="1">
            <wp:simplePos x="0" y="0"/>
            <wp:positionH relativeFrom="column">
              <wp:posOffset>4637405</wp:posOffset>
            </wp:positionH>
            <wp:positionV relativeFrom="paragraph">
              <wp:posOffset>-78740</wp:posOffset>
            </wp:positionV>
            <wp:extent cx="59055" cy="6667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9055" cy="66675"/>
                    </a:xfrm>
                    <a:prstGeom prst="rect">
                      <a:avLst/>
                    </a:prstGeom>
                    <a:noFill/>
                  </pic:spPr>
                </pic:pic>
              </a:graphicData>
            </a:graphic>
          </wp:anchor>
        </w:drawing>
        <w:drawing>
          <wp:anchor simplePos="0" relativeHeight="251657728" behindDoc="1" locked="0" layoutInCell="0" allowOverlap="1">
            <wp:simplePos x="0" y="0"/>
            <wp:positionH relativeFrom="column">
              <wp:posOffset>5074285</wp:posOffset>
            </wp:positionH>
            <wp:positionV relativeFrom="paragraph">
              <wp:posOffset>-78740</wp:posOffset>
            </wp:positionV>
            <wp:extent cx="59055" cy="6667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9055" cy="66675"/>
                    </a:xfrm>
                    <a:prstGeom prst="rect">
                      <a:avLst/>
                    </a:prstGeom>
                    <a:noFill/>
                  </pic:spPr>
                </pic:pic>
              </a:graphicData>
            </a:graphic>
          </wp:anchor>
        </w:drawing>
        <w:drawing>
          <wp:anchor simplePos="0" relativeHeight="251657728" behindDoc="1" locked="0" layoutInCell="0" allowOverlap="1">
            <wp:simplePos x="0" y="0"/>
            <wp:positionH relativeFrom="column">
              <wp:posOffset>5518150</wp:posOffset>
            </wp:positionH>
            <wp:positionV relativeFrom="paragraph">
              <wp:posOffset>-78740</wp:posOffset>
            </wp:positionV>
            <wp:extent cx="59055" cy="6667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9055" cy="66675"/>
                    </a:xfrm>
                    <a:prstGeom prst="rect">
                      <a:avLst/>
                    </a:prstGeom>
                    <a:noFill/>
                  </pic:spPr>
                </pic:pic>
              </a:graphicData>
            </a:graphic>
          </wp:anchor>
        </w:drawing>
      </w:r>
    </w:p>
    <w:p>
      <w:pPr>
        <w:spacing w:after="0" w:line="2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LGBTQ+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50735" cy="1460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0735" cy="14605"/>
                    </a:xfrm>
                    <a:prstGeom prst="rect">
                      <a:avLst/>
                    </a:prstGeom>
                    <a:noFill/>
                  </pic:spPr>
                </pic:pic>
              </a:graphicData>
            </a:graphic>
          </wp:anchor>
        </w:drawing>
        <w:drawing>
          <wp:anchor simplePos="0" relativeHeight="251657728" behindDoc="1" locked="0" layoutInCell="0" allowOverlap="1">
            <wp:simplePos x="0" y="0"/>
            <wp:positionH relativeFrom="column">
              <wp:posOffset>5074285</wp:posOffset>
            </wp:positionH>
            <wp:positionV relativeFrom="paragraph">
              <wp:posOffset>-78740</wp:posOffset>
            </wp:positionV>
            <wp:extent cx="59055" cy="6667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9055" cy="66675"/>
                    </a:xfrm>
                    <a:prstGeom prst="rect">
                      <a:avLst/>
                    </a:prstGeom>
                    <a:noFill/>
                  </pic:spPr>
                </pic:pic>
              </a:graphicData>
            </a:graphic>
          </wp:anchor>
        </w:drawing>
      </w:r>
    </w:p>
    <w:p>
      <w:pPr>
        <w:spacing w:after="0" w:line="180" w:lineRule="exact"/>
        <w:rPr>
          <w:sz w:val="20"/>
          <w:szCs w:val="20"/>
          <w:color w:val="auto"/>
        </w:rPr>
      </w:pPr>
    </w:p>
    <w:p>
      <w:pPr>
        <w:jc w:val="right"/>
        <w:spacing w:after="0"/>
        <w:tabs>
          <w:tab w:leader="none" w:pos="60" w:val="left"/>
        </w:tabs>
        <w:rPr>
          <w:sz w:val="20"/>
          <w:szCs w:val="20"/>
          <w:color w:val="auto"/>
        </w:rPr>
      </w:pPr>
      <w:r>
        <w:rPr>
          <w:rFonts w:ascii="Arial" w:cs="Arial" w:eastAsia="Arial" w:hAnsi="Arial"/>
          <w:sz w:val="14"/>
          <w:szCs w:val="14"/>
          <w:b w:val="1"/>
          <w:bCs w:val="1"/>
          <w:color w:val="auto"/>
        </w:rPr>
        <w:t xml:space="preserve">ULTRAGENYX PHARMACEUTICAL INC. </w:t>
      </w:r>
      <w:r>
        <w:rPr>
          <w:rFonts w:ascii="Arial" w:cs="Arial" w:eastAsia="Arial" w:hAnsi="Arial"/>
          <w:sz w:val="14"/>
          <w:szCs w:val="14"/>
          <w:color w:val="7CBD3F"/>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2025 Proxy Statement</w:t>
      </w:r>
      <w:r>
        <w:rPr>
          <w:rFonts w:ascii="Arial" w:cs="Arial" w:eastAsia="Arial" w:hAnsi="Arial"/>
          <w:sz w:val="14"/>
          <w:szCs w:val="14"/>
          <w:b w:val="1"/>
          <w:bCs w:val="1"/>
          <w:color w:val="auto"/>
        </w:rPr>
        <w:tab/>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142240</wp:posOffset>
            </wp:positionV>
            <wp:extent cx="7150735"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0735" cy="29845"/>
                    </a:xfrm>
                    <a:prstGeom prst="rect">
                      <a:avLst/>
                    </a:prstGeom>
                    <a:noFill/>
                  </pic:spPr>
                </pic:pic>
              </a:graphicData>
            </a:graphic>
          </wp:anchor>
        </w:drawing>
      </w:r>
    </w:p>
    <w:p>
      <w:pPr>
        <w:sectPr>
          <w:pgSz w:w="11900" w:h="16838" w:orient="portrait"/>
          <w:cols w:equalWidth="0" w:num="1">
            <w:col w:w="11260"/>
          </w:cols>
          <w:pgMar w:left="320" w:top="225" w:right="319" w:bottom="1440" w:gutter="0" w:footer="0" w:header="0"/>
        </w:sectPr>
      </w:pPr>
    </w:p>
    <w:bookmarkStart w:id="8" w:name="page9"/>
    <w:bookmarkEnd w:id="8"/>
    <w:p>
      <w:pPr>
        <w:ind w:left="7"/>
        <w:spacing w:after="0"/>
        <w:rPr>
          <w:sz w:val="20"/>
          <w:szCs w:val="20"/>
          <w:color w:val="auto"/>
        </w:rPr>
      </w:pPr>
      <w:r>
        <w:rPr>
          <w:rFonts w:ascii="Arial" w:cs="Arial" w:eastAsia="Arial" w:hAnsi="Arial"/>
          <w:sz w:val="12"/>
          <w:szCs w:val="12"/>
          <w:b w:val="1"/>
          <w:bCs w:val="1"/>
          <w:u w:val="single" w:color="auto"/>
          <w:color w:val="0000EE"/>
        </w:rPr>
        <w:t>Back to Contents</w:t>
      </w:r>
    </w:p>
    <w:p>
      <w:pPr>
        <w:spacing w:after="0" w:line="141" w:lineRule="exact"/>
        <w:rPr>
          <w:sz w:val="20"/>
          <w:szCs w:val="20"/>
          <w:color w:val="auto"/>
        </w:rPr>
      </w:pPr>
    </w:p>
    <w:p>
      <w:pPr>
        <w:ind w:left="7"/>
        <w:spacing w:after="0"/>
        <w:rPr>
          <w:sz w:val="20"/>
          <w:szCs w:val="20"/>
          <w:color w:val="auto"/>
        </w:rPr>
      </w:pPr>
      <w:r>
        <w:rPr>
          <w:rFonts w:ascii="Arial" w:cs="Arial" w:eastAsia="Arial" w:hAnsi="Arial"/>
          <w:sz w:val="22"/>
          <w:szCs w:val="22"/>
          <w:b w:val="1"/>
          <w:bCs w:val="1"/>
          <w:color w:val="auto"/>
        </w:rPr>
        <w:t>Corporate Governance Overview</w:t>
      </w:r>
    </w:p>
    <w:p>
      <w:pPr>
        <w:spacing w:after="0" w:line="268" w:lineRule="exact"/>
        <w:rPr>
          <w:sz w:val="20"/>
          <w:szCs w:val="20"/>
          <w:color w:val="auto"/>
        </w:rPr>
      </w:pPr>
    </w:p>
    <w:p>
      <w:pPr>
        <w:ind w:left="7"/>
        <w:spacing w:after="0" w:line="278" w:lineRule="auto"/>
        <w:rPr>
          <w:sz w:val="20"/>
          <w:szCs w:val="20"/>
          <w:color w:val="auto"/>
        </w:rPr>
      </w:pPr>
      <w:r>
        <w:rPr>
          <w:rFonts w:ascii="Arial" w:cs="Arial" w:eastAsia="Arial" w:hAnsi="Arial"/>
          <w:sz w:val="14"/>
          <w:szCs w:val="14"/>
          <w:color w:val="auto"/>
        </w:rPr>
        <w:t>We are committed to maintaining good corporate governance practices and we periodically review our practices. We believe that good corporate governance, including the practices listed below, promotes the long term interests of our stockholders.</w:t>
      </w:r>
    </w:p>
    <w:p>
      <w:pPr>
        <w:spacing w:after="0" w:line="117" w:lineRule="exact"/>
        <w:rPr>
          <w:sz w:val="20"/>
          <w:szCs w:val="20"/>
          <w:color w:val="auto"/>
        </w:rPr>
      </w:pPr>
    </w:p>
    <w:p>
      <w:pPr>
        <w:ind w:left="147" w:hanging="147"/>
        <w:spacing w:after="0"/>
        <w:tabs>
          <w:tab w:leader="none" w:pos="147" w:val="left"/>
        </w:tabs>
        <w:numPr>
          <w:ilvl w:val="0"/>
          <w:numId w:val="1"/>
        </w:numPr>
        <w:rPr>
          <w:rFonts w:ascii="Arial" w:cs="Arial" w:eastAsia="Arial" w:hAnsi="Arial"/>
          <w:sz w:val="14"/>
          <w:szCs w:val="14"/>
          <w:color w:val="7CBD3F"/>
        </w:rPr>
      </w:pPr>
      <w:r>
        <w:rPr>
          <w:rFonts w:ascii="Arial" w:cs="Arial" w:eastAsia="Arial" w:hAnsi="Arial"/>
          <w:sz w:val="14"/>
          <w:szCs w:val="14"/>
          <w:color w:val="auto"/>
        </w:rPr>
        <w:t>All of our directors are independent, other than our President and Chief Executive Officer</w:t>
      </w:r>
    </w:p>
    <w:p>
      <w:pPr>
        <w:spacing w:after="0" w:line="72" w:lineRule="exact"/>
        <w:rPr>
          <w:rFonts w:ascii="Arial" w:cs="Arial" w:eastAsia="Arial" w:hAnsi="Arial"/>
          <w:sz w:val="14"/>
          <w:szCs w:val="14"/>
          <w:color w:val="7CBD3F"/>
        </w:rPr>
      </w:pPr>
    </w:p>
    <w:p>
      <w:pPr>
        <w:ind w:left="147" w:hanging="147"/>
        <w:spacing w:after="0"/>
        <w:tabs>
          <w:tab w:leader="none" w:pos="147" w:val="left"/>
        </w:tabs>
        <w:numPr>
          <w:ilvl w:val="0"/>
          <w:numId w:val="1"/>
        </w:numPr>
        <w:rPr>
          <w:rFonts w:ascii="Arial" w:cs="Arial" w:eastAsia="Arial" w:hAnsi="Arial"/>
          <w:sz w:val="14"/>
          <w:szCs w:val="14"/>
          <w:color w:val="7CBD3F"/>
        </w:rPr>
      </w:pPr>
      <w:r>
        <w:rPr>
          <w:rFonts w:ascii="Arial" w:cs="Arial" w:eastAsia="Arial" w:hAnsi="Arial"/>
          <w:sz w:val="14"/>
          <w:szCs w:val="14"/>
          <w:color w:val="auto"/>
        </w:rPr>
        <w:t>Director Resignation Policy that applies when a director fails to receive majority support in an uncontested election</w:t>
      </w:r>
    </w:p>
    <w:p>
      <w:pPr>
        <w:spacing w:after="0" w:line="72" w:lineRule="exact"/>
        <w:rPr>
          <w:rFonts w:ascii="Arial" w:cs="Arial" w:eastAsia="Arial" w:hAnsi="Arial"/>
          <w:sz w:val="14"/>
          <w:szCs w:val="14"/>
          <w:color w:val="7CBD3F"/>
        </w:rPr>
      </w:pPr>
    </w:p>
    <w:p>
      <w:pPr>
        <w:ind w:left="147" w:hanging="147"/>
        <w:spacing w:after="0"/>
        <w:tabs>
          <w:tab w:leader="none" w:pos="147" w:val="left"/>
        </w:tabs>
        <w:numPr>
          <w:ilvl w:val="0"/>
          <w:numId w:val="1"/>
        </w:numPr>
        <w:rPr>
          <w:rFonts w:ascii="Arial" w:cs="Arial" w:eastAsia="Arial" w:hAnsi="Arial"/>
          <w:sz w:val="14"/>
          <w:szCs w:val="14"/>
          <w:color w:val="7CBD3F"/>
        </w:rPr>
      </w:pPr>
      <w:r>
        <w:rPr>
          <w:rFonts w:ascii="Arial" w:cs="Arial" w:eastAsia="Arial" w:hAnsi="Arial"/>
          <w:sz w:val="14"/>
          <w:szCs w:val="14"/>
          <w:color w:val="auto"/>
        </w:rPr>
        <w:t>Completely independent Audit Committee, Nominating and Corporate Governance Committee and Compensation Committee</w:t>
      </w:r>
    </w:p>
    <w:p>
      <w:pPr>
        <w:spacing w:after="0" w:line="72" w:lineRule="exact"/>
        <w:rPr>
          <w:rFonts w:ascii="Arial" w:cs="Arial" w:eastAsia="Arial" w:hAnsi="Arial"/>
          <w:sz w:val="14"/>
          <w:szCs w:val="14"/>
          <w:color w:val="7CBD3F"/>
        </w:rPr>
      </w:pPr>
    </w:p>
    <w:p>
      <w:pPr>
        <w:ind w:left="147" w:hanging="147"/>
        <w:spacing w:after="0"/>
        <w:tabs>
          <w:tab w:leader="none" w:pos="147" w:val="left"/>
        </w:tabs>
        <w:numPr>
          <w:ilvl w:val="0"/>
          <w:numId w:val="1"/>
        </w:numPr>
        <w:rPr>
          <w:rFonts w:ascii="Arial" w:cs="Arial" w:eastAsia="Arial" w:hAnsi="Arial"/>
          <w:sz w:val="14"/>
          <w:szCs w:val="14"/>
          <w:color w:val="7CBD3F"/>
        </w:rPr>
      </w:pPr>
      <w:r>
        <w:rPr>
          <w:rFonts w:ascii="Arial" w:cs="Arial" w:eastAsia="Arial" w:hAnsi="Arial"/>
          <w:sz w:val="14"/>
          <w:szCs w:val="14"/>
          <w:color w:val="auto"/>
        </w:rPr>
        <w:t>Effective and active independent Chairman</w:t>
      </w:r>
    </w:p>
    <w:p>
      <w:pPr>
        <w:spacing w:after="0" w:line="72" w:lineRule="exact"/>
        <w:rPr>
          <w:rFonts w:ascii="Arial" w:cs="Arial" w:eastAsia="Arial" w:hAnsi="Arial"/>
          <w:sz w:val="14"/>
          <w:szCs w:val="14"/>
          <w:color w:val="7CBD3F"/>
        </w:rPr>
      </w:pPr>
    </w:p>
    <w:p>
      <w:pPr>
        <w:ind w:left="147" w:hanging="147"/>
        <w:spacing w:after="0"/>
        <w:tabs>
          <w:tab w:leader="none" w:pos="147" w:val="left"/>
        </w:tabs>
        <w:numPr>
          <w:ilvl w:val="0"/>
          <w:numId w:val="1"/>
        </w:numPr>
        <w:rPr>
          <w:rFonts w:ascii="Arial" w:cs="Arial" w:eastAsia="Arial" w:hAnsi="Arial"/>
          <w:sz w:val="14"/>
          <w:szCs w:val="14"/>
          <w:color w:val="7CBD3F"/>
        </w:rPr>
      </w:pPr>
      <w:r>
        <w:rPr>
          <w:rFonts w:ascii="Arial" w:cs="Arial" w:eastAsia="Arial" w:hAnsi="Arial"/>
          <w:sz w:val="14"/>
          <w:szCs w:val="14"/>
          <w:color w:val="auto"/>
        </w:rPr>
        <w:t>Annual Board and committee self-evaluations</w:t>
      </w:r>
    </w:p>
    <w:p>
      <w:pPr>
        <w:spacing w:after="0" w:line="72" w:lineRule="exact"/>
        <w:rPr>
          <w:rFonts w:ascii="Arial" w:cs="Arial" w:eastAsia="Arial" w:hAnsi="Arial"/>
          <w:sz w:val="14"/>
          <w:szCs w:val="14"/>
          <w:color w:val="7CBD3F"/>
        </w:rPr>
      </w:pPr>
    </w:p>
    <w:p>
      <w:pPr>
        <w:ind w:left="147" w:hanging="147"/>
        <w:spacing w:after="0"/>
        <w:tabs>
          <w:tab w:leader="none" w:pos="147" w:val="left"/>
        </w:tabs>
        <w:numPr>
          <w:ilvl w:val="0"/>
          <w:numId w:val="1"/>
        </w:numPr>
        <w:rPr>
          <w:rFonts w:ascii="Arial" w:cs="Arial" w:eastAsia="Arial" w:hAnsi="Arial"/>
          <w:sz w:val="14"/>
          <w:szCs w:val="14"/>
          <w:color w:val="7CBD3F"/>
        </w:rPr>
      </w:pPr>
      <w:r>
        <w:rPr>
          <w:rFonts w:ascii="Arial" w:cs="Arial" w:eastAsia="Arial" w:hAnsi="Arial"/>
          <w:sz w:val="14"/>
          <w:szCs w:val="14"/>
          <w:color w:val="auto"/>
        </w:rPr>
        <w:t>Active stockholder engagement program</w:t>
      </w:r>
    </w:p>
    <w:p>
      <w:pPr>
        <w:spacing w:after="0" w:line="72" w:lineRule="exact"/>
        <w:rPr>
          <w:rFonts w:ascii="Arial" w:cs="Arial" w:eastAsia="Arial" w:hAnsi="Arial"/>
          <w:sz w:val="14"/>
          <w:szCs w:val="14"/>
          <w:color w:val="7CBD3F"/>
        </w:rPr>
      </w:pPr>
    </w:p>
    <w:p>
      <w:pPr>
        <w:ind w:left="147" w:hanging="147"/>
        <w:spacing w:after="0"/>
        <w:tabs>
          <w:tab w:leader="none" w:pos="147" w:val="left"/>
        </w:tabs>
        <w:numPr>
          <w:ilvl w:val="0"/>
          <w:numId w:val="1"/>
        </w:numPr>
        <w:rPr>
          <w:rFonts w:ascii="Arial" w:cs="Arial" w:eastAsia="Arial" w:hAnsi="Arial"/>
          <w:sz w:val="14"/>
          <w:szCs w:val="14"/>
          <w:color w:val="7CBD3F"/>
        </w:rPr>
      </w:pPr>
      <w:r>
        <w:rPr>
          <w:rFonts w:ascii="Arial" w:cs="Arial" w:eastAsia="Arial" w:hAnsi="Arial"/>
          <w:sz w:val="14"/>
          <w:szCs w:val="14"/>
          <w:color w:val="auto"/>
        </w:rPr>
        <w:t>All our current directors attended 100% of the Board and committee meetings of which the director was a member in 2024</w:t>
      </w:r>
    </w:p>
    <w:p>
      <w:pPr>
        <w:spacing w:after="0" w:line="72" w:lineRule="exact"/>
        <w:rPr>
          <w:rFonts w:ascii="Arial" w:cs="Arial" w:eastAsia="Arial" w:hAnsi="Arial"/>
          <w:sz w:val="14"/>
          <w:szCs w:val="14"/>
          <w:color w:val="7CBD3F"/>
        </w:rPr>
      </w:pPr>
    </w:p>
    <w:p>
      <w:pPr>
        <w:ind w:left="147" w:hanging="147"/>
        <w:spacing w:after="0"/>
        <w:tabs>
          <w:tab w:leader="none" w:pos="147" w:val="left"/>
        </w:tabs>
        <w:numPr>
          <w:ilvl w:val="0"/>
          <w:numId w:val="1"/>
        </w:numPr>
        <w:rPr>
          <w:rFonts w:ascii="Arial" w:cs="Arial" w:eastAsia="Arial" w:hAnsi="Arial"/>
          <w:sz w:val="14"/>
          <w:szCs w:val="14"/>
          <w:color w:val="7CBD3F"/>
        </w:rPr>
      </w:pPr>
      <w:r>
        <w:rPr>
          <w:rFonts w:ascii="Arial" w:cs="Arial" w:eastAsia="Arial" w:hAnsi="Arial"/>
          <w:sz w:val="14"/>
          <w:szCs w:val="14"/>
          <w:color w:val="auto"/>
        </w:rPr>
        <w:t>Minimum stock ownership requirements for named executive officers and directors</w:t>
      </w:r>
    </w:p>
    <w:p>
      <w:pPr>
        <w:spacing w:after="0" w:line="72" w:lineRule="exact"/>
        <w:rPr>
          <w:rFonts w:ascii="Arial" w:cs="Arial" w:eastAsia="Arial" w:hAnsi="Arial"/>
          <w:sz w:val="14"/>
          <w:szCs w:val="14"/>
          <w:color w:val="7CBD3F"/>
        </w:rPr>
      </w:pPr>
    </w:p>
    <w:p>
      <w:pPr>
        <w:ind w:left="147" w:hanging="147"/>
        <w:spacing w:after="0" w:line="278" w:lineRule="auto"/>
        <w:tabs>
          <w:tab w:leader="none" w:pos="147" w:val="left"/>
        </w:tabs>
        <w:numPr>
          <w:ilvl w:val="0"/>
          <w:numId w:val="1"/>
        </w:numPr>
        <w:rPr>
          <w:rFonts w:ascii="Arial" w:cs="Arial" w:eastAsia="Arial" w:hAnsi="Arial"/>
          <w:sz w:val="14"/>
          <w:szCs w:val="14"/>
          <w:color w:val="7CBD3F"/>
        </w:rPr>
      </w:pPr>
      <w:r>
        <w:rPr>
          <w:rFonts w:ascii="Arial" w:cs="Arial" w:eastAsia="Arial" w:hAnsi="Arial"/>
          <w:sz w:val="14"/>
          <w:szCs w:val="14"/>
          <w:color w:val="auto"/>
        </w:rPr>
        <w:t>Director Overboarding Policy limiting the total number of public company boards that a director may serve to five total public company boards and public company CEO directors to three total public company boards</w:t>
      </w:r>
    </w:p>
    <w:p>
      <w:pPr>
        <w:spacing w:after="0" w:line="23" w:lineRule="exact"/>
        <w:rPr>
          <w:rFonts w:ascii="Arial" w:cs="Arial" w:eastAsia="Arial" w:hAnsi="Arial"/>
          <w:sz w:val="14"/>
          <w:szCs w:val="14"/>
          <w:color w:val="7CBD3F"/>
        </w:rPr>
      </w:pPr>
    </w:p>
    <w:p>
      <w:pPr>
        <w:ind w:left="147" w:hanging="147"/>
        <w:spacing w:after="0"/>
        <w:tabs>
          <w:tab w:leader="none" w:pos="147" w:val="left"/>
        </w:tabs>
        <w:numPr>
          <w:ilvl w:val="0"/>
          <w:numId w:val="1"/>
        </w:numPr>
        <w:rPr>
          <w:rFonts w:ascii="Arial" w:cs="Arial" w:eastAsia="Arial" w:hAnsi="Arial"/>
          <w:sz w:val="14"/>
          <w:szCs w:val="14"/>
          <w:color w:val="7CBD3F"/>
        </w:rPr>
      </w:pPr>
      <w:r>
        <w:rPr>
          <w:rFonts w:ascii="Arial" w:cs="Arial" w:eastAsia="Arial" w:hAnsi="Arial"/>
          <w:sz w:val="14"/>
          <w:szCs w:val="14"/>
          <w:color w:val="auto"/>
        </w:rPr>
        <w:t>Board and committees are authorized to engage outside advisors independently of management</w:t>
      </w:r>
    </w:p>
    <w:p>
      <w:pPr>
        <w:spacing w:after="0" w:line="72" w:lineRule="exact"/>
        <w:rPr>
          <w:rFonts w:ascii="Arial" w:cs="Arial" w:eastAsia="Arial" w:hAnsi="Arial"/>
          <w:sz w:val="14"/>
          <w:szCs w:val="14"/>
          <w:color w:val="7CBD3F"/>
        </w:rPr>
      </w:pPr>
    </w:p>
    <w:p>
      <w:pPr>
        <w:jc w:val="both"/>
        <w:ind w:left="147" w:right="20" w:hanging="147"/>
        <w:spacing w:after="0" w:line="260" w:lineRule="auto"/>
        <w:tabs>
          <w:tab w:leader="none" w:pos="147" w:val="left"/>
        </w:tabs>
        <w:numPr>
          <w:ilvl w:val="0"/>
          <w:numId w:val="1"/>
        </w:numPr>
        <w:rPr>
          <w:rFonts w:ascii="Arial" w:cs="Arial" w:eastAsia="Arial" w:hAnsi="Arial"/>
          <w:sz w:val="14"/>
          <w:szCs w:val="14"/>
          <w:color w:val="7CBD3F"/>
        </w:rPr>
      </w:pPr>
      <w:r>
        <w:rPr>
          <w:rFonts w:ascii="Arial" w:cs="Arial" w:eastAsia="Arial" w:hAnsi="Arial"/>
          <w:sz w:val="14"/>
          <w:szCs w:val="14"/>
          <w:color w:val="auto"/>
        </w:rPr>
        <w:t>Clawback Policy that complies with Rule 10D-1 under the Securities Exchange Act of 1934, as amended (Exchange Act) and also includes a discretionary recoupment provision that permits recovery of all incentive compensation (including time-based and performance-based equity awards) in the event of fraud or intentional misconduct (see section entitled “Clawback Policy” of this Proxy Statement for additional details)</w:t>
      </w:r>
    </w:p>
    <w:p>
      <w:pPr>
        <w:spacing w:after="0" w:line="36" w:lineRule="exact"/>
        <w:rPr>
          <w:rFonts w:ascii="Arial" w:cs="Arial" w:eastAsia="Arial" w:hAnsi="Arial"/>
          <w:sz w:val="14"/>
          <w:szCs w:val="14"/>
          <w:color w:val="7CBD3F"/>
        </w:rPr>
      </w:pPr>
    </w:p>
    <w:p>
      <w:pPr>
        <w:ind w:left="147" w:hanging="147"/>
        <w:spacing w:after="0"/>
        <w:tabs>
          <w:tab w:leader="none" w:pos="147" w:val="left"/>
        </w:tabs>
        <w:numPr>
          <w:ilvl w:val="0"/>
          <w:numId w:val="1"/>
        </w:numPr>
        <w:rPr>
          <w:rFonts w:ascii="Arial" w:cs="Arial" w:eastAsia="Arial" w:hAnsi="Arial"/>
          <w:sz w:val="14"/>
          <w:szCs w:val="14"/>
          <w:color w:val="7CBD3F"/>
        </w:rPr>
      </w:pPr>
      <w:r>
        <w:rPr>
          <w:rFonts w:ascii="Arial" w:cs="Arial" w:eastAsia="Arial" w:hAnsi="Arial"/>
          <w:sz w:val="14"/>
          <w:szCs w:val="14"/>
          <w:color w:val="auto"/>
        </w:rPr>
        <w:t>Prohibition against hedging and pledging transactions by our directors and employees, including our executive officers</w:t>
      </w:r>
    </w:p>
    <w:p>
      <w:pPr>
        <w:spacing w:after="0" w:line="72" w:lineRule="exact"/>
        <w:rPr>
          <w:rFonts w:ascii="Arial" w:cs="Arial" w:eastAsia="Arial" w:hAnsi="Arial"/>
          <w:sz w:val="14"/>
          <w:szCs w:val="14"/>
          <w:color w:val="7CBD3F"/>
        </w:rPr>
      </w:pPr>
    </w:p>
    <w:p>
      <w:pPr>
        <w:ind w:left="147" w:hanging="147"/>
        <w:spacing w:after="0"/>
        <w:tabs>
          <w:tab w:leader="none" w:pos="147" w:val="left"/>
        </w:tabs>
        <w:numPr>
          <w:ilvl w:val="0"/>
          <w:numId w:val="1"/>
        </w:numPr>
        <w:rPr>
          <w:rFonts w:ascii="Arial" w:cs="Arial" w:eastAsia="Arial" w:hAnsi="Arial"/>
          <w:sz w:val="14"/>
          <w:szCs w:val="14"/>
          <w:color w:val="7CBD3F"/>
        </w:rPr>
      </w:pPr>
      <w:r>
        <w:rPr>
          <w:rFonts w:ascii="Arial" w:cs="Arial" w:eastAsia="Arial" w:hAnsi="Arial"/>
          <w:sz w:val="14"/>
          <w:szCs w:val="14"/>
          <w:color w:val="auto"/>
        </w:rPr>
        <w:t>Mixture of short, medium and long-tenured directors</w:t>
      </w:r>
    </w:p>
    <w:p>
      <w:pPr>
        <w:spacing w:after="0" w:line="72" w:lineRule="exact"/>
        <w:rPr>
          <w:rFonts w:ascii="Arial" w:cs="Arial" w:eastAsia="Arial" w:hAnsi="Arial"/>
          <w:sz w:val="14"/>
          <w:szCs w:val="14"/>
          <w:color w:val="7CBD3F"/>
        </w:rPr>
      </w:pPr>
    </w:p>
    <w:p>
      <w:pPr>
        <w:ind w:left="147" w:hanging="147"/>
        <w:spacing w:after="0"/>
        <w:tabs>
          <w:tab w:leader="none" w:pos="147" w:val="left"/>
        </w:tabs>
        <w:numPr>
          <w:ilvl w:val="0"/>
          <w:numId w:val="1"/>
        </w:numPr>
        <w:rPr>
          <w:rFonts w:ascii="Arial" w:cs="Arial" w:eastAsia="Arial" w:hAnsi="Arial"/>
          <w:sz w:val="14"/>
          <w:szCs w:val="14"/>
          <w:color w:val="7CBD3F"/>
        </w:rPr>
      </w:pPr>
      <w:r>
        <w:rPr>
          <w:rFonts w:ascii="Arial" w:cs="Arial" w:eastAsia="Arial" w:hAnsi="Arial"/>
          <w:sz w:val="14"/>
          <w:szCs w:val="14"/>
          <w:color w:val="auto"/>
        </w:rPr>
        <w:t>Corporate Governance Guidelines and robust Global Code of Conduct</w:t>
      </w:r>
    </w:p>
    <w:p>
      <w:pPr>
        <w:spacing w:after="0" w:line="165" w:lineRule="exact"/>
        <w:rPr>
          <w:sz w:val="20"/>
          <w:szCs w:val="20"/>
          <w:color w:val="auto"/>
        </w:rPr>
      </w:pPr>
    </w:p>
    <w:p>
      <w:pPr>
        <w:jc w:val="right"/>
        <w:spacing w:after="0"/>
        <w:tabs>
          <w:tab w:leader="none" w:pos="60" w:val="left"/>
        </w:tabs>
        <w:rPr>
          <w:sz w:val="20"/>
          <w:szCs w:val="20"/>
          <w:color w:val="auto"/>
        </w:rPr>
      </w:pPr>
      <w:r>
        <w:rPr>
          <w:rFonts w:ascii="Arial" w:cs="Arial" w:eastAsia="Arial" w:hAnsi="Arial"/>
          <w:sz w:val="14"/>
          <w:szCs w:val="14"/>
          <w:b w:val="1"/>
          <w:bCs w:val="1"/>
          <w:color w:val="auto"/>
        </w:rPr>
        <w:t xml:space="preserve">ULTRAGENYX PHARMACEUTICAL INC. </w:t>
      </w:r>
      <w:r>
        <w:rPr>
          <w:rFonts w:ascii="Arial" w:cs="Arial" w:eastAsia="Arial" w:hAnsi="Arial"/>
          <w:sz w:val="14"/>
          <w:szCs w:val="14"/>
          <w:color w:val="7CBD3F"/>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2025 Proxy Statement</w:t>
      </w:r>
      <w:r>
        <w:rPr>
          <w:rFonts w:ascii="Arial" w:cs="Arial" w:eastAsia="Arial" w:hAnsi="Arial"/>
          <w:sz w:val="14"/>
          <w:szCs w:val="14"/>
          <w:b w:val="1"/>
          <w:bCs w:val="1"/>
          <w:color w:val="auto"/>
        </w:rPr>
        <w:tab/>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150735"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0735" cy="29845"/>
                    </a:xfrm>
                    <a:prstGeom prst="rect">
                      <a:avLst/>
                    </a:prstGeom>
                    <a:noFill/>
                  </pic:spPr>
                </pic:pic>
              </a:graphicData>
            </a:graphic>
          </wp:anchor>
        </w:drawing>
      </w:r>
    </w:p>
    <w:p>
      <w:pPr>
        <w:sectPr>
          <w:pgSz w:w="11900" w:h="16838" w:orient="portrait"/>
          <w:cols w:equalWidth="0" w:num="1">
            <w:col w:w="11267"/>
          </w:cols>
          <w:pgMar w:left="313" w:top="225" w:right="319" w:bottom="1440" w:gutter="0" w:footer="0" w:header="0"/>
        </w:sectPr>
      </w:pPr>
    </w:p>
    <w:bookmarkStart w:id="9" w:name="page10"/>
    <w:bookmarkEnd w:id="9"/>
    <w:p>
      <w:pPr>
        <w:spacing w:after="0"/>
        <w:rPr>
          <w:sz w:val="20"/>
          <w:szCs w:val="20"/>
          <w:color w:val="auto"/>
        </w:rPr>
      </w:pPr>
      <w:r>
        <w:rPr>
          <w:rFonts w:ascii="Arial" w:cs="Arial" w:eastAsia="Arial" w:hAnsi="Arial"/>
          <w:sz w:val="12"/>
          <w:szCs w:val="12"/>
          <w:b w:val="1"/>
          <w:bCs w:val="1"/>
          <w:u w:val="single" w:color="auto"/>
          <w:color w:val="0000EE"/>
        </w:rPr>
        <w:t>Back to Contents</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743E79"/>
        </w:rPr>
        <w:t>PROPOSAL 1</w:t>
      </w:r>
    </w:p>
    <w:p>
      <w:pPr>
        <w:spacing w:after="0" w:line="23" w:lineRule="exact"/>
        <w:rPr>
          <w:sz w:val="20"/>
          <w:szCs w:val="20"/>
          <w:color w:val="auto"/>
        </w:rPr>
      </w:pPr>
    </w:p>
    <w:p>
      <w:pPr>
        <w:spacing w:after="0"/>
        <w:rPr>
          <w:sz w:val="20"/>
          <w:szCs w:val="20"/>
          <w:color w:val="auto"/>
        </w:rPr>
      </w:pPr>
      <w:r>
        <w:rPr>
          <w:rFonts w:ascii="Arial" w:cs="Arial" w:eastAsia="Arial" w:hAnsi="Arial"/>
          <w:sz w:val="31"/>
          <w:szCs w:val="31"/>
          <w:b w:val="1"/>
          <w:bCs w:val="1"/>
          <w:color w:val="7CBD3F"/>
        </w:rPr>
        <w:t>Election of Class III Directors</w:t>
      </w:r>
    </w:p>
    <w:p>
      <w:pPr>
        <w:spacing w:after="0" w:line="320"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Our Amended and Restated Certificate of Incorporation provides that the Board is to be divided into three classes as nearly equal in number as reasonably possible, with directors in each class generally serving three-year terms. The total Board size is currently fixed at eight directors. The Class III directors (whose terms expire at the Annual Meeting) are Matthew K. Fust and Amrit Ray, M.D. Mr. Fust and Dr. Ray were most recently elected by stockholders at the 2022 Annual Meeting. The Class I directors (whose terms expire at the 2026 Annual Meeting) are Emil D. Kakkis, M.D., Ph.D., Shehnaaz Suliman, M.D., and Daniel G. Welch. The Class II directors (whose terms expire at the 2027 Annual Meeting) are Deborah Dunsire, M.D., Michael Narachi and Corsee D. Sanders, Ph.D. The Class III directors elected at the Annual Meeting will hold office until the 2028 Annual Meeting or until their successors are elected and qualified, unless they resign or their seats become vacant due to death, removal, or other cause in accordance with our Amended and Restated Bylaws (bylaws).</w:t>
      </w:r>
    </w:p>
    <w:p>
      <w:pPr>
        <w:spacing w:after="0" w:line="136"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As described below, the Board, upon the recommendation of the Nominating and Corporate Governance Committee, has nominated the director nominees listed above for election as directors at the Annual Meeting. They have indicated their willingness and ability to serve if elected. Should any of them become unable or, for good cause, unwilling to serve, the persons named on the enclosed proxy card as proxy holders may vote all proxies given in response to this solicitation for the election of a substitute nominee(s) chosen by the Board or the Board may reduce the size of the Board.</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Nomination of Directors</w:t>
      </w:r>
    </w:p>
    <w:p>
      <w:pPr>
        <w:spacing w:after="0" w:line="222" w:lineRule="exact"/>
        <w:rPr>
          <w:sz w:val="20"/>
          <w:szCs w:val="20"/>
          <w:color w:val="auto"/>
        </w:rPr>
      </w:pPr>
    </w:p>
    <w:p>
      <w:pPr>
        <w:jc w:val="both"/>
        <w:spacing w:after="0" w:line="247" w:lineRule="auto"/>
        <w:rPr>
          <w:sz w:val="20"/>
          <w:szCs w:val="20"/>
          <w:color w:val="auto"/>
        </w:rPr>
      </w:pPr>
      <w:r>
        <w:rPr>
          <w:rFonts w:ascii="Arial" w:cs="Arial" w:eastAsia="Arial" w:hAnsi="Arial"/>
          <w:sz w:val="14"/>
          <w:szCs w:val="14"/>
          <w:color w:val="auto"/>
        </w:rPr>
        <w:t>The Nominating and Corporate Governance Committee reviews and recommends to the Board potential nominees for election to the Board. In reviewing potential nominees, the Nominating and Corporate Governance Committee considers the qualifications of each potential nominee in light of the Board’s existing and desired mix of experience and expertise. Specifically, the Nominating and Corporate Governance Committee considers each potential nominee’s personal and professional ethics, integrity, values, experience, interest in the Company, and commitment to the representation of the long-term interests of the stockholders. As described more fully above under “Proxy Statement Overview – Building the Right Board”, the Nominating and Corporate Governance Committee also considers each potential nominee’s contribution to the Board’s composition as whole with in achieving a mix of knowledge, skills, experience, and background. The Board has adopted a policy in the Company’s Corporate Governance Guidelines, which provides that as part of the search process for each new director, the Nominating and Corporate Governance Committee will add diverse candidates into the pool of candidates (and instructs any search firm the Nominating and Corporate Governance Committee engages to do so). Directors ultimately are selected based on the skills, experiences and qualifications that best support the Company in the context of the Board as a whole.</w:t>
      </w:r>
    </w:p>
    <w:p>
      <w:pPr>
        <w:spacing w:after="0" w:line="141"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 xml:space="preserve">Additionally, the Nominating and Corporate Governance Committee considers whether a nominee will be able to dedicate sufficient time to, and focus on, his or her duties as a member of the Board. The Board membership criteria are set forth in our Corporate Governance Guidelines, a copy of which is available on our website at </w:t>
      </w:r>
      <w:r>
        <w:rPr>
          <w:rFonts w:ascii="Arial" w:cs="Arial" w:eastAsia="Arial" w:hAnsi="Arial"/>
          <w:sz w:val="14"/>
          <w:szCs w:val="14"/>
          <w:i w:val="1"/>
          <w:iCs w:val="1"/>
          <w:color w:val="auto"/>
        </w:rPr>
        <w:t>www.ultragenyx.com</w:t>
      </w:r>
      <w:r>
        <w:rPr>
          <w:rFonts w:ascii="Arial" w:cs="Arial" w:eastAsia="Arial" w:hAnsi="Arial"/>
          <w:sz w:val="14"/>
          <w:szCs w:val="14"/>
          <w:color w:val="auto"/>
        </w:rPr>
        <w:t xml:space="preserve"> in the “Corporate Governance” subsection of the “Investors” tab. The Nominating and Corporate Governance Committee assesses its effectiveness in balancing these considerations in connection with its annual evaluation of the composition of the Board.</w:t>
      </w:r>
    </w:p>
    <w:p>
      <w:pPr>
        <w:spacing w:after="0" w:line="132" w:lineRule="exact"/>
        <w:rPr>
          <w:sz w:val="20"/>
          <w:szCs w:val="20"/>
          <w:color w:val="auto"/>
        </w:rPr>
      </w:pPr>
    </w:p>
    <w:p>
      <w:pPr>
        <w:jc w:val="both"/>
        <w:ind w:right="20"/>
        <w:spacing w:after="0" w:line="278" w:lineRule="auto"/>
        <w:rPr>
          <w:sz w:val="20"/>
          <w:szCs w:val="20"/>
          <w:color w:val="auto"/>
        </w:rPr>
      </w:pPr>
      <w:r>
        <w:rPr>
          <w:rFonts w:ascii="Arial" w:cs="Arial" w:eastAsia="Arial" w:hAnsi="Arial"/>
          <w:sz w:val="14"/>
          <w:szCs w:val="14"/>
          <w:color w:val="auto"/>
        </w:rPr>
        <w:t>After reviewing the qualifications of potential Board candidates, the Nominating and Corporate Governance Committee presents its recommendations to the Board, which selects the final director nominees. We did not pay any fees to any third party to identify or assist in identifying or evaluating nominees for the Annual Meeting.</w:t>
      </w:r>
    </w:p>
    <w:p>
      <w:pPr>
        <w:spacing w:after="0" w:line="117" w:lineRule="exact"/>
        <w:rPr>
          <w:sz w:val="20"/>
          <w:szCs w:val="20"/>
          <w:color w:val="auto"/>
        </w:rPr>
      </w:pPr>
    </w:p>
    <w:p>
      <w:pPr>
        <w:jc w:val="both"/>
        <w:spacing w:after="0" w:line="250" w:lineRule="auto"/>
        <w:rPr>
          <w:sz w:val="20"/>
          <w:szCs w:val="20"/>
          <w:color w:val="auto"/>
        </w:rPr>
      </w:pPr>
      <w:r>
        <w:rPr>
          <w:rFonts w:ascii="Arial" w:cs="Arial" w:eastAsia="Arial" w:hAnsi="Arial"/>
          <w:sz w:val="14"/>
          <w:szCs w:val="14"/>
          <w:color w:val="auto"/>
        </w:rPr>
        <w:t xml:space="preserve">The Nominating and Corporate Governance Committee considers stockholder-recommended director nominees using the same criteria set forth above and in the same manner as director candidates recommended by other sources. Stockholders who wish to recommend a potential nominee to the Nominating and Corporate Governance Committee for consideration for election at a future annual meeting of stockholders must submit such recommendation to the Nominating and Corporate Governance Committee as described in the section entitled “Stockholder Communications” and provide the Nominating and Corporate Governance Committee with the same information that would be required to nominate a director candidate in accordance with the process and within the deadline for nominating director candidates set forth below under the question </w:t>
      </w:r>
      <w:r>
        <w:rPr>
          <w:rFonts w:ascii="Arial" w:cs="Arial" w:eastAsia="Arial" w:hAnsi="Arial"/>
          <w:sz w:val="14"/>
          <w:szCs w:val="14"/>
          <w:i w:val="1"/>
          <w:iCs w:val="1"/>
          <w:color w:val="auto"/>
        </w:rPr>
        <w:t>“When are other proposals and</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director nominations for next year’s annual meeting due?” </w:t>
      </w:r>
      <w:r>
        <w:rPr>
          <w:rFonts w:ascii="Arial" w:cs="Arial" w:eastAsia="Arial" w:hAnsi="Arial"/>
          <w:sz w:val="14"/>
          <w:szCs w:val="14"/>
          <w:color w:val="auto"/>
        </w:rPr>
        <w:t>in the section entitled “Additional Information”.</w:t>
      </w:r>
    </w:p>
    <w:p>
      <w:pPr>
        <w:spacing w:after="0" w:line="136" w:lineRule="exact"/>
        <w:rPr>
          <w:sz w:val="20"/>
          <w:szCs w:val="20"/>
          <w:color w:val="auto"/>
        </w:rPr>
      </w:pPr>
    </w:p>
    <w:p>
      <w:pPr>
        <w:jc w:val="right"/>
        <w:spacing w:after="0"/>
        <w:tabs>
          <w:tab w:leader="none" w:pos="60" w:val="left"/>
        </w:tabs>
        <w:rPr>
          <w:sz w:val="20"/>
          <w:szCs w:val="20"/>
          <w:color w:val="auto"/>
        </w:rPr>
      </w:pPr>
      <w:r>
        <w:rPr>
          <w:rFonts w:ascii="Arial" w:cs="Arial" w:eastAsia="Arial" w:hAnsi="Arial"/>
          <w:sz w:val="14"/>
          <w:szCs w:val="14"/>
          <w:b w:val="1"/>
          <w:bCs w:val="1"/>
          <w:color w:val="auto"/>
        </w:rPr>
        <w:t xml:space="preserve">ULTRAGENYX PHARMACEUTICAL INC. </w:t>
      </w:r>
      <w:r>
        <w:rPr>
          <w:rFonts w:ascii="Arial" w:cs="Arial" w:eastAsia="Arial" w:hAnsi="Arial"/>
          <w:sz w:val="14"/>
          <w:szCs w:val="14"/>
          <w:color w:val="7CBD3F"/>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2025 Proxy Statement</w:t>
      </w:r>
      <w:r>
        <w:rPr>
          <w:rFonts w:ascii="Arial" w:cs="Arial" w:eastAsia="Arial" w:hAnsi="Arial"/>
          <w:sz w:val="14"/>
          <w:szCs w:val="14"/>
          <w:b w:val="1"/>
          <w:bCs w:val="1"/>
          <w:color w:val="auto"/>
        </w:rPr>
        <w:tab/>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142240</wp:posOffset>
            </wp:positionV>
            <wp:extent cx="7150735"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0735" cy="29845"/>
                    </a:xfrm>
                    <a:prstGeom prst="rect">
                      <a:avLst/>
                    </a:prstGeom>
                    <a:noFill/>
                  </pic:spPr>
                </pic:pic>
              </a:graphicData>
            </a:graphic>
          </wp:anchor>
        </w:drawing>
      </w:r>
    </w:p>
    <w:p>
      <w:pPr>
        <w:sectPr>
          <w:pgSz w:w="11900" w:h="16838" w:orient="portrait"/>
          <w:cols w:equalWidth="0" w:num="1">
            <w:col w:w="11260"/>
          </w:cols>
          <w:pgMar w:left="320" w:top="225" w:right="319" w:bottom="1440" w:gutter="0" w:footer="0" w:header="0"/>
        </w:sectPr>
      </w:pPr>
    </w:p>
    <w:bookmarkStart w:id="10" w:name="page11"/>
    <w:bookmarkEnd w:id="10"/>
    <w:p>
      <w:pPr>
        <w:spacing w:after="0"/>
        <w:rPr>
          <w:sz w:val="20"/>
          <w:szCs w:val="20"/>
          <w:color w:val="auto"/>
        </w:rPr>
      </w:pPr>
      <w:r>
        <w:rPr>
          <w:rFonts w:ascii="Arial" w:cs="Arial" w:eastAsia="Arial" w:hAnsi="Arial"/>
          <w:sz w:val="12"/>
          <w:szCs w:val="12"/>
          <w:b w:val="1"/>
          <w:bCs w:val="1"/>
          <w:u w:val="single" w:color="auto"/>
          <w:color w:val="0000EE"/>
        </w:rPr>
        <w:t>Back to Contents</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Nominees and Incumbent Directors</w:t>
      </w:r>
    </w:p>
    <w:p>
      <w:pPr>
        <w:spacing w:after="0" w:line="222" w:lineRule="exact"/>
        <w:rPr>
          <w:sz w:val="20"/>
          <w:szCs w:val="20"/>
          <w:color w:val="auto"/>
        </w:rPr>
      </w:pPr>
    </w:p>
    <w:p>
      <w:pPr>
        <w:ind w:right="20"/>
        <w:spacing w:after="0" w:line="278" w:lineRule="auto"/>
        <w:rPr>
          <w:sz w:val="20"/>
          <w:szCs w:val="20"/>
          <w:color w:val="auto"/>
        </w:rPr>
      </w:pPr>
      <w:r>
        <w:rPr>
          <w:rFonts w:ascii="Arial" w:cs="Arial" w:eastAsia="Arial" w:hAnsi="Arial"/>
          <w:sz w:val="14"/>
          <w:szCs w:val="14"/>
          <w:color w:val="auto"/>
        </w:rPr>
        <w:t>Information regarding our director nominees and our current directors, including their respective age as of the date of this Proxy Statement and their principal occupation, is set forth below.</w:t>
      </w:r>
    </w:p>
    <w:p>
      <w:pPr>
        <w:spacing w:after="0" w:line="2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Class III Directors Nominated for Election</w:t>
      </w:r>
    </w:p>
    <w:p>
      <w:pPr>
        <w:spacing w:after="0" w:line="33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7CBD3F"/>
        </w:rPr>
        <w:t>Matthew K. Fust</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Board member and advisor to various life science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8890</wp:posOffset>
            </wp:positionV>
            <wp:extent cx="7150735" cy="16802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0735" cy="1680210"/>
                    </a:xfrm>
                    <a:prstGeom prst="rect">
                      <a:avLst/>
                    </a:prstGeom>
                    <a:noFill/>
                  </pic:spPr>
                </pic:pic>
              </a:graphicData>
            </a:graphic>
          </wp:anchor>
        </w:drawing>
      </w:r>
    </w:p>
    <w:p>
      <w:pPr>
        <w:sectPr>
          <w:pgSz w:w="11900" w:h="16838" w:orient="portrait"/>
          <w:cols w:equalWidth="0" w:num="1">
            <w:col w:w="11260"/>
          </w:cols>
          <w:pgMar w:left="320" w:top="225" w:right="319" w:bottom="1440" w:gutter="0" w:footer="0" w:header="0"/>
        </w:sectPr>
      </w:pPr>
    </w:p>
    <w:p>
      <w:pPr>
        <w:spacing w:after="0" w:line="48"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b w:val="1"/>
          <w:bCs w:val="1"/>
          <w:color w:val="7CBD3F"/>
        </w:rPr>
        <w:t>60</w:t>
      </w:r>
    </w:p>
    <w:p>
      <w:pPr>
        <w:spacing w:after="0" w:line="84"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 xml:space="preserve">Director since: </w:t>
      </w:r>
      <w:r>
        <w:rPr>
          <w:rFonts w:ascii="Arial" w:cs="Arial" w:eastAsia="Arial" w:hAnsi="Arial"/>
          <w:sz w:val="14"/>
          <w:szCs w:val="14"/>
          <w:b w:val="1"/>
          <w:bCs w:val="1"/>
          <w:color w:val="7CBD3F"/>
        </w:rPr>
        <w:t>2014</w:t>
      </w:r>
    </w:p>
    <w:p>
      <w:pPr>
        <w:spacing w:after="0" w:line="84"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7CBD3F"/>
        </w:rPr>
        <w:t>INDEPENDENT</w:t>
      </w:r>
    </w:p>
    <w:p>
      <w:pPr>
        <w:spacing w:after="0" w:line="84"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 xml:space="preserve">Committees: </w:t>
      </w:r>
      <w:r>
        <w:rPr>
          <w:rFonts w:ascii="Arial" w:cs="Arial" w:eastAsia="Arial" w:hAnsi="Arial"/>
          <w:sz w:val="14"/>
          <w:szCs w:val="14"/>
          <w:b w:val="1"/>
          <w:bCs w:val="1"/>
          <w:color w:val="7CBD3F"/>
        </w:rPr>
        <w:t>2</w:t>
      </w:r>
    </w:p>
    <w:p>
      <w:pPr>
        <w:spacing w:after="0" w:line="84" w:lineRule="exact"/>
        <w:rPr>
          <w:sz w:val="20"/>
          <w:szCs w:val="20"/>
          <w:color w:val="auto"/>
        </w:rPr>
      </w:pPr>
    </w:p>
    <w:p>
      <w:pPr>
        <w:ind w:left="80"/>
        <w:spacing w:after="0"/>
        <w:rPr>
          <w:sz w:val="20"/>
          <w:szCs w:val="20"/>
          <w:color w:val="auto"/>
        </w:rPr>
      </w:pPr>
      <w:r>
        <w:rPr>
          <w:rFonts w:ascii="Arial" w:cs="Arial" w:eastAsia="Arial" w:hAnsi="Arial"/>
          <w:sz w:val="13"/>
          <w:szCs w:val="13"/>
          <w:b w:val="1"/>
          <w:bCs w:val="1"/>
          <w:color w:val="auto"/>
        </w:rPr>
        <w:t xml:space="preserve">Other Public Directorships: </w:t>
      </w:r>
      <w:r>
        <w:rPr>
          <w:rFonts w:ascii="Arial" w:cs="Arial" w:eastAsia="Arial" w:hAnsi="Arial"/>
          <w:sz w:val="13"/>
          <w:szCs w:val="13"/>
          <w:b w:val="1"/>
          <w:bCs w:val="1"/>
          <w:color w:val="7CBD3F"/>
        </w:rPr>
        <w:t>3</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jc w:val="both"/>
        <w:ind w:right="80"/>
        <w:spacing w:after="0" w:line="246" w:lineRule="auto"/>
        <w:rPr>
          <w:sz w:val="20"/>
          <w:szCs w:val="20"/>
          <w:color w:val="auto"/>
        </w:rPr>
      </w:pPr>
      <w:r>
        <w:rPr>
          <w:rFonts w:ascii="Arial" w:cs="Arial" w:eastAsia="Arial" w:hAnsi="Arial"/>
          <w:sz w:val="14"/>
          <w:szCs w:val="14"/>
          <w:color w:val="auto"/>
        </w:rPr>
        <w:t>Mr. Fust is a board member and advisor to life science companies. Mr. Fust currently serves on the board of directors of Atara Biotherapeutics, Inc., Crinetics Pharmaceuticals, Inc. and Neumora Therapeutics Inc., all of which are publicly traded biopharmaceutical companies. Mr. Fust also previously served on the board of directors of Dermira, Inc., a biopharmaceutical company, from August 2014 to February 2020 and the board of MacroGenics, Inc., a biotechnology company, from March 2014 to May 2020. He retired as Executive Vice President of Onyx Pharmaceuticals, Inc., a biopharmaceutical company, where he served from January 2009 to January 2014. From May 2003 to December 2008, Mr. Fust served as Chief Financial Officer at Jazz Pharmaceuticals, Inc., a specialty pharmaceutical company. From 2002 to 2003, Mr. Fust served as Chief Financial Officer at Perlegen Sciences, Inc., a biopharmaceutical company. Previously, he was Senior Vice President and Chief Financial Officer at ALZA Corporation, a pharmaceutical company, where he was an executive from 1996 to 2002. From 1991 to 1996, Mr. Fust was a manager in the healthcare strategy practice at Andersen Consulting, a consulting company. Mr. Fust holds a B.A. in Accounting from the University of Minnesota and an M.B.A. from the Stanford Graduate School of Business.</w:t>
      </w:r>
    </w:p>
    <w:p>
      <w:pPr>
        <w:spacing w:after="0" w:line="38" w:lineRule="exact"/>
        <w:rPr>
          <w:sz w:val="20"/>
          <w:szCs w:val="20"/>
          <w:color w:val="auto"/>
        </w:rPr>
      </w:pPr>
    </w:p>
    <w:p>
      <w:pPr>
        <w:spacing w:after="0"/>
        <w:rPr>
          <w:sz w:val="20"/>
          <w:szCs w:val="20"/>
          <w:color w:val="auto"/>
        </w:rPr>
      </w:pPr>
      <w:r>
        <w:rPr>
          <w:rFonts w:ascii="Arial" w:cs="Arial" w:eastAsia="Arial" w:hAnsi="Arial"/>
          <w:sz w:val="14"/>
          <w:szCs w:val="14"/>
          <w:b w:val="1"/>
          <w:bCs w:val="1"/>
          <w:color w:val="7CBD3F"/>
        </w:rPr>
        <w:t>Skills and Qualifications specific to Ultragenyx:</w:t>
      </w:r>
    </w:p>
    <w:p>
      <w:pPr>
        <w:spacing w:after="0" w:line="61" w:lineRule="exact"/>
        <w:rPr>
          <w:sz w:val="20"/>
          <w:szCs w:val="20"/>
          <w:color w:val="auto"/>
        </w:rPr>
      </w:pPr>
    </w:p>
    <w:p>
      <w:pPr>
        <w:jc w:val="both"/>
        <w:ind w:right="80"/>
        <w:spacing w:after="0" w:line="260" w:lineRule="auto"/>
        <w:rPr>
          <w:sz w:val="20"/>
          <w:szCs w:val="20"/>
          <w:color w:val="auto"/>
        </w:rPr>
      </w:pPr>
      <w:r>
        <w:rPr>
          <w:rFonts w:ascii="Arial" w:cs="Arial" w:eastAsia="Arial" w:hAnsi="Arial"/>
          <w:sz w:val="14"/>
          <w:szCs w:val="14"/>
          <w:color w:val="auto"/>
        </w:rPr>
        <w:t>We believe that Mr. Fust is qualified to serve on our Board due to his extensive experience in the life sciences industry, his financial experience and ability to be our “audit committee financial expert,” and his service as a director of other public biopharmaceutical companies.</w:t>
      </w:r>
    </w:p>
    <w:p>
      <w:pPr>
        <w:spacing w:after="0" w:line="200" w:lineRule="exact"/>
        <w:rPr>
          <w:sz w:val="20"/>
          <w:szCs w:val="20"/>
          <w:color w:val="auto"/>
        </w:rPr>
      </w:pPr>
    </w:p>
    <w:p>
      <w:pPr>
        <w:sectPr>
          <w:pgSz w:w="11900" w:h="16838" w:orient="portrait"/>
          <w:cols w:equalWidth="0" w:num="2">
            <w:col w:w="2220" w:space="720"/>
            <w:col w:w="8320"/>
          </w:cols>
          <w:pgMar w:left="320" w:top="225" w:right="319" w:bottom="1440" w:gutter="0" w:footer="0" w:header="0"/>
          <w:type w:val="continuous"/>
        </w:sectPr>
      </w:pPr>
    </w:p>
    <w:p>
      <w:pPr>
        <w:spacing w:after="0" w:line="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7CBD3F"/>
        </w:rPr>
        <w:t>Amrit Ray, M.D., M.B.A.</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Board member and advisor to various life science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50735" cy="17843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0735" cy="1784350"/>
                    </a:xfrm>
                    <a:prstGeom prst="rect">
                      <a:avLst/>
                    </a:prstGeom>
                    <a:noFill/>
                  </pic:spPr>
                </pic:pic>
              </a:graphicData>
            </a:graphic>
          </wp:anchor>
        </w:drawing>
      </w:r>
    </w:p>
    <w:p>
      <w:pPr>
        <w:sectPr>
          <w:pgSz w:w="11900" w:h="16838" w:orient="portrait"/>
          <w:cols w:equalWidth="0" w:num="1">
            <w:col w:w="11260"/>
          </w:cols>
          <w:pgMar w:left="320" w:top="225" w:right="319" w:bottom="1440" w:gutter="0" w:footer="0" w:header="0"/>
          <w:type w:val="continuous"/>
        </w:sectPr>
      </w:pPr>
    </w:p>
    <w:p>
      <w:pPr>
        <w:spacing w:after="0" w:line="60"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b w:val="1"/>
          <w:bCs w:val="1"/>
          <w:color w:val="7CBD3F"/>
        </w:rPr>
        <w:t>52</w:t>
      </w:r>
    </w:p>
    <w:p>
      <w:pPr>
        <w:spacing w:after="0" w:line="84"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 xml:space="preserve">Director since: </w:t>
      </w:r>
      <w:r>
        <w:rPr>
          <w:rFonts w:ascii="Arial" w:cs="Arial" w:eastAsia="Arial" w:hAnsi="Arial"/>
          <w:sz w:val="14"/>
          <w:szCs w:val="14"/>
          <w:b w:val="1"/>
          <w:bCs w:val="1"/>
          <w:color w:val="7CBD3F"/>
        </w:rPr>
        <w:t>2022</w:t>
      </w:r>
    </w:p>
    <w:p>
      <w:pPr>
        <w:spacing w:after="0" w:line="84"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7CBD3F"/>
        </w:rPr>
        <w:t>INDEPENDENT</w:t>
      </w:r>
    </w:p>
    <w:p>
      <w:pPr>
        <w:spacing w:after="0" w:line="84"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 xml:space="preserve">Committees: </w:t>
      </w:r>
      <w:r>
        <w:rPr>
          <w:rFonts w:ascii="Arial" w:cs="Arial" w:eastAsia="Arial" w:hAnsi="Arial"/>
          <w:sz w:val="14"/>
          <w:szCs w:val="14"/>
          <w:b w:val="1"/>
          <w:bCs w:val="1"/>
          <w:color w:val="7CBD3F"/>
        </w:rPr>
        <w:t>1</w:t>
      </w:r>
    </w:p>
    <w:p>
      <w:pPr>
        <w:spacing w:after="0" w:line="84" w:lineRule="exact"/>
        <w:rPr>
          <w:sz w:val="20"/>
          <w:szCs w:val="20"/>
          <w:color w:val="auto"/>
        </w:rPr>
      </w:pPr>
    </w:p>
    <w:p>
      <w:pPr>
        <w:ind w:left="80"/>
        <w:spacing w:after="0"/>
        <w:rPr>
          <w:sz w:val="20"/>
          <w:szCs w:val="20"/>
          <w:color w:val="auto"/>
        </w:rPr>
      </w:pPr>
      <w:r>
        <w:rPr>
          <w:rFonts w:ascii="Arial" w:cs="Arial" w:eastAsia="Arial" w:hAnsi="Arial"/>
          <w:sz w:val="13"/>
          <w:szCs w:val="13"/>
          <w:b w:val="1"/>
          <w:bCs w:val="1"/>
          <w:color w:val="auto"/>
        </w:rPr>
        <w:t xml:space="preserve">Other Public Directorships: </w:t>
      </w:r>
      <w:r>
        <w:rPr>
          <w:rFonts w:ascii="Arial" w:cs="Arial" w:eastAsia="Arial" w:hAnsi="Arial"/>
          <w:sz w:val="13"/>
          <w:szCs w:val="13"/>
          <w:b w:val="1"/>
          <w:bCs w:val="1"/>
          <w:color w:val="7CBD3F"/>
        </w:rPr>
        <w:t>1</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jc w:val="both"/>
        <w:ind w:right="80"/>
        <w:spacing w:after="0" w:line="246" w:lineRule="auto"/>
        <w:rPr>
          <w:sz w:val="20"/>
          <w:szCs w:val="20"/>
          <w:color w:val="auto"/>
        </w:rPr>
      </w:pPr>
      <w:r>
        <w:rPr>
          <w:rFonts w:ascii="Arial" w:cs="Arial" w:eastAsia="Arial" w:hAnsi="Arial"/>
          <w:sz w:val="14"/>
          <w:szCs w:val="14"/>
          <w:color w:val="auto"/>
        </w:rPr>
        <w:t>Dr. Ray is a board member and advisor to life science companies. Dr. Ray currently serves on the board of directors of Fortrea Holdings Inc., a publicly traded, global clinical research organization, and on the board of directors of several privately owned life science companies. Previously, Dr. Ray served as Chief Patient Officer at Biohaven Ltd. a public biopharmaceutical company, from March 2022 to December 2022 when acquired by Pfizer. Prior to his role at Biohaven, he served as Senior Adviser to Bain Capital Life Sciences, an investment company, from February 2021 to March 2022. Prior to Bain Capital, Dr. Ray served as Global President, Head of R&amp;D and Medical, for Pfizer Essential Health and subsequently the Pfizer Upjohn division at Pfizer, Inc., a public pharmaceutical company, from 2017 to January 2021. Prior to Pfizer, he held positions of increasing responsibility at Johnson &amp; Johnson, a public pharmaceutical company, including serving as Senior Vice President, External Affairs (Science and Medicine) in 2017, Senior Vice President, Chief Medical Officer of Janssen from 2012 to 2017 and Senior Vice President, Chief Safety Officer from 2009 to 2012. Dr. Ray currently serves as a Trustee at the Board of the Hastings Center for Bioethics, and as a Visiting Professor of Practice, Faculty of Medical Sciences at Newcastle University in the United Kingdom. Dr. Ray holds a B.S., with Honours, in Immunology and a M.D. (M.B., Ch.B.) from the University of Edinburgh. He also holds an M.B.A. from the Tuck School of Business at Dartmouth College.</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b w:val="1"/>
          <w:bCs w:val="1"/>
          <w:color w:val="7CBD3F"/>
        </w:rPr>
        <w:t>Skills and Qualifications specific to Ultragenyx:</w:t>
      </w:r>
    </w:p>
    <w:p>
      <w:pPr>
        <w:spacing w:after="0" w:line="61" w:lineRule="exact"/>
        <w:rPr>
          <w:sz w:val="20"/>
          <w:szCs w:val="20"/>
          <w:color w:val="auto"/>
        </w:rPr>
      </w:pPr>
    </w:p>
    <w:p>
      <w:pPr>
        <w:jc w:val="both"/>
        <w:ind w:right="100"/>
        <w:spacing w:after="0" w:line="278" w:lineRule="auto"/>
        <w:rPr>
          <w:sz w:val="20"/>
          <w:szCs w:val="20"/>
          <w:color w:val="auto"/>
        </w:rPr>
      </w:pPr>
      <w:r>
        <w:rPr>
          <w:rFonts w:ascii="Arial" w:cs="Arial" w:eastAsia="Arial" w:hAnsi="Arial"/>
          <w:sz w:val="14"/>
          <w:szCs w:val="14"/>
          <w:color w:val="auto"/>
        </w:rPr>
        <w:t>We believe that Dr. Ray is qualified to serve on our Board due to his extensive experience in the life sciences industry, and particularly his research and development expertise.</w:t>
      </w:r>
    </w:p>
    <w:p>
      <w:pPr>
        <w:spacing w:after="0" w:line="152" w:lineRule="exact"/>
        <w:rPr>
          <w:sz w:val="20"/>
          <w:szCs w:val="20"/>
          <w:color w:val="auto"/>
        </w:rPr>
      </w:pPr>
    </w:p>
    <w:p>
      <w:pPr>
        <w:sectPr>
          <w:pgSz w:w="11900" w:h="16838" w:orient="portrait"/>
          <w:cols w:equalWidth="0" w:num="2">
            <w:col w:w="2220" w:space="720"/>
            <w:col w:w="8320"/>
          </w:cols>
          <w:pgMar w:left="320" w:top="225" w:right="319" w:bottom="1440" w:gutter="0" w:footer="0" w:header="0"/>
          <w:type w:val="continuous"/>
        </w:sectPr>
      </w:pPr>
    </w:p>
    <w:p>
      <w:pPr>
        <w:ind w:left="6840"/>
        <w:spacing w:after="0"/>
        <w:tabs>
          <w:tab w:leader="none" w:pos="11160" w:val="left"/>
        </w:tabs>
        <w:rPr>
          <w:sz w:val="20"/>
          <w:szCs w:val="20"/>
          <w:color w:val="auto"/>
        </w:rPr>
      </w:pPr>
      <w:r>
        <w:rPr>
          <w:rFonts w:ascii="Arial" w:cs="Arial" w:eastAsia="Arial" w:hAnsi="Arial"/>
          <w:sz w:val="14"/>
          <w:szCs w:val="14"/>
          <w:b w:val="1"/>
          <w:bCs w:val="1"/>
          <w:color w:val="221E1F"/>
        </w:rPr>
        <w:t xml:space="preserve">ULTRAGENYX PHARMACEUTICAL INC. </w:t>
      </w:r>
      <w:r>
        <w:rPr>
          <w:rFonts w:ascii="Arial" w:cs="Arial" w:eastAsia="Arial" w:hAnsi="Arial"/>
          <w:sz w:val="14"/>
          <w:szCs w:val="14"/>
          <w:color w:val="7BBD3E"/>
        </w:rPr>
        <w:t>•</w:t>
      </w:r>
      <w:r>
        <w:rPr>
          <w:rFonts w:ascii="Arial" w:cs="Arial" w:eastAsia="Arial" w:hAnsi="Arial"/>
          <w:sz w:val="14"/>
          <w:szCs w:val="14"/>
          <w:b w:val="1"/>
          <w:bCs w:val="1"/>
          <w:color w:val="221E1F"/>
        </w:rPr>
        <w:t xml:space="preserve"> </w:t>
      </w:r>
      <w:r>
        <w:rPr>
          <w:rFonts w:ascii="Arial" w:cs="Arial" w:eastAsia="Arial" w:hAnsi="Arial"/>
          <w:sz w:val="14"/>
          <w:szCs w:val="14"/>
          <w:color w:val="221E1F"/>
        </w:rPr>
        <w:t>2025 Proxy Statement</w:t>
      </w:r>
      <w:r>
        <w:rPr>
          <w:rFonts w:ascii="Arial" w:cs="Arial" w:eastAsia="Arial" w:hAnsi="Arial"/>
          <w:sz w:val="14"/>
          <w:szCs w:val="14"/>
          <w:b w:val="1"/>
          <w:bCs w:val="1"/>
          <w:color w:val="221E1F"/>
        </w:rPr>
        <w:tab/>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142240</wp:posOffset>
            </wp:positionV>
            <wp:extent cx="7150735"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0735" cy="29845"/>
                    </a:xfrm>
                    <a:prstGeom prst="rect">
                      <a:avLst/>
                    </a:prstGeom>
                    <a:noFill/>
                  </pic:spPr>
                </pic:pic>
              </a:graphicData>
            </a:graphic>
          </wp:anchor>
        </w:drawing>
      </w:r>
    </w:p>
    <w:p>
      <w:pPr>
        <w:sectPr>
          <w:pgSz w:w="11900" w:h="16838" w:orient="portrait"/>
          <w:cols w:equalWidth="0" w:num="1">
            <w:col w:w="11260"/>
          </w:cols>
          <w:pgMar w:left="320" w:top="225" w:right="31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2"/>
          <w:szCs w:val="12"/>
          <w:b w:val="1"/>
          <w:bCs w:val="1"/>
          <w:u w:val="single" w:color="auto"/>
          <w:color w:val="0000EE"/>
        </w:rPr>
        <w:t>Back to Contents</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Class I Directors Continuing in Office until 2026</w:t>
      </w:r>
    </w:p>
    <w:p>
      <w:pPr>
        <w:spacing w:after="0" w:line="26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7CBD3F"/>
        </w:rPr>
        <w:t>Emil D. Kakkis, M.D., Ph.D.</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Founder, President and CEO</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800" w:type="dxa"/>
            <w:vAlign w:val="bottom"/>
            <w:tcBorders>
              <w:top w:val="single" w:sz="8" w:color="7CBD3F"/>
            </w:tcBorders>
            <w:shd w:val="clear" w:color="auto" w:fill="F0F7E7"/>
          </w:tcPr>
          <w:p>
            <w:pPr>
              <w:ind w:left="8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b w:val="1"/>
                <w:bCs w:val="1"/>
                <w:color w:val="7CBD3F"/>
              </w:rPr>
              <w:t>64</w:t>
            </w:r>
          </w:p>
        </w:tc>
        <w:tc>
          <w:tcPr>
            <w:tcW w:w="8460" w:type="dxa"/>
            <w:vAlign w:val="bottom"/>
            <w:tcBorders>
              <w:top w:val="single" w:sz="8" w:color="7CBD3F"/>
            </w:tcBorders>
          </w:tcPr>
          <w:p>
            <w:pPr>
              <w:ind w:left="140"/>
              <w:spacing w:after="0"/>
              <w:rPr>
                <w:sz w:val="20"/>
                <w:szCs w:val="20"/>
                <w:color w:val="auto"/>
              </w:rPr>
            </w:pPr>
            <w:r>
              <w:rPr>
                <w:rFonts w:ascii="Arial" w:cs="Arial" w:eastAsia="Arial" w:hAnsi="Arial"/>
                <w:sz w:val="14"/>
                <w:szCs w:val="14"/>
                <w:color w:val="auto"/>
              </w:rPr>
              <w:t>Dr. Kakkis is our founder and has served as our President and Chief Executive Officer and as a member of our Board since our</w:t>
            </w:r>
          </w:p>
        </w:tc>
        <w:tc>
          <w:tcPr>
            <w:tcW w:w="0" w:type="dxa"/>
            <w:vAlign w:val="bottom"/>
          </w:tcPr>
          <w:p>
            <w:pPr>
              <w:spacing w:after="0"/>
              <w:rPr>
                <w:sz w:val="1"/>
                <w:szCs w:val="1"/>
                <w:color w:val="auto"/>
              </w:rPr>
            </w:pPr>
          </w:p>
        </w:tc>
      </w:tr>
      <w:tr>
        <w:trPr>
          <w:trHeight w:val="163"/>
        </w:trPr>
        <w:tc>
          <w:tcPr>
            <w:tcW w:w="2800" w:type="dxa"/>
            <w:vAlign w:val="bottom"/>
            <w:vMerge w:val="restart"/>
            <w:shd w:val="clear" w:color="auto" w:fill="F0F7E7"/>
          </w:tcPr>
          <w:p>
            <w:pPr>
              <w:ind w:left="80"/>
              <w:spacing w:after="0"/>
              <w:rPr>
                <w:sz w:val="20"/>
                <w:szCs w:val="20"/>
                <w:color w:val="auto"/>
              </w:rPr>
            </w:pPr>
            <w:r>
              <w:rPr>
                <w:rFonts w:ascii="Arial" w:cs="Arial" w:eastAsia="Arial" w:hAnsi="Arial"/>
                <w:sz w:val="14"/>
                <w:szCs w:val="14"/>
                <w:b w:val="1"/>
                <w:bCs w:val="1"/>
                <w:color w:val="auto"/>
              </w:rPr>
              <w:t xml:space="preserve">Director since: </w:t>
            </w:r>
            <w:r>
              <w:rPr>
                <w:rFonts w:ascii="Arial" w:cs="Arial" w:eastAsia="Arial" w:hAnsi="Arial"/>
                <w:sz w:val="14"/>
                <w:szCs w:val="14"/>
                <w:b w:val="1"/>
                <w:bCs w:val="1"/>
                <w:color w:val="7CBD3F"/>
              </w:rPr>
              <w:t>2010</w:t>
            </w:r>
          </w:p>
        </w:tc>
        <w:tc>
          <w:tcPr>
            <w:tcW w:w="8460" w:type="dxa"/>
            <w:vAlign w:val="bottom"/>
          </w:tcPr>
          <w:p>
            <w:pPr>
              <w:ind w:left="140"/>
              <w:spacing w:after="0"/>
              <w:rPr>
                <w:sz w:val="20"/>
                <w:szCs w:val="20"/>
                <w:color w:val="auto"/>
              </w:rPr>
            </w:pPr>
            <w:r>
              <w:rPr>
                <w:rFonts w:ascii="Arial" w:cs="Arial" w:eastAsia="Arial" w:hAnsi="Arial"/>
                <w:sz w:val="14"/>
                <w:szCs w:val="14"/>
                <w:color w:val="auto"/>
              </w:rPr>
              <w:t>inception in April 2010. Dr. Kakkis served as our interim principal financial officer following the departure of the Company’s Chief</w:t>
            </w:r>
          </w:p>
        </w:tc>
        <w:tc>
          <w:tcPr>
            <w:tcW w:w="0" w:type="dxa"/>
            <w:vAlign w:val="bottom"/>
          </w:tcPr>
          <w:p>
            <w:pPr>
              <w:spacing w:after="0"/>
              <w:rPr>
                <w:sz w:val="1"/>
                <w:szCs w:val="1"/>
                <w:color w:val="auto"/>
              </w:rPr>
            </w:pPr>
          </w:p>
        </w:tc>
      </w:tr>
      <w:tr>
        <w:trPr>
          <w:trHeight w:val="111"/>
        </w:trPr>
        <w:tc>
          <w:tcPr>
            <w:tcW w:w="2800" w:type="dxa"/>
            <w:vAlign w:val="bottom"/>
            <w:vMerge w:val="continue"/>
            <w:shd w:val="clear" w:color="auto" w:fill="F0F7E7"/>
          </w:tcPr>
          <w:p>
            <w:pPr>
              <w:spacing w:after="0"/>
              <w:rPr>
                <w:sz w:val="9"/>
                <w:szCs w:val="9"/>
                <w:color w:val="auto"/>
              </w:rPr>
            </w:pPr>
          </w:p>
        </w:tc>
        <w:tc>
          <w:tcPr>
            <w:tcW w:w="8460" w:type="dxa"/>
            <w:vAlign w:val="bottom"/>
            <w:vMerge w:val="restart"/>
          </w:tcPr>
          <w:p>
            <w:pPr>
              <w:ind w:left="140"/>
              <w:spacing w:after="0"/>
              <w:rPr>
                <w:sz w:val="20"/>
                <w:szCs w:val="20"/>
                <w:color w:val="auto"/>
              </w:rPr>
            </w:pPr>
            <w:r>
              <w:rPr>
                <w:rFonts w:ascii="Arial" w:cs="Arial" w:eastAsia="Arial" w:hAnsi="Arial"/>
                <w:sz w:val="14"/>
                <w:szCs w:val="14"/>
                <w:color w:val="auto"/>
              </w:rPr>
              <w:t>Financial Officer in November 2022 until the appointment of Mr. Horn as the Company’s Chief Financial Officer in October 2023. Prior</w:t>
            </w:r>
          </w:p>
        </w:tc>
        <w:tc>
          <w:tcPr>
            <w:tcW w:w="0" w:type="dxa"/>
            <w:vAlign w:val="bottom"/>
          </w:tcPr>
          <w:p>
            <w:pPr>
              <w:spacing w:after="0"/>
              <w:rPr>
                <w:sz w:val="1"/>
                <w:szCs w:val="1"/>
                <w:color w:val="auto"/>
              </w:rPr>
            </w:pPr>
          </w:p>
        </w:tc>
      </w:tr>
      <w:tr>
        <w:trPr>
          <w:trHeight w:val="52"/>
        </w:trPr>
        <w:tc>
          <w:tcPr>
            <w:tcW w:w="2800" w:type="dxa"/>
            <w:vAlign w:val="bottom"/>
            <w:shd w:val="clear" w:color="auto" w:fill="F0F7E7"/>
          </w:tcPr>
          <w:p>
            <w:pPr>
              <w:spacing w:after="0"/>
              <w:rPr>
                <w:sz w:val="4"/>
                <w:szCs w:val="4"/>
                <w:color w:val="auto"/>
              </w:rPr>
            </w:pPr>
          </w:p>
        </w:tc>
        <w:tc>
          <w:tcPr>
            <w:tcW w:w="8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800" w:type="dxa"/>
            <w:vAlign w:val="bottom"/>
            <w:shd w:val="clear" w:color="auto" w:fill="F0F7E7"/>
          </w:tcPr>
          <w:p>
            <w:pPr>
              <w:ind w:left="80"/>
              <w:spacing w:after="0"/>
              <w:rPr>
                <w:sz w:val="20"/>
                <w:szCs w:val="20"/>
                <w:color w:val="auto"/>
              </w:rPr>
            </w:pPr>
            <w:r>
              <w:rPr>
                <w:rFonts w:ascii="Arial" w:cs="Arial" w:eastAsia="Arial" w:hAnsi="Arial"/>
                <w:sz w:val="14"/>
                <w:szCs w:val="14"/>
                <w:b w:val="1"/>
                <w:bCs w:val="1"/>
                <w:color w:val="7CBD3F"/>
              </w:rPr>
              <w:t>NOT INDEPENDENT</w:t>
            </w:r>
          </w:p>
        </w:tc>
        <w:tc>
          <w:tcPr>
            <w:tcW w:w="8460" w:type="dxa"/>
            <w:vAlign w:val="bottom"/>
          </w:tcPr>
          <w:p>
            <w:pPr>
              <w:ind w:left="140"/>
              <w:spacing w:after="0"/>
              <w:rPr>
                <w:sz w:val="20"/>
                <w:szCs w:val="20"/>
                <w:color w:val="auto"/>
              </w:rPr>
            </w:pPr>
            <w:r>
              <w:rPr>
                <w:rFonts w:ascii="Arial" w:cs="Arial" w:eastAsia="Arial" w:hAnsi="Arial"/>
                <w:sz w:val="14"/>
                <w:szCs w:val="14"/>
                <w:color w:val="auto"/>
              </w:rPr>
              <w:t>to Ultragenyx, from September 1998 to February 2009, Dr. Kakkis served in various executive capacities, and ultimately as Chief</w:t>
            </w:r>
          </w:p>
        </w:tc>
        <w:tc>
          <w:tcPr>
            <w:tcW w:w="0" w:type="dxa"/>
            <w:vAlign w:val="bottom"/>
          </w:tcPr>
          <w:p>
            <w:pPr>
              <w:spacing w:after="0"/>
              <w:rPr>
                <w:sz w:val="1"/>
                <w:szCs w:val="1"/>
                <w:color w:val="auto"/>
              </w:rPr>
            </w:pPr>
          </w:p>
        </w:tc>
      </w:tr>
      <w:tr>
        <w:trPr>
          <w:trHeight w:val="163"/>
        </w:trPr>
        <w:tc>
          <w:tcPr>
            <w:tcW w:w="2800" w:type="dxa"/>
            <w:vAlign w:val="bottom"/>
            <w:vMerge w:val="restart"/>
            <w:shd w:val="clear" w:color="auto" w:fill="F0F7E7"/>
          </w:tcPr>
          <w:p>
            <w:pPr>
              <w:ind w:left="80"/>
              <w:spacing w:after="0"/>
              <w:rPr>
                <w:sz w:val="20"/>
                <w:szCs w:val="20"/>
                <w:color w:val="auto"/>
              </w:rPr>
            </w:pPr>
            <w:r>
              <w:rPr>
                <w:rFonts w:ascii="Arial" w:cs="Arial" w:eastAsia="Arial" w:hAnsi="Arial"/>
                <w:sz w:val="14"/>
                <w:szCs w:val="14"/>
                <w:b w:val="1"/>
                <w:bCs w:val="1"/>
                <w:color w:val="auto"/>
              </w:rPr>
              <w:t xml:space="preserve">Committees: </w:t>
            </w:r>
            <w:r>
              <w:rPr>
                <w:rFonts w:ascii="Arial" w:cs="Arial" w:eastAsia="Arial" w:hAnsi="Arial"/>
                <w:sz w:val="14"/>
                <w:szCs w:val="14"/>
                <w:b w:val="1"/>
                <w:bCs w:val="1"/>
                <w:color w:val="7CBD3F"/>
              </w:rPr>
              <w:t>1</w:t>
            </w:r>
          </w:p>
        </w:tc>
        <w:tc>
          <w:tcPr>
            <w:tcW w:w="8460" w:type="dxa"/>
            <w:vAlign w:val="bottom"/>
          </w:tcPr>
          <w:p>
            <w:pPr>
              <w:ind w:left="140"/>
              <w:spacing w:after="0"/>
              <w:rPr>
                <w:sz w:val="20"/>
                <w:szCs w:val="20"/>
                <w:color w:val="auto"/>
              </w:rPr>
            </w:pPr>
            <w:r>
              <w:rPr>
                <w:rFonts w:ascii="Arial" w:cs="Arial" w:eastAsia="Arial" w:hAnsi="Arial"/>
                <w:sz w:val="14"/>
                <w:szCs w:val="14"/>
                <w:color w:val="auto"/>
              </w:rPr>
              <w:t>Medical Officer, at BioMarin Pharmaceutical Inc., a biopharmaceutical company. Dr. Kakkis then served as a development consultant</w:t>
            </w:r>
          </w:p>
        </w:tc>
        <w:tc>
          <w:tcPr>
            <w:tcW w:w="0" w:type="dxa"/>
            <w:vAlign w:val="bottom"/>
          </w:tcPr>
          <w:p>
            <w:pPr>
              <w:spacing w:after="0"/>
              <w:rPr>
                <w:sz w:val="1"/>
                <w:szCs w:val="1"/>
                <w:color w:val="auto"/>
              </w:rPr>
            </w:pPr>
          </w:p>
        </w:tc>
      </w:tr>
      <w:tr>
        <w:trPr>
          <w:trHeight w:val="111"/>
        </w:trPr>
        <w:tc>
          <w:tcPr>
            <w:tcW w:w="2800" w:type="dxa"/>
            <w:vAlign w:val="bottom"/>
            <w:vMerge w:val="continue"/>
            <w:shd w:val="clear" w:color="auto" w:fill="F0F7E7"/>
          </w:tcPr>
          <w:p>
            <w:pPr>
              <w:spacing w:after="0"/>
              <w:rPr>
                <w:sz w:val="9"/>
                <w:szCs w:val="9"/>
                <w:color w:val="auto"/>
              </w:rPr>
            </w:pPr>
          </w:p>
        </w:tc>
        <w:tc>
          <w:tcPr>
            <w:tcW w:w="8460" w:type="dxa"/>
            <w:vAlign w:val="bottom"/>
            <w:vMerge w:val="restart"/>
          </w:tcPr>
          <w:p>
            <w:pPr>
              <w:ind w:left="140"/>
              <w:spacing w:after="0"/>
              <w:rPr>
                <w:sz w:val="20"/>
                <w:szCs w:val="20"/>
                <w:color w:val="auto"/>
              </w:rPr>
            </w:pPr>
            <w:r>
              <w:rPr>
                <w:rFonts w:ascii="Arial" w:cs="Arial" w:eastAsia="Arial" w:hAnsi="Arial"/>
                <w:sz w:val="14"/>
                <w:szCs w:val="14"/>
                <w:color w:val="auto"/>
              </w:rPr>
              <w:t>to BioMarin from 2009 to 2010. Dr. Kakkis is also Founder of EveryLife Foundation for Rare Diseases, a non-profit organization he</w:t>
            </w:r>
          </w:p>
        </w:tc>
        <w:tc>
          <w:tcPr>
            <w:tcW w:w="0" w:type="dxa"/>
            <w:vAlign w:val="bottom"/>
          </w:tcPr>
          <w:p>
            <w:pPr>
              <w:spacing w:after="0"/>
              <w:rPr>
                <w:sz w:val="1"/>
                <w:szCs w:val="1"/>
                <w:color w:val="auto"/>
              </w:rPr>
            </w:pPr>
          </w:p>
        </w:tc>
      </w:tr>
      <w:tr>
        <w:trPr>
          <w:trHeight w:val="52"/>
        </w:trPr>
        <w:tc>
          <w:tcPr>
            <w:tcW w:w="2800" w:type="dxa"/>
            <w:vAlign w:val="bottom"/>
            <w:shd w:val="clear" w:color="auto" w:fill="F0F7E7"/>
          </w:tcPr>
          <w:p>
            <w:pPr>
              <w:spacing w:after="0"/>
              <w:rPr>
                <w:sz w:val="4"/>
                <w:szCs w:val="4"/>
                <w:color w:val="auto"/>
              </w:rPr>
            </w:pPr>
          </w:p>
        </w:tc>
        <w:tc>
          <w:tcPr>
            <w:tcW w:w="8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800" w:type="dxa"/>
            <w:vAlign w:val="bottom"/>
            <w:shd w:val="clear" w:color="auto" w:fill="F0F7E7"/>
          </w:tcPr>
          <w:p>
            <w:pPr>
              <w:ind w:left="80"/>
              <w:spacing w:after="0"/>
              <w:rPr>
                <w:sz w:val="20"/>
                <w:szCs w:val="20"/>
                <w:color w:val="auto"/>
              </w:rPr>
            </w:pPr>
            <w:r>
              <w:rPr>
                <w:rFonts w:ascii="Arial" w:cs="Arial" w:eastAsia="Arial" w:hAnsi="Arial"/>
                <w:sz w:val="14"/>
                <w:szCs w:val="14"/>
                <w:b w:val="1"/>
                <w:bCs w:val="1"/>
                <w:color w:val="auto"/>
              </w:rPr>
              <w:t xml:space="preserve">Other Public Directorships: </w:t>
            </w:r>
            <w:r>
              <w:rPr>
                <w:rFonts w:ascii="Arial" w:cs="Arial" w:eastAsia="Arial" w:hAnsi="Arial"/>
                <w:sz w:val="14"/>
                <w:szCs w:val="14"/>
                <w:b w:val="1"/>
                <w:bCs w:val="1"/>
                <w:color w:val="7CBD3F"/>
              </w:rPr>
              <w:t>0</w:t>
            </w:r>
          </w:p>
        </w:tc>
        <w:tc>
          <w:tcPr>
            <w:tcW w:w="8460" w:type="dxa"/>
            <w:vAlign w:val="bottom"/>
          </w:tcPr>
          <w:p>
            <w:pPr>
              <w:ind w:left="140"/>
              <w:spacing w:after="0"/>
              <w:rPr>
                <w:sz w:val="20"/>
                <w:szCs w:val="20"/>
                <w:color w:val="auto"/>
              </w:rPr>
            </w:pPr>
            <w:r>
              <w:rPr>
                <w:rFonts w:ascii="Arial" w:cs="Arial" w:eastAsia="Arial" w:hAnsi="Arial"/>
                <w:sz w:val="14"/>
                <w:szCs w:val="14"/>
                <w:color w:val="auto"/>
              </w:rPr>
              <w:t>started in 2009 to accelerate biotechnology innovation for rare diseases. Dr. Kakkis received the Termeer Visionary Leadership</w:t>
            </w:r>
          </w:p>
        </w:tc>
        <w:tc>
          <w:tcPr>
            <w:tcW w:w="0" w:type="dxa"/>
            <w:vAlign w:val="bottom"/>
          </w:tcPr>
          <w:p>
            <w:pPr>
              <w:spacing w:after="0"/>
              <w:rPr>
                <w:sz w:val="1"/>
                <w:szCs w:val="1"/>
                <w:color w:val="auto"/>
              </w:rPr>
            </w:pPr>
          </w:p>
        </w:tc>
      </w:tr>
      <w:tr>
        <w:trPr>
          <w:trHeight w:val="163"/>
        </w:trPr>
        <w:tc>
          <w:tcPr>
            <w:tcW w:w="2800" w:type="dxa"/>
            <w:vAlign w:val="bottom"/>
            <w:shd w:val="clear" w:color="auto" w:fill="F0F7E7"/>
          </w:tcPr>
          <w:p>
            <w:pPr>
              <w:spacing w:after="0"/>
              <w:rPr>
                <w:sz w:val="14"/>
                <w:szCs w:val="14"/>
                <w:color w:val="auto"/>
              </w:rPr>
            </w:pPr>
          </w:p>
        </w:tc>
        <w:tc>
          <w:tcPr>
            <w:tcW w:w="8460" w:type="dxa"/>
            <w:vAlign w:val="bottom"/>
          </w:tcPr>
          <w:p>
            <w:pPr>
              <w:ind w:left="140"/>
              <w:spacing w:after="0"/>
              <w:rPr>
                <w:sz w:val="20"/>
                <w:szCs w:val="20"/>
                <w:color w:val="auto"/>
              </w:rPr>
            </w:pPr>
            <w:r>
              <w:rPr>
                <w:rFonts w:ascii="Arial" w:cs="Arial" w:eastAsia="Arial" w:hAnsi="Arial"/>
                <w:sz w:val="14"/>
                <w:szCs w:val="14"/>
                <w:color w:val="auto"/>
              </w:rPr>
              <w:t>Award in 2019 and the Leadership Award from the California Life Sciences Association in 2021. Dr. Kakkis is board certified in</w:t>
            </w:r>
          </w:p>
        </w:tc>
        <w:tc>
          <w:tcPr>
            <w:tcW w:w="0" w:type="dxa"/>
            <w:vAlign w:val="bottom"/>
          </w:tcPr>
          <w:p>
            <w:pPr>
              <w:spacing w:after="0"/>
              <w:rPr>
                <w:sz w:val="1"/>
                <w:szCs w:val="1"/>
                <w:color w:val="auto"/>
              </w:rPr>
            </w:pPr>
          </w:p>
        </w:tc>
      </w:tr>
      <w:tr>
        <w:trPr>
          <w:trHeight w:val="163"/>
        </w:trPr>
        <w:tc>
          <w:tcPr>
            <w:tcW w:w="2800" w:type="dxa"/>
            <w:vAlign w:val="bottom"/>
            <w:shd w:val="clear" w:color="auto" w:fill="F0F7E7"/>
          </w:tcPr>
          <w:p>
            <w:pPr>
              <w:spacing w:after="0"/>
              <w:rPr>
                <w:sz w:val="14"/>
                <w:szCs w:val="14"/>
                <w:color w:val="auto"/>
              </w:rPr>
            </w:pPr>
          </w:p>
        </w:tc>
        <w:tc>
          <w:tcPr>
            <w:tcW w:w="8460" w:type="dxa"/>
            <w:vAlign w:val="bottom"/>
          </w:tcPr>
          <w:p>
            <w:pPr>
              <w:ind w:left="140"/>
              <w:spacing w:after="0"/>
              <w:rPr>
                <w:sz w:val="20"/>
                <w:szCs w:val="20"/>
                <w:color w:val="auto"/>
              </w:rPr>
            </w:pPr>
            <w:r>
              <w:rPr>
                <w:rFonts w:ascii="Arial" w:cs="Arial" w:eastAsia="Arial" w:hAnsi="Arial"/>
                <w:sz w:val="14"/>
                <w:szCs w:val="14"/>
                <w:color w:val="auto"/>
              </w:rPr>
              <w:t>Medical Genetics and was board certified in Pediatrics. He holds a B.A. in Biology from Pomona College and combined M.D. and</w:t>
            </w:r>
          </w:p>
        </w:tc>
        <w:tc>
          <w:tcPr>
            <w:tcW w:w="0" w:type="dxa"/>
            <w:vAlign w:val="bottom"/>
          </w:tcPr>
          <w:p>
            <w:pPr>
              <w:spacing w:after="0"/>
              <w:rPr>
                <w:sz w:val="1"/>
                <w:szCs w:val="1"/>
                <w:color w:val="auto"/>
              </w:rPr>
            </w:pPr>
          </w:p>
        </w:tc>
      </w:tr>
      <w:tr>
        <w:trPr>
          <w:trHeight w:val="163"/>
        </w:trPr>
        <w:tc>
          <w:tcPr>
            <w:tcW w:w="2800" w:type="dxa"/>
            <w:vAlign w:val="bottom"/>
            <w:shd w:val="clear" w:color="auto" w:fill="F0F7E7"/>
          </w:tcPr>
          <w:p>
            <w:pPr>
              <w:spacing w:after="0"/>
              <w:rPr>
                <w:sz w:val="14"/>
                <w:szCs w:val="14"/>
                <w:color w:val="auto"/>
              </w:rPr>
            </w:pPr>
          </w:p>
        </w:tc>
        <w:tc>
          <w:tcPr>
            <w:tcW w:w="8460" w:type="dxa"/>
            <w:vAlign w:val="bottom"/>
          </w:tcPr>
          <w:p>
            <w:pPr>
              <w:ind w:left="140"/>
              <w:spacing w:after="0"/>
              <w:rPr>
                <w:sz w:val="20"/>
                <w:szCs w:val="20"/>
                <w:color w:val="auto"/>
              </w:rPr>
            </w:pPr>
            <w:r>
              <w:rPr>
                <w:rFonts w:ascii="Arial" w:cs="Arial" w:eastAsia="Arial" w:hAnsi="Arial"/>
                <w:sz w:val="14"/>
                <w:szCs w:val="14"/>
                <w:color w:val="auto"/>
              </w:rPr>
              <w:t>Ph.D. degrees from the UCLA School of Medicine’s Medical Scientist Training Program where he received the Bogen prize for his</w:t>
            </w:r>
          </w:p>
        </w:tc>
        <w:tc>
          <w:tcPr>
            <w:tcW w:w="0" w:type="dxa"/>
            <w:vAlign w:val="bottom"/>
          </w:tcPr>
          <w:p>
            <w:pPr>
              <w:spacing w:after="0"/>
              <w:rPr>
                <w:sz w:val="1"/>
                <w:szCs w:val="1"/>
                <w:color w:val="auto"/>
              </w:rPr>
            </w:pPr>
          </w:p>
        </w:tc>
      </w:tr>
      <w:tr>
        <w:trPr>
          <w:trHeight w:val="185"/>
        </w:trPr>
        <w:tc>
          <w:tcPr>
            <w:tcW w:w="2800" w:type="dxa"/>
            <w:vAlign w:val="bottom"/>
            <w:shd w:val="clear" w:color="auto" w:fill="F0F7E7"/>
          </w:tcPr>
          <w:p>
            <w:pPr>
              <w:spacing w:after="0"/>
              <w:rPr>
                <w:sz w:val="16"/>
                <w:szCs w:val="16"/>
                <w:color w:val="auto"/>
              </w:rPr>
            </w:pPr>
          </w:p>
        </w:tc>
        <w:tc>
          <w:tcPr>
            <w:tcW w:w="8460" w:type="dxa"/>
            <w:vAlign w:val="bottom"/>
          </w:tcPr>
          <w:p>
            <w:pPr>
              <w:ind w:left="140"/>
              <w:spacing w:after="0"/>
              <w:rPr>
                <w:sz w:val="20"/>
                <w:szCs w:val="20"/>
                <w:color w:val="auto"/>
              </w:rPr>
            </w:pPr>
            <w:r>
              <w:rPr>
                <w:rFonts w:ascii="Arial" w:cs="Arial" w:eastAsia="Arial" w:hAnsi="Arial"/>
                <w:sz w:val="14"/>
                <w:szCs w:val="14"/>
                <w:color w:val="auto"/>
              </w:rPr>
              <w:t>research.</w:t>
            </w:r>
          </w:p>
        </w:tc>
        <w:tc>
          <w:tcPr>
            <w:tcW w:w="0" w:type="dxa"/>
            <w:vAlign w:val="bottom"/>
          </w:tcPr>
          <w:p>
            <w:pPr>
              <w:spacing w:after="0"/>
              <w:rPr>
                <w:sz w:val="1"/>
                <w:szCs w:val="1"/>
                <w:color w:val="auto"/>
              </w:rPr>
            </w:pPr>
          </w:p>
        </w:tc>
      </w:tr>
      <w:tr>
        <w:trPr>
          <w:trHeight w:val="229"/>
        </w:trPr>
        <w:tc>
          <w:tcPr>
            <w:tcW w:w="2800" w:type="dxa"/>
            <w:vAlign w:val="bottom"/>
            <w:shd w:val="clear" w:color="auto" w:fill="F0F7E7"/>
          </w:tcPr>
          <w:p>
            <w:pPr>
              <w:spacing w:after="0"/>
              <w:rPr>
                <w:sz w:val="19"/>
                <w:szCs w:val="19"/>
                <w:color w:val="auto"/>
              </w:rPr>
            </w:pPr>
          </w:p>
        </w:tc>
        <w:tc>
          <w:tcPr>
            <w:tcW w:w="8460" w:type="dxa"/>
            <w:vAlign w:val="bottom"/>
          </w:tcPr>
          <w:p>
            <w:pPr>
              <w:ind w:left="140"/>
              <w:spacing w:after="0"/>
              <w:rPr>
                <w:sz w:val="20"/>
                <w:szCs w:val="20"/>
                <w:color w:val="auto"/>
              </w:rPr>
            </w:pPr>
            <w:r>
              <w:rPr>
                <w:rFonts w:ascii="Arial" w:cs="Arial" w:eastAsia="Arial" w:hAnsi="Arial"/>
                <w:sz w:val="14"/>
                <w:szCs w:val="14"/>
                <w:b w:val="1"/>
                <w:bCs w:val="1"/>
                <w:color w:val="7CBD3F"/>
              </w:rPr>
              <w:t>Skills and Qualifications specific to Ultragenyx:</w:t>
            </w:r>
          </w:p>
        </w:tc>
        <w:tc>
          <w:tcPr>
            <w:tcW w:w="0" w:type="dxa"/>
            <w:vAlign w:val="bottom"/>
          </w:tcPr>
          <w:p>
            <w:pPr>
              <w:spacing w:after="0"/>
              <w:rPr>
                <w:sz w:val="1"/>
                <w:szCs w:val="1"/>
                <w:color w:val="auto"/>
              </w:rPr>
            </w:pPr>
          </w:p>
        </w:tc>
      </w:tr>
      <w:tr>
        <w:trPr>
          <w:trHeight w:val="192"/>
        </w:trPr>
        <w:tc>
          <w:tcPr>
            <w:tcW w:w="2800" w:type="dxa"/>
            <w:vAlign w:val="bottom"/>
            <w:shd w:val="clear" w:color="auto" w:fill="F0F7E7"/>
          </w:tcPr>
          <w:p>
            <w:pPr>
              <w:spacing w:after="0"/>
              <w:rPr>
                <w:sz w:val="16"/>
                <w:szCs w:val="16"/>
                <w:color w:val="auto"/>
              </w:rPr>
            </w:pPr>
          </w:p>
        </w:tc>
        <w:tc>
          <w:tcPr>
            <w:tcW w:w="8460" w:type="dxa"/>
            <w:vAlign w:val="bottom"/>
          </w:tcPr>
          <w:p>
            <w:pPr>
              <w:ind w:left="140"/>
              <w:spacing w:after="0"/>
              <w:rPr>
                <w:sz w:val="20"/>
                <w:szCs w:val="20"/>
                <w:color w:val="auto"/>
              </w:rPr>
            </w:pPr>
            <w:r>
              <w:rPr>
                <w:rFonts w:ascii="Arial" w:cs="Arial" w:eastAsia="Arial" w:hAnsi="Arial"/>
                <w:sz w:val="14"/>
                <w:szCs w:val="14"/>
                <w:color w:val="auto"/>
              </w:rPr>
              <w:t>We believe that Dr. Kakkis possesses specific expert knowledge of genetics and rare diseases and operational experience in the life</w:t>
            </w:r>
          </w:p>
        </w:tc>
        <w:tc>
          <w:tcPr>
            <w:tcW w:w="0" w:type="dxa"/>
            <w:vAlign w:val="bottom"/>
          </w:tcPr>
          <w:p>
            <w:pPr>
              <w:spacing w:after="0"/>
              <w:rPr>
                <w:sz w:val="1"/>
                <w:szCs w:val="1"/>
                <w:color w:val="auto"/>
              </w:rPr>
            </w:pPr>
          </w:p>
        </w:tc>
      </w:tr>
      <w:tr>
        <w:trPr>
          <w:trHeight w:val="202"/>
        </w:trPr>
        <w:tc>
          <w:tcPr>
            <w:tcW w:w="2800" w:type="dxa"/>
            <w:vAlign w:val="bottom"/>
            <w:tcBorders>
              <w:bottom w:val="single" w:sz="8" w:color="7CBD3F"/>
            </w:tcBorders>
            <w:shd w:val="clear" w:color="auto" w:fill="F0F7E7"/>
          </w:tcPr>
          <w:p>
            <w:pPr>
              <w:spacing w:after="0"/>
              <w:rPr>
                <w:sz w:val="17"/>
                <w:szCs w:val="17"/>
                <w:color w:val="auto"/>
              </w:rPr>
            </w:pPr>
          </w:p>
        </w:tc>
        <w:tc>
          <w:tcPr>
            <w:tcW w:w="8460" w:type="dxa"/>
            <w:vAlign w:val="bottom"/>
            <w:tcBorders>
              <w:bottom w:val="single" w:sz="8" w:color="7CBD3F"/>
            </w:tcBorders>
          </w:tcPr>
          <w:p>
            <w:pPr>
              <w:ind w:left="140"/>
              <w:spacing w:after="0"/>
              <w:rPr>
                <w:sz w:val="20"/>
                <w:szCs w:val="20"/>
                <w:color w:val="auto"/>
              </w:rPr>
            </w:pPr>
            <w:r>
              <w:rPr>
                <w:rFonts w:ascii="Arial" w:cs="Arial" w:eastAsia="Arial" w:hAnsi="Arial"/>
                <w:sz w:val="14"/>
                <w:szCs w:val="14"/>
                <w:color w:val="auto"/>
              </w:rPr>
              <w:t>sciences sector that qualify him to serve on our Board.</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7CBD3F"/>
        </w:rPr>
        <w:t>Shehnaaz Suliman, M.D., M.Phil., M.B.A</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Chief Executive Officer of ReCode Therapeutics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8890</wp:posOffset>
            </wp:positionV>
            <wp:extent cx="7150735" cy="18878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0735" cy="1887855"/>
                    </a:xfrm>
                    <a:prstGeom prst="rect">
                      <a:avLst/>
                    </a:prstGeom>
                    <a:noFill/>
                  </pic:spPr>
                </pic:pic>
              </a:graphicData>
            </a:graphic>
          </wp:anchor>
        </w:drawing>
      </w:r>
    </w:p>
    <w:p>
      <w:pPr>
        <w:sectPr>
          <w:pgSz w:w="11900" w:h="16838" w:orient="portrait"/>
          <w:cols w:equalWidth="0" w:num="1">
            <w:col w:w="11260"/>
          </w:cols>
          <w:pgMar w:left="320" w:top="225" w:right="319" w:bottom="1440" w:gutter="0" w:footer="0" w:header="0"/>
        </w:sectPr>
      </w:pPr>
    </w:p>
    <w:p>
      <w:pPr>
        <w:spacing w:after="0" w:line="48"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b w:val="1"/>
          <w:bCs w:val="1"/>
          <w:color w:val="7CBD3F"/>
        </w:rPr>
        <w:t>53</w:t>
      </w:r>
    </w:p>
    <w:p>
      <w:pPr>
        <w:spacing w:after="0" w:line="84"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 xml:space="preserve">Director since: </w:t>
      </w:r>
      <w:r>
        <w:rPr>
          <w:rFonts w:ascii="Arial" w:cs="Arial" w:eastAsia="Arial" w:hAnsi="Arial"/>
          <w:sz w:val="14"/>
          <w:szCs w:val="14"/>
          <w:b w:val="1"/>
          <w:bCs w:val="1"/>
          <w:color w:val="7CBD3F"/>
        </w:rPr>
        <w:t>2019</w:t>
      </w:r>
    </w:p>
    <w:p>
      <w:pPr>
        <w:spacing w:after="0" w:line="84"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7CBD3F"/>
        </w:rPr>
        <w:t>INDEPENDENT</w:t>
      </w:r>
    </w:p>
    <w:p>
      <w:pPr>
        <w:spacing w:after="0" w:line="84"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 xml:space="preserve">Committees: </w:t>
      </w:r>
      <w:r>
        <w:rPr>
          <w:rFonts w:ascii="Arial" w:cs="Arial" w:eastAsia="Arial" w:hAnsi="Arial"/>
          <w:sz w:val="14"/>
          <w:szCs w:val="14"/>
          <w:b w:val="1"/>
          <w:bCs w:val="1"/>
          <w:color w:val="7CBD3F"/>
        </w:rPr>
        <w:t>2</w:t>
      </w:r>
    </w:p>
    <w:p>
      <w:pPr>
        <w:spacing w:after="0" w:line="84" w:lineRule="exact"/>
        <w:rPr>
          <w:sz w:val="20"/>
          <w:szCs w:val="20"/>
          <w:color w:val="auto"/>
        </w:rPr>
      </w:pPr>
    </w:p>
    <w:p>
      <w:pPr>
        <w:ind w:left="80"/>
        <w:spacing w:after="0"/>
        <w:rPr>
          <w:sz w:val="20"/>
          <w:szCs w:val="20"/>
          <w:color w:val="auto"/>
        </w:rPr>
      </w:pPr>
      <w:r>
        <w:rPr>
          <w:rFonts w:ascii="Arial" w:cs="Arial" w:eastAsia="Arial" w:hAnsi="Arial"/>
          <w:sz w:val="13"/>
          <w:szCs w:val="13"/>
          <w:b w:val="1"/>
          <w:bCs w:val="1"/>
          <w:color w:val="auto"/>
        </w:rPr>
        <w:t xml:space="preserve">Other Public Directorships: </w:t>
      </w:r>
      <w:r>
        <w:rPr>
          <w:rFonts w:ascii="Arial" w:cs="Arial" w:eastAsia="Arial" w:hAnsi="Arial"/>
          <w:sz w:val="13"/>
          <w:szCs w:val="13"/>
          <w:b w:val="1"/>
          <w:bCs w:val="1"/>
          <w:color w:val="7CBD3F"/>
        </w:rPr>
        <w:t>1</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jc w:val="both"/>
        <w:ind w:right="80"/>
        <w:spacing w:after="0" w:line="246" w:lineRule="auto"/>
        <w:rPr>
          <w:sz w:val="20"/>
          <w:szCs w:val="20"/>
          <w:color w:val="auto"/>
        </w:rPr>
      </w:pPr>
      <w:r>
        <w:rPr>
          <w:rFonts w:ascii="Arial" w:cs="Arial" w:eastAsia="Arial" w:hAnsi="Arial"/>
          <w:sz w:val="14"/>
          <w:szCs w:val="14"/>
          <w:color w:val="auto"/>
        </w:rPr>
        <w:t>Dr. Suliman has served as Chief Executive Officer of ReCode Therapeutics, a privately-held, integrated genetic medicines company, since January 2022. Prior to joining ReCode Therapeutics, Dr. Suliman served as President and Chief Operating Officer of Alector, Inc., a clinical stage biotechnology company, from December 2019 to December 2021 and previously served as Senior Vice President, Corporate Development and Strategy of Theravance Biopharma, Inc., a biopharmaceutical company, from July 2017 to March 2019. Prior to her position at Theravance, Dr. Suliman worked for Genentech, Inc., a biopharmaceutical company, as Group Leader and Project Team Leader in the R&amp;D Portfolio Management and Operations Group from September 2010 to May 2015 and then as Vice President and Global Therapeutic Head, Roche Partnering from June 2015 to July 2017. Prior to Genentech, Dr. Suliman held various management roles of increasing responsibility at Gilead Sciences, Inc., a biopharmaceutical company, from January 2005 and September 2010. Prior to Gilead, Dr. Suliman was an investment banker with Lehman Brothers and Petkevich &amp; Partners, advising public and private companies on buy- and sell-side transactions. She is a member of the board of directors of 10X Genomics, Inc., a publicly traded life science technology company. Dr. Suliman received her M.D. at the University of Cape Town Medical School, South Africa, and holds an M.B.A, with distinction, and M.Phil. in Development Studies from Oxford University, where she was a Rhodes Scholar.</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b w:val="1"/>
          <w:bCs w:val="1"/>
          <w:color w:val="7CBD3F"/>
        </w:rPr>
        <w:t>Skills and Qualifications specific to Ultragenyx:</w:t>
      </w:r>
    </w:p>
    <w:p>
      <w:pPr>
        <w:spacing w:after="0" w:line="61" w:lineRule="exact"/>
        <w:rPr>
          <w:sz w:val="20"/>
          <w:szCs w:val="20"/>
          <w:color w:val="auto"/>
        </w:rPr>
      </w:pPr>
    </w:p>
    <w:p>
      <w:pPr>
        <w:jc w:val="both"/>
        <w:ind w:right="80"/>
        <w:spacing w:after="0" w:line="260" w:lineRule="auto"/>
        <w:rPr>
          <w:sz w:val="20"/>
          <w:szCs w:val="20"/>
          <w:color w:val="auto"/>
        </w:rPr>
      </w:pPr>
      <w:r>
        <w:rPr>
          <w:rFonts w:ascii="Arial" w:cs="Arial" w:eastAsia="Arial" w:hAnsi="Arial"/>
          <w:sz w:val="14"/>
          <w:szCs w:val="14"/>
          <w:color w:val="auto"/>
        </w:rPr>
        <w:t>We believe that Dr. Suliman is qualified to serve on our Board due to her extensive operational experience with global biopharmaceutical companies, and particularly her expertise in business development, corporate strategy and clinical drug development.</w:t>
      </w:r>
    </w:p>
    <w:p>
      <w:pPr>
        <w:spacing w:after="0" w:line="200" w:lineRule="exact"/>
        <w:rPr>
          <w:sz w:val="20"/>
          <w:szCs w:val="20"/>
          <w:color w:val="auto"/>
        </w:rPr>
      </w:pPr>
    </w:p>
    <w:p>
      <w:pPr>
        <w:sectPr>
          <w:pgSz w:w="11900" w:h="16838" w:orient="portrait"/>
          <w:cols w:equalWidth="0" w:num="2">
            <w:col w:w="2220" w:space="720"/>
            <w:col w:w="8320"/>
          </w:cols>
          <w:pgMar w:left="320" w:top="225" w:right="319" w:bottom="1440" w:gutter="0" w:footer="0" w:header="0"/>
          <w:type w:val="continuous"/>
        </w:sectPr>
      </w:pPr>
    </w:p>
    <w:p>
      <w:pPr>
        <w:spacing w:after="0" w:line="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7CBD3F"/>
        </w:rPr>
        <w:t>Daniel G. Welch</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Board member and advisor to various life science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50735" cy="157670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0735" cy="1576705"/>
                    </a:xfrm>
                    <a:prstGeom prst="rect">
                      <a:avLst/>
                    </a:prstGeom>
                    <a:noFill/>
                  </pic:spPr>
                </pic:pic>
              </a:graphicData>
            </a:graphic>
          </wp:anchor>
        </w:drawing>
      </w:r>
    </w:p>
    <w:p>
      <w:pPr>
        <w:sectPr>
          <w:pgSz w:w="11900" w:h="16838" w:orient="portrait"/>
          <w:cols w:equalWidth="0" w:num="1">
            <w:col w:w="11260"/>
          </w:cols>
          <w:pgMar w:left="320" w:top="225" w:right="319" w:bottom="1440" w:gutter="0" w:footer="0" w:header="0"/>
          <w:type w:val="continuous"/>
        </w:sectPr>
      </w:pPr>
    </w:p>
    <w:p>
      <w:pPr>
        <w:spacing w:after="0" w:line="60"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b w:val="1"/>
          <w:bCs w:val="1"/>
          <w:color w:val="7CBD3F"/>
        </w:rPr>
        <w:t>67</w:t>
      </w:r>
    </w:p>
    <w:p>
      <w:pPr>
        <w:spacing w:after="0" w:line="84" w:lineRule="exact"/>
        <w:rPr>
          <w:sz w:val="20"/>
          <w:szCs w:val="20"/>
          <w:color w:val="auto"/>
        </w:rPr>
      </w:pPr>
    </w:p>
    <w:p>
      <w:pPr>
        <w:ind w:left="80" w:right="340"/>
        <w:spacing w:after="0" w:line="364" w:lineRule="auto"/>
        <w:rPr>
          <w:sz w:val="20"/>
          <w:szCs w:val="20"/>
          <w:color w:val="auto"/>
        </w:rPr>
      </w:pPr>
      <w:r>
        <w:rPr>
          <w:rFonts w:ascii="Arial" w:cs="Arial" w:eastAsia="Arial" w:hAnsi="Arial"/>
          <w:sz w:val="14"/>
          <w:szCs w:val="14"/>
          <w:b w:val="1"/>
          <w:bCs w:val="1"/>
          <w:color w:val="auto"/>
        </w:rPr>
        <w:t xml:space="preserve">Director since: </w:t>
      </w:r>
      <w:r>
        <w:rPr>
          <w:rFonts w:ascii="Arial" w:cs="Arial" w:eastAsia="Arial" w:hAnsi="Arial"/>
          <w:sz w:val="14"/>
          <w:szCs w:val="14"/>
          <w:b w:val="1"/>
          <w:bCs w:val="1"/>
          <w:color w:val="7CBD3F"/>
        </w:rPr>
        <w:t>2015</w:t>
      </w:r>
      <w:r>
        <w:rPr>
          <w:rFonts w:ascii="Arial" w:cs="Arial" w:eastAsia="Arial" w:hAnsi="Arial"/>
          <w:sz w:val="14"/>
          <w:szCs w:val="14"/>
          <w:b w:val="1"/>
          <w:bCs w:val="1"/>
          <w:color w:val="auto"/>
        </w:rPr>
        <w:t xml:space="preserve"> </w:t>
      </w:r>
      <w:r>
        <w:rPr>
          <w:rFonts w:ascii="Arial" w:cs="Arial" w:eastAsia="Arial" w:hAnsi="Arial"/>
          <w:sz w:val="14"/>
          <w:szCs w:val="14"/>
          <w:b w:val="1"/>
          <w:bCs w:val="1"/>
          <w:color w:val="7CBD3F"/>
        </w:rPr>
        <w:t xml:space="preserve">INDEPENDENT CHAIRMAN </w:t>
      </w:r>
      <w:r>
        <w:rPr>
          <w:rFonts w:ascii="Arial" w:cs="Arial" w:eastAsia="Arial" w:hAnsi="Arial"/>
          <w:sz w:val="14"/>
          <w:szCs w:val="14"/>
          <w:b w:val="1"/>
          <w:bCs w:val="1"/>
          <w:color w:val="000000"/>
        </w:rPr>
        <w:t xml:space="preserve">Committees: </w:t>
      </w:r>
      <w:r>
        <w:rPr>
          <w:rFonts w:ascii="Arial" w:cs="Arial" w:eastAsia="Arial" w:hAnsi="Arial"/>
          <w:sz w:val="14"/>
          <w:szCs w:val="14"/>
          <w:b w:val="1"/>
          <w:bCs w:val="1"/>
          <w:color w:val="7CBD3F"/>
        </w:rPr>
        <w:t>2</w:t>
      </w:r>
    </w:p>
    <w:p>
      <w:pPr>
        <w:spacing w:after="0" w:line="2" w:lineRule="exact"/>
        <w:rPr>
          <w:sz w:val="20"/>
          <w:szCs w:val="20"/>
          <w:color w:val="auto"/>
        </w:rPr>
      </w:pPr>
    </w:p>
    <w:p>
      <w:pPr>
        <w:ind w:left="80"/>
        <w:spacing w:after="0"/>
        <w:rPr>
          <w:sz w:val="20"/>
          <w:szCs w:val="20"/>
          <w:color w:val="auto"/>
        </w:rPr>
      </w:pPr>
      <w:r>
        <w:rPr>
          <w:rFonts w:ascii="Arial" w:cs="Arial" w:eastAsia="Arial" w:hAnsi="Arial"/>
          <w:sz w:val="13"/>
          <w:szCs w:val="13"/>
          <w:b w:val="1"/>
          <w:bCs w:val="1"/>
          <w:color w:val="auto"/>
        </w:rPr>
        <w:t xml:space="preserve">Other Public Directorships: </w:t>
      </w:r>
      <w:r>
        <w:rPr>
          <w:rFonts w:ascii="Arial" w:cs="Arial" w:eastAsia="Arial" w:hAnsi="Arial"/>
          <w:sz w:val="13"/>
          <w:szCs w:val="13"/>
          <w:b w:val="1"/>
          <w:bCs w:val="1"/>
          <w:color w:val="7CBD3F"/>
        </w:rPr>
        <w:t>2</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jc w:val="both"/>
        <w:ind w:right="80"/>
        <w:spacing w:after="0" w:line="246" w:lineRule="auto"/>
        <w:rPr>
          <w:sz w:val="20"/>
          <w:szCs w:val="20"/>
          <w:color w:val="auto"/>
        </w:rPr>
      </w:pPr>
      <w:r>
        <w:rPr>
          <w:rFonts w:ascii="Arial" w:cs="Arial" w:eastAsia="Arial" w:hAnsi="Arial"/>
          <w:sz w:val="14"/>
          <w:szCs w:val="14"/>
          <w:color w:val="auto"/>
        </w:rPr>
        <w:t>Mr. Welch is a board member and advisor to life science companies. Mr. Welch currently serves as chairman on the boards of Structure Therapeutics, Inc. and Prothena Corporation plc, each a publicly traded biotechnology company. Between January 2015 and January 2018, he was an Executive Partner at Sofinnova Ventures, a venture capital firm. Prior to Sofinnova, Mr. Welch served as Chairman, Chief Executive Officer, and President of InterMune, Inc., a biotechnology company, from May 2008 to October 2014 and served as President and Chief Executive Officer of InterMune and a member of its board of directors from September 2003 to May 2008. From August 2002 to January 2003, Mr. Welch served as Chairman and Chief Executive Officer of Triangle Pharmaceuticals, Inc., a pharmaceutical company. From October 2000 to June 2002, Mr. Welch served as President of the pharmaceutical division of Elan Corporation, plc. Mr. Welch previously served as chairman of the board of directors of Nuvation Bio from July 2020 to September 2024 and as a director on the boards of directors of Intercept Pharmaceuticals, Inc from November 2015 to June 2021 and Seagan Inc. from July 2007 to December 2023. Mr. Welch holds a B.S. from the University of Miami and an M.B.A. from the University of North Carolina.</w:t>
      </w:r>
    </w:p>
    <w:p>
      <w:pPr>
        <w:spacing w:after="0" w:line="38" w:lineRule="exact"/>
        <w:rPr>
          <w:sz w:val="20"/>
          <w:szCs w:val="20"/>
          <w:color w:val="auto"/>
        </w:rPr>
      </w:pPr>
    </w:p>
    <w:p>
      <w:pPr>
        <w:spacing w:after="0"/>
        <w:rPr>
          <w:sz w:val="20"/>
          <w:szCs w:val="20"/>
          <w:color w:val="auto"/>
        </w:rPr>
      </w:pPr>
      <w:r>
        <w:rPr>
          <w:rFonts w:ascii="Arial" w:cs="Arial" w:eastAsia="Arial" w:hAnsi="Arial"/>
          <w:sz w:val="14"/>
          <w:szCs w:val="14"/>
          <w:b w:val="1"/>
          <w:bCs w:val="1"/>
          <w:color w:val="7CBD3F"/>
        </w:rPr>
        <w:t>Skills and Qualifications specific to Ultragenyx:</w:t>
      </w:r>
    </w:p>
    <w:p>
      <w:pPr>
        <w:spacing w:after="0" w:line="61" w:lineRule="exact"/>
        <w:rPr>
          <w:sz w:val="20"/>
          <w:szCs w:val="20"/>
          <w:color w:val="auto"/>
        </w:rPr>
      </w:pPr>
    </w:p>
    <w:p>
      <w:pPr>
        <w:jc w:val="both"/>
        <w:ind w:right="80"/>
        <w:spacing w:after="0" w:line="278" w:lineRule="auto"/>
        <w:rPr>
          <w:sz w:val="20"/>
          <w:szCs w:val="20"/>
          <w:color w:val="auto"/>
        </w:rPr>
      </w:pPr>
      <w:r>
        <w:rPr>
          <w:rFonts w:ascii="Arial" w:cs="Arial" w:eastAsia="Arial" w:hAnsi="Arial"/>
          <w:sz w:val="14"/>
          <w:szCs w:val="14"/>
          <w:color w:val="auto"/>
        </w:rPr>
        <w:t>We believe that Mr. Welch is a strong operating executive with operational and strategic expertise in the global pharmaceutical market, whose experience contributes valuable insight to the Board.</w:t>
      </w:r>
    </w:p>
    <w:p>
      <w:pPr>
        <w:spacing w:after="0" w:line="152" w:lineRule="exact"/>
        <w:rPr>
          <w:sz w:val="20"/>
          <w:szCs w:val="20"/>
          <w:color w:val="auto"/>
        </w:rPr>
      </w:pPr>
    </w:p>
    <w:p>
      <w:pPr>
        <w:sectPr>
          <w:pgSz w:w="11900" w:h="16838" w:orient="portrait"/>
          <w:cols w:equalWidth="0" w:num="2">
            <w:col w:w="2220" w:space="720"/>
            <w:col w:w="8320"/>
          </w:cols>
          <w:pgMar w:left="320" w:top="225" w:right="319" w:bottom="1440" w:gutter="0" w:footer="0" w:header="0"/>
          <w:type w:val="continuous"/>
        </w:sectPr>
      </w:pPr>
    </w:p>
    <w:p>
      <w:pPr>
        <w:ind w:left="6760"/>
        <w:spacing w:after="0"/>
        <w:tabs>
          <w:tab w:leader="none" w:pos="11080" w:val="left"/>
        </w:tabs>
        <w:rPr>
          <w:sz w:val="20"/>
          <w:szCs w:val="20"/>
          <w:color w:val="auto"/>
        </w:rPr>
      </w:pPr>
      <w:r>
        <w:rPr>
          <w:rFonts w:ascii="Arial" w:cs="Arial" w:eastAsia="Arial" w:hAnsi="Arial"/>
          <w:sz w:val="14"/>
          <w:szCs w:val="14"/>
          <w:b w:val="1"/>
          <w:bCs w:val="1"/>
          <w:color w:val="221E1F"/>
        </w:rPr>
        <w:t xml:space="preserve">ULTRAGENYX PHARMACEUTICAL INC. </w:t>
      </w:r>
      <w:r>
        <w:rPr>
          <w:rFonts w:ascii="Arial" w:cs="Arial" w:eastAsia="Arial" w:hAnsi="Arial"/>
          <w:sz w:val="14"/>
          <w:szCs w:val="14"/>
          <w:color w:val="7BBD3E"/>
        </w:rPr>
        <w:t>•</w:t>
      </w:r>
      <w:r>
        <w:rPr>
          <w:rFonts w:ascii="Arial" w:cs="Arial" w:eastAsia="Arial" w:hAnsi="Arial"/>
          <w:sz w:val="14"/>
          <w:szCs w:val="14"/>
          <w:b w:val="1"/>
          <w:bCs w:val="1"/>
          <w:color w:val="221E1F"/>
        </w:rPr>
        <w:t xml:space="preserve"> </w:t>
      </w:r>
      <w:r>
        <w:rPr>
          <w:rFonts w:ascii="Arial" w:cs="Arial" w:eastAsia="Arial" w:hAnsi="Arial"/>
          <w:sz w:val="14"/>
          <w:szCs w:val="14"/>
          <w:color w:val="221E1F"/>
        </w:rPr>
        <w:t>2025 Proxy Statement</w:t>
      </w:r>
      <w:r>
        <w:rPr>
          <w:rFonts w:ascii="Arial" w:cs="Arial" w:eastAsia="Arial" w:hAnsi="Arial"/>
          <w:sz w:val="14"/>
          <w:szCs w:val="14"/>
          <w:b w:val="1"/>
          <w:bCs w:val="1"/>
          <w:color w:val="221E1F"/>
        </w:rPr>
        <w:tab/>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142240</wp:posOffset>
            </wp:positionV>
            <wp:extent cx="7150735"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0735" cy="29845"/>
                    </a:xfrm>
                    <a:prstGeom prst="rect">
                      <a:avLst/>
                    </a:prstGeom>
                    <a:noFill/>
                  </pic:spPr>
                </pic:pic>
              </a:graphicData>
            </a:graphic>
          </wp:anchor>
        </w:drawing>
      </w:r>
    </w:p>
    <w:p>
      <w:pPr>
        <w:sectPr>
          <w:pgSz w:w="11900" w:h="16838" w:orient="portrait"/>
          <w:cols w:equalWidth="0" w:num="1">
            <w:col w:w="11260"/>
          </w:cols>
          <w:pgMar w:left="320" w:top="225" w:right="31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2"/>
          <w:szCs w:val="12"/>
          <w:b w:val="1"/>
          <w:bCs w:val="1"/>
          <w:u w:val="single" w:color="auto"/>
          <w:color w:val="0000EE"/>
        </w:rPr>
        <w:t>Back to Contents</w:t>
      </w:r>
    </w:p>
    <w:p>
      <w:pPr>
        <w:spacing w:after="0" w:line="14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Class II Directors Continuing in Office until 2027</w:t>
      </w:r>
    </w:p>
    <w:p>
      <w:pPr>
        <w:spacing w:after="0" w:line="27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7CBD3F"/>
        </w:rPr>
        <w:t>Deborah Dunsire, M.D.</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Board member and advisor to various life science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8890</wp:posOffset>
            </wp:positionV>
            <wp:extent cx="7150735" cy="199136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0735" cy="1991360"/>
                    </a:xfrm>
                    <a:prstGeom prst="rect">
                      <a:avLst/>
                    </a:prstGeom>
                    <a:noFill/>
                  </pic:spPr>
                </pic:pic>
              </a:graphicData>
            </a:graphic>
          </wp:anchor>
        </w:drawing>
      </w:r>
    </w:p>
    <w:p>
      <w:pPr>
        <w:sectPr>
          <w:pgSz w:w="11900" w:h="16838" w:orient="portrait"/>
          <w:cols w:equalWidth="0" w:num="1">
            <w:col w:w="11260"/>
          </w:cols>
          <w:pgMar w:left="320" w:top="225" w:right="319" w:bottom="1440" w:gutter="0" w:footer="0" w:header="0"/>
        </w:sectPr>
      </w:pPr>
    </w:p>
    <w:p>
      <w:pPr>
        <w:spacing w:after="0" w:line="48"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b w:val="1"/>
          <w:bCs w:val="1"/>
          <w:color w:val="7CBD3F"/>
        </w:rPr>
        <w:t>62</w:t>
      </w:r>
    </w:p>
    <w:p>
      <w:pPr>
        <w:spacing w:after="0" w:line="84"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 xml:space="preserve">Director since: </w:t>
      </w:r>
      <w:r>
        <w:rPr>
          <w:rFonts w:ascii="Arial" w:cs="Arial" w:eastAsia="Arial" w:hAnsi="Arial"/>
          <w:sz w:val="14"/>
          <w:szCs w:val="14"/>
          <w:b w:val="1"/>
          <w:bCs w:val="1"/>
          <w:color w:val="7CBD3F"/>
        </w:rPr>
        <w:t>2017</w:t>
      </w:r>
    </w:p>
    <w:p>
      <w:pPr>
        <w:spacing w:after="0" w:line="84"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7CBD3F"/>
        </w:rPr>
        <w:t>INDEPENDENT</w:t>
      </w:r>
    </w:p>
    <w:p>
      <w:pPr>
        <w:spacing w:after="0" w:line="84"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 xml:space="preserve">Committees: </w:t>
      </w:r>
      <w:r>
        <w:rPr>
          <w:rFonts w:ascii="Arial" w:cs="Arial" w:eastAsia="Arial" w:hAnsi="Arial"/>
          <w:sz w:val="14"/>
          <w:szCs w:val="14"/>
          <w:b w:val="1"/>
          <w:bCs w:val="1"/>
          <w:color w:val="7CBD3F"/>
        </w:rPr>
        <w:t>2</w:t>
      </w:r>
    </w:p>
    <w:p>
      <w:pPr>
        <w:spacing w:after="0" w:line="84" w:lineRule="exact"/>
        <w:rPr>
          <w:sz w:val="20"/>
          <w:szCs w:val="20"/>
          <w:color w:val="auto"/>
        </w:rPr>
      </w:pPr>
    </w:p>
    <w:p>
      <w:pPr>
        <w:ind w:left="80"/>
        <w:spacing w:after="0"/>
        <w:rPr>
          <w:sz w:val="20"/>
          <w:szCs w:val="20"/>
          <w:color w:val="auto"/>
        </w:rPr>
      </w:pPr>
      <w:r>
        <w:rPr>
          <w:rFonts w:ascii="Arial" w:cs="Arial" w:eastAsia="Arial" w:hAnsi="Arial"/>
          <w:sz w:val="13"/>
          <w:szCs w:val="13"/>
          <w:b w:val="1"/>
          <w:bCs w:val="1"/>
          <w:color w:val="auto"/>
        </w:rPr>
        <w:t xml:space="preserve">Other Public Directorships: </w:t>
      </w:r>
      <w:r>
        <w:rPr>
          <w:rFonts w:ascii="Arial" w:cs="Arial" w:eastAsia="Arial" w:hAnsi="Arial"/>
          <w:sz w:val="13"/>
          <w:szCs w:val="13"/>
          <w:b w:val="1"/>
          <w:bCs w:val="1"/>
          <w:color w:val="7CBD3F"/>
        </w:rPr>
        <w:t>1</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jc w:val="both"/>
        <w:ind w:right="80"/>
        <w:spacing w:after="0" w:line="246" w:lineRule="auto"/>
        <w:rPr>
          <w:sz w:val="20"/>
          <w:szCs w:val="20"/>
          <w:color w:val="auto"/>
        </w:rPr>
      </w:pPr>
      <w:r>
        <w:rPr>
          <w:rFonts w:ascii="Arial" w:cs="Arial" w:eastAsia="Arial" w:hAnsi="Arial"/>
          <w:sz w:val="14"/>
          <w:szCs w:val="14"/>
          <w:color w:val="auto"/>
        </w:rPr>
        <w:t>Dr. Dunsire is a board member and advisor to life science companies. Dr. Dunsire served as President and Chief Executive Officer of H. Lundbeck A/S, a pharmaceutical company, from September 2018 until August 2023. She previously served as President and Chief Executive Officer and as a director of Xtuit Pharmaceuticals, Inc., a private biopharmaceutical company, from January 2017 to March 2018. Prior to her position at Xtuit, she served as President and Chief Executive Officer and a director of FORUM Pharmaceuticals Inc., a private pharmaceutical company, from July 2013 to May 2016. Prior to FORUM, Dr. Dunsire worked for Takeda Pharmaceutical Company Limited, a publicly traded pharmaceutical company, as a corporate officer from June 2010 to June 2011 and a director from June 2011 to June 2013. She served as President and Chief Executive Officer and as a director of Millennium Pharmaceuticals, Inc., a publicly traded biopharmaceutical company, between 2005 and 2008, when it was acquired by Takeda, and then as President and Chief Executive Officer of Millennium: The Takeda Oncology Company after the acquisition between 2008 and 2013. Prior to Millennium, Dr. Dunsire held various roles of increasing responsibility at Novartis Pharma AG between 1988 and 2005. Dr. Dunsire currently serves on the board of McKesson Corporation, a publicly traded healthcare services company. She previously served on the board of directors of Syros Pharmaceuticals, a publicly traded biotech company, from September 2021 to November 2024 and of Alexion Pharmaceuticals Inc., a publicly traded biotech company, from January 2018 until July 2021 when it was acquired by AstraZeneca. She obtained an MBBCh from the University of the Witwatersrand.</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b w:val="1"/>
          <w:bCs w:val="1"/>
          <w:color w:val="7CBD3F"/>
        </w:rPr>
        <w:t>Skills and Qualifications specific to Ultragenyx:</w:t>
      </w:r>
    </w:p>
    <w:p>
      <w:pPr>
        <w:spacing w:after="0" w:line="61" w:lineRule="exact"/>
        <w:rPr>
          <w:sz w:val="20"/>
          <w:szCs w:val="20"/>
          <w:color w:val="auto"/>
        </w:rPr>
      </w:pPr>
    </w:p>
    <w:p>
      <w:pPr>
        <w:jc w:val="both"/>
        <w:ind w:right="80"/>
        <w:spacing w:after="0" w:line="260" w:lineRule="auto"/>
        <w:rPr>
          <w:sz w:val="20"/>
          <w:szCs w:val="20"/>
          <w:color w:val="auto"/>
        </w:rPr>
      </w:pPr>
      <w:r>
        <w:rPr>
          <w:rFonts w:ascii="Arial" w:cs="Arial" w:eastAsia="Arial" w:hAnsi="Arial"/>
          <w:sz w:val="14"/>
          <w:szCs w:val="14"/>
          <w:color w:val="auto"/>
        </w:rPr>
        <w:t>We believe that Dr. Dunsire is qualified to serve on our Board due to her extensive experience in the biotechnology and pharmaceutical sectors, including service as the chief executive officer of various pharmaceutical companies, which gives her the skills to provide us with operational and strategic insights.</w:t>
      </w:r>
    </w:p>
    <w:p>
      <w:pPr>
        <w:spacing w:after="0" w:line="200" w:lineRule="exact"/>
        <w:rPr>
          <w:sz w:val="20"/>
          <w:szCs w:val="20"/>
          <w:color w:val="auto"/>
        </w:rPr>
      </w:pPr>
    </w:p>
    <w:p>
      <w:pPr>
        <w:sectPr>
          <w:pgSz w:w="11900" w:h="16838" w:orient="portrait"/>
          <w:cols w:equalWidth="0" w:num="2">
            <w:col w:w="2220" w:space="720"/>
            <w:col w:w="8320"/>
          </w:cols>
          <w:pgMar w:left="320" w:top="225" w:right="319" w:bottom="1440" w:gutter="0" w:footer="0" w:header="0"/>
          <w:type w:val="continuous"/>
        </w:sectPr>
      </w:pPr>
    </w:p>
    <w:p>
      <w:pPr>
        <w:spacing w:after="0" w:line="30"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7CBD3F"/>
        </w:rPr>
        <w:t>Michael Narachi</w:t>
      </w:r>
    </w:p>
    <w:p>
      <w:pPr>
        <w:spacing w:after="0" w:line="42" w:lineRule="exact"/>
        <w:rPr>
          <w:sz w:val="20"/>
          <w:szCs w:val="20"/>
          <w:color w:val="auto"/>
        </w:rPr>
      </w:pPr>
    </w:p>
    <w:p>
      <w:pPr>
        <w:ind w:left="80"/>
        <w:spacing w:after="0"/>
        <w:rPr>
          <w:sz w:val="20"/>
          <w:szCs w:val="20"/>
          <w:color w:val="auto"/>
        </w:rPr>
      </w:pPr>
      <w:r>
        <w:rPr>
          <w:rFonts w:ascii="Arial" w:cs="Arial" w:eastAsia="Arial" w:hAnsi="Arial"/>
          <w:sz w:val="13"/>
          <w:szCs w:val="13"/>
          <w:b w:val="1"/>
          <w:bCs w:val="1"/>
          <w:color w:val="auto"/>
        </w:rPr>
        <w:t>Board member and advisor to various life science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24130</wp:posOffset>
            </wp:positionV>
            <wp:extent cx="7150735" cy="219837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0735" cy="2198370"/>
                    </a:xfrm>
                    <a:prstGeom prst="rect">
                      <a:avLst/>
                    </a:prstGeom>
                    <a:noFill/>
                  </pic:spPr>
                </pic:pic>
              </a:graphicData>
            </a:graphic>
          </wp:anchor>
        </w:drawing>
      </w:r>
    </w:p>
    <w:p>
      <w:pPr>
        <w:sectPr>
          <w:pgSz w:w="11900" w:h="16838" w:orient="portrait"/>
          <w:cols w:equalWidth="0" w:num="1">
            <w:col w:w="11260"/>
          </w:cols>
          <w:pgMar w:left="320" w:top="225" w:right="319" w:bottom="1440" w:gutter="0" w:footer="0" w:header="0"/>
          <w:type w:val="continuous"/>
        </w:sectPr>
      </w:pPr>
    </w:p>
    <w:p>
      <w:pPr>
        <w:spacing w:after="0" w:line="72"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b w:val="1"/>
          <w:bCs w:val="1"/>
          <w:color w:val="7CBD3F"/>
        </w:rPr>
        <w:t>65</w:t>
      </w:r>
    </w:p>
    <w:p>
      <w:pPr>
        <w:spacing w:after="0" w:line="84"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 xml:space="preserve">Director since: </w:t>
      </w:r>
      <w:r>
        <w:rPr>
          <w:rFonts w:ascii="Arial" w:cs="Arial" w:eastAsia="Arial" w:hAnsi="Arial"/>
          <w:sz w:val="14"/>
          <w:szCs w:val="14"/>
          <w:b w:val="1"/>
          <w:bCs w:val="1"/>
          <w:color w:val="7CBD3F"/>
        </w:rPr>
        <w:t>2015</w:t>
      </w:r>
    </w:p>
    <w:p>
      <w:pPr>
        <w:spacing w:after="0" w:line="84"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7CBD3F"/>
        </w:rPr>
        <w:t>INDEPENDENT</w:t>
      </w:r>
    </w:p>
    <w:p>
      <w:pPr>
        <w:spacing w:after="0" w:line="84"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 xml:space="preserve">Committees: </w:t>
      </w:r>
      <w:r>
        <w:rPr>
          <w:rFonts w:ascii="Arial" w:cs="Arial" w:eastAsia="Arial" w:hAnsi="Arial"/>
          <w:sz w:val="14"/>
          <w:szCs w:val="14"/>
          <w:b w:val="1"/>
          <w:bCs w:val="1"/>
          <w:color w:val="7CBD3F"/>
        </w:rPr>
        <w:t>2</w:t>
      </w:r>
    </w:p>
    <w:p>
      <w:pPr>
        <w:spacing w:after="0" w:line="84" w:lineRule="exact"/>
        <w:rPr>
          <w:sz w:val="20"/>
          <w:szCs w:val="20"/>
          <w:color w:val="auto"/>
        </w:rPr>
      </w:pPr>
    </w:p>
    <w:p>
      <w:pPr>
        <w:ind w:left="80"/>
        <w:spacing w:after="0"/>
        <w:rPr>
          <w:sz w:val="20"/>
          <w:szCs w:val="20"/>
          <w:color w:val="auto"/>
        </w:rPr>
      </w:pPr>
      <w:r>
        <w:rPr>
          <w:rFonts w:ascii="Arial" w:cs="Arial" w:eastAsia="Arial" w:hAnsi="Arial"/>
          <w:sz w:val="13"/>
          <w:szCs w:val="13"/>
          <w:b w:val="1"/>
          <w:bCs w:val="1"/>
          <w:color w:val="auto"/>
        </w:rPr>
        <w:t xml:space="preserve">Other Public Directorships: </w:t>
      </w:r>
      <w:r>
        <w:rPr>
          <w:rFonts w:ascii="Arial" w:cs="Arial" w:eastAsia="Arial" w:hAnsi="Arial"/>
          <w:sz w:val="13"/>
          <w:szCs w:val="13"/>
          <w:b w:val="1"/>
          <w:bCs w:val="1"/>
          <w:color w:val="7CBD3F"/>
        </w:rPr>
        <w:t>0</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jc w:val="both"/>
        <w:ind w:right="80"/>
        <w:spacing w:after="0" w:line="245" w:lineRule="auto"/>
        <w:rPr>
          <w:sz w:val="20"/>
          <w:szCs w:val="20"/>
          <w:color w:val="auto"/>
        </w:rPr>
      </w:pPr>
      <w:r>
        <w:rPr>
          <w:rFonts w:ascii="Arial" w:cs="Arial" w:eastAsia="Arial" w:hAnsi="Arial"/>
          <w:sz w:val="14"/>
          <w:szCs w:val="14"/>
          <w:color w:val="auto"/>
        </w:rPr>
        <w:t>Mr. Narachi previously served as President and Chief Executive Officer of CODA Biotherapeutics, Inc., a private biotherapeutics company, from August 2018 through October 2022 and served as a director of CODA Biotherapeutics until the company’s sale in March 2023. Between March 2009 and July 2018, Mr. Narachi served as President, Chief Executive Officer and director of Orexigen Therapeutics, Inc., a biotechnology company. Orexigen filed for reorganization under Chapter 11 of the U.S. Bankruptcy Code in March 2018. Previously, Mr. Narachi served as Chairman, Chief Executive Officer, and President of Ren Pharmaceuticals, Inc., a private biotechnology company, from November 2006 to March 2009. In 2004, Mr. Narachi retired as Vice President of Amgen Inc., a leading therapeutics company, where he served as General Manager of Amgen’s Anemia Business from 1999 to 2003, until his retirement in 2004. Mr. Narachi joined Amgen in 1984 and held various senior positions throughout the organization over a 20-year career including global development leader for Neupogen/Neulasta, Vice President of development and representative director for Amgen Japan; head of corporate strategic planning; Chief Operations Officer of Amgen Colorado; and vice president, licensing and business development. Mr. Narachi previously served on the board of directors of BIO, the Biotechnology Innovation Organization, as a member of the board of directors of PhRMA, the Pharmaceutical Research and Manufacturers of America, and as the chairman of the board of directors of Celladon Corporation, a publicly traded gene therapy company, from October 2013 to March 2016, and as a director of AMAG Pharmaceuticals, Inc., a publicly traded specialty pharmaceutical company, from November 2006 to April 2014. Mr. Narachi holds a B. S. in Biology and an M. A. in Biology and Genetics from the University of California, Davis. He also holds an M.B.A. from the Anderson Graduate School of Management at the University of California, Los Angeles.</w:t>
      </w:r>
    </w:p>
    <w:p>
      <w:pPr>
        <w:spacing w:after="0" w:line="40" w:lineRule="exact"/>
        <w:rPr>
          <w:sz w:val="20"/>
          <w:szCs w:val="20"/>
          <w:color w:val="auto"/>
        </w:rPr>
      </w:pPr>
    </w:p>
    <w:p>
      <w:pPr>
        <w:spacing w:after="0"/>
        <w:rPr>
          <w:sz w:val="20"/>
          <w:szCs w:val="20"/>
          <w:color w:val="auto"/>
        </w:rPr>
      </w:pPr>
      <w:r>
        <w:rPr>
          <w:rFonts w:ascii="Arial" w:cs="Arial" w:eastAsia="Arial" w:hAnsi="Arial"/>
          <w:sz w:val="14"/>
          <w:szCs w:val="14"/>
          <w:b w:val="1"/>
          <w:bCs w:val="1"/>
          <w:color w:val="7CBD3F"/>
        </w:rPr>
        <w:t>Skills and Qualifications specific to Ultragenyx:</w:t>
      </w:r>
    </w:p>
    <w:p>
      <w:pPr>
        <w:spacing w:after="0" w:line="61" w:lineRule="exact"/>
        <w:rPr>
          <w:sz w:val="20"/>
          <w:szCs w:val="20"/>
          <w:color w:val="auto"/>
        </w:rPr>
      </w:pPr>
    </w:p>
    <w:p>
      <w:pPr>
        <w:jc w:val="both"/>
        <w:ind w:right="80"/>
        <w:spacing w:after="0" w:line="260" w:lineRule="auto"/>
        <w:rPr>
          <w:sz w:val="20"/>
          <w:szCs w:val="20"/>
          <w:color w:val="auto"/>
        </w:rPr>
      </w:pPr>
      <w:r>
        <w:rPr>
          <w:rFonts w:ascii="Arial" w:cs="Arial" w:eastAsia="Arial" w:hAnsi="Arial"/>
          <w:sz w:val="14"/>
          <w:szCs w:val="14"/>
          <w:color w:val="auto"/>
        </w:rPr>
        <w:t>We believe that Mr. Narachi is qualified to serve on our Board due to his extensive experience in the life sciences industry, his service as the chief executive officer of various biotechnology companies, and his membership on various boards of directors in the biotechnology and pharmaceutical sectors, all of which give him the skills to provide us with operational and strategic insights.</w:t>
      </w:r>
    </w:p>
    <w:p>
      <w:pPr>
        <w:spacing w:after="0" w:line="165" w:lineRule="exact"/>
        <w:rPr>
          <w:sz w:val="20"/>
          <w:szCs w:val="20"/>
          <w:color w:val="auto"/>
        </w:rPr>
      </w:pPr>
    </w:p>
    <w:p>
      <w:pPr>
        <w:sectPr>
          <w:pgSz w:w="11900" w:h="16838" w:orient="portrait"/>
          <w:cols w:equalWidth="0" w:num="2">
            <w:col w:w="2220" w:space="720"/>
            <w:col w:w="8320"/>
          </w:cols>
          <w:pgMar w:left="320" w:top="225" w:right="319" w:bottom="1440" w:gutter="0" w:footer="0" w:header="0"/>
          <w:type w:val="continuous"/>
        </w:sectPr>
      </w:pPr>
    </w:p>
    <w:p>
      <w:pPr>
        <w:ind w:left="6780"/>
        <w:spacing w:after="0"/>
        <w:tabs>
          <w:tab w:leader="none" w:pos="11080" w:val="left"/>
        </w:tabs>
        <w:rPr>
          <w:sz w:val="20"/>
          <w:szCs w:val="20"/>
          <w:color w:val="auto"/>
        </w:rPr>
      </w:pPr>
      <w:r>
        <w:rPr>
          <w:rFonts w:ascii="Arial" w:cs="Arial" w:eastAsia="Arial" w:hAnsi="Arial"/>
          <w:sz w:val="14"/>
          <w:szCs w:val="14"/>
          <w:b w:val="1"/>
          <w:bCs w:val="1"/>
          <w:color w:val="221E1F"/>
        </w:rPr>
        <w:t xml:space="preserve">ULTRAGENYX PHARMACEUTICAL INC. </w:t>
      </w:r>
      <w:r>
        <w:rPr>
          <w:rFonts w:ascii="Arial" w:cs="Arial" w:eastAsia="Arial" w:hAnsi="Arial"/>
          <w:sz w:val="14"/>
          <w:szCs w:val="14"/>
          <w:color w:val="7BBD3E"/>
        </w:rPr>
        <w:t>•</w:t>
      </w:r>
      <w:r>
        <w:rPr>
          <w:rFonts w:ascii="Arial" w:cs="Arial" w:eastAsia="Arial" w:hAnsi="Arial"/>
          <w:sz w:val="14"/>
          <w:szCs w:val="14"/>
          <w:b w:val="1"/>
          <w:bCs w:val="1"/>
          <w:color w:val="221E1F"/>
        </w:rPr>
        <w:t xml:space="preserve"> </w:t>
      </w:r>
      <w:r>
        <w:rPr>
          <w:rFonts w:ascii="Arial" w:cs="Arial" w:eastAsia="Arial" w:hAnsi="Arial"/>
          <w:sz w:val="14"/>
          <w:szCs w:val="14"/>
          <w:color w:val="221E1F"/>
        </w:rPr>
        <w:t>2025 Proxy Statement</w:t>
      </w:r>
      <w:r>
        <w:rPr>
          <w:rFonts w:ascii="Arial" w:cs="Arial" w:eastAsia="Arial" w:hAnsi="Arial"/>
          <w:sz w:val="14"/>
          <w:szCs w:val="14"/>
          <w:b w:val="1"/>
          <w:bCs w:val="1"/>
          <w:color w:val="221E1F"/>
        </w:rPr>
        <w:tab/>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142240</wp:posOffset>
            </wp:positionV>
            <wp:extent cx="7150735"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0735" cy="29845"/>
                    </a:xfrm>
                    <a:prstGeom prst="rect">
                      <a:avLst/>
                    </a:prstGeom>
                    <a:noFill/>
                  </pic:spPr>
                </pic:pic>
              </a:graphicData>
            </a:graphic>
          </wp:anchor>
        </w:drawing>
      </w:r>
    </w:p>
    <w:p>
      <w:pPr>
        <w:sectPr>
          <w:pgSz w:w="11900" w:h="16838" w:orient="portrait"/>
          <w:cols w:equalWidth="0" w:num="1">
            <w:col w:w="11260"/>
          </w:cols>
          <w:pgMar w:left="320" w:top="225" w:right="31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2"/>
          <w:szCs w:val="12"/>
          <w:b w:val="1"/>
          <w:bCs w:val="1"/>
          <w:u w:val="single" w:color="auto"/>
          <w:color w:val="0000EE"/>
        </w:rPr>
        <w:t>Back to Contents</w:t>
      </w:r>
    </w:p>
    <w:p>
      <w:pPr>
        <w:spacing w:after="0" w:line="14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7CBD3F"/>
        </w:rPr>
        <w:t>Corsee D. Sanders, Ph.D.</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Board member and adviser to various life science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8890</wp:posOffset>
            </wp:positionV>
            <wp:extent cx="7150735" cy="165798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0735" cy="1657985"/>
                    </a:xfrm>
                    <a:prstGeom prst="rect">
                      <a:avLst/>
                    </a:prstGeom>
                    <a:noFill/>
                  </pic:spPr>
                </pic:pic>
              </a:graphicData>
            </a:graphic>
          </wp:anchor>
        </w:drawing>
      </w:r>
    </w:p>
    <w:p>
      <w:pPr>
        <w:sectPr>
          <w:pgSz w:w="11900" w:h="16838" w:orient="portrait"/>
          <w:cols w:equalWidth="0" w:num="1">
            <w:col w:w="11260"/>
          </w:cols>
          <w:pgMar w:left="320" w:top="225" w:right="319" w:bottom="1440" w:gutter="0" w:footer="0" w:header="0"/>
        </w:sectPr>
      </w:pPr>
    </w:p>
    <w:p>
      <w:pPr>
        <w:spacing w:after="0" w:line="25"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b w:val="1"/>
          <w:bCs w:val="1"/>
          <w:color w:val="7CBD3F"/>
        </w:rPr>
        <w:t>68</w:t>
      </w:r>
    </w:p>
    <w:p>
      <w:pPr>
        <w:spacing w:after="0" w:line="84"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 xml:space="preserve">Director since: </w:t>
      </w:r>
      <w:r>
        <w:rPr>
          <w:rFonts w:ascii="Arial" w:cs="Arial" w:eastAsia="Arial" w:hAnsi="Arial"/>
          <w:sz w:val="14"/>
          <w:szCs w:val="14"/>
          <w:b w:val="1"/>
          <w:bCs w:val="1"/>
          <w:color w:val="7CBD3F"/>
        </w:rPr>
        <w:t>2021</w:t>
      </w:r>
    </w:p>
    <w:p>
      <w:pPr>
        <w:spacing w:after="0" w:line="84"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7CBD3F"/>
        </w:rPr>
        <w:t>INDEPENDENT</w:t>
      </w:r>
    </w:p>
    <w:p>
      <w:pPr>
        <w:spacing w:after="0" w:line="84"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 xml:space="preserve">Committees: </w:t>
      </w:r>
      <w:r>
        <w:rPr>
          <w:rFonts w:ascii="Arial" w:cs="Arial" w:eastAsia="Arial" w:hAnsi="Arial"/>
          <w:sz w:val="14"/>
          <w:szCs w:val="14"/>
          <w:b w:val="1"/>
          <w:bCs w:val="1"/>
          <w:color w:val="7CBD3F"/>
        </w:rPr>
        <w:t>2</w:t>
      </w:r>
    </w:p>
    <w:p>
      <w:pPr>
        <w:spacing w:after="0" w:line="84" w:lineRule="exact"/>
        <w:rPr>
          <w:sz w:val="20"/>
          <w:szCs w:val="20"/>
          <w:color w:val="auto"/>
        </w:rPr>
      </w:pPr>
    </w:p>
    <w:p>
      <w:pPr>
        <w:ind w:left="80"/>
        <w:spacing w:after="0"/>
        <w:rPr>
          <w:sz w:val="20"/>
          <w:szCs w:val="20"/>
          <w:color w:val="auto"/>
        </w:rPr>
      </w:pPr>
      <w:r>
        <w:rPr>
          <w:rFonts w:ascii="Arial" w:cs="Arial" w:eastAsia="Arial" w:hAnsi="Arial"/>
          <w:sz w:val="13"/>
          <w:szCs w:val="13"/>
          <w:b w:val="1"/>
          <w:bCs w:val="1"/>
          <w:color w:val="auto"/>
        </w:rPr>
        <w:t xml:space="preserve">Other Public Directorships: </w:t>
      </w:r>
      <w:r>
        <w:rPr>
          <w:rFonts w:ascii="Arial" w:cs="Arial" w:eastAsia="Arial" w:hAnsi="Arial"/>
          <w:sz w:val="13"/>
          <w:szCs w:val="13"/>
          <w:b w:val="1"/>
          <w:bCs w:val="1"/>
          <w:color w:val="7CBD3F"/>
        </w:rPr>
        <w:t>3</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jc w:val="both"/>
        <w:ind w:right="80"/>
        <w:spacing w:after="0" w:line="246" w:lineRule="auto"/>
        <w:rPr>
          <w:sz w:val="20"/>
          <w:szCs w:val="20"/>
          <w:color w:val="auto"/>
        </w:rPr>
      </w:pPr>
      <w:r>
        <w:rPr>
          <w:rFonts w:ascii="Arial" w:cs="Arial" w:eastAsia="Arial" w:hAnsi="Arial"/>
          <w:sz w:val="14"/>
          <w:szCs w:val="14"/>
          <w:color w:val="auto"/>
        </w:rPr>
        <w:t xml:space="preserve">Dr. Sanders is a board member and advisor to life science companies. Dr. Sanders currently serves as a member of the board of directors of Beigene Ltd., Molecular Templates Inc. and Legend Biotech Corporation, each a publicly traded biotechnology company. She currently serves as a co-chair of the Board of Advisors, and Chair of the Science and Technology Advisory Committee for the Fred Hutchinson Cancer Center. She most recently served as Executive Vice President at Juno Therapeutics, Inc., a biopharmaceutical company, from 2017 to 2018 and strategic advisor to the Chief Medical Officer of Celgene Corporation, a biopharmaceutical company, from 2018 to 2019 following Juno’s acquisition by Celgene. Following the acquisition of Celgene by Bristol Myers Squibb, Dr. Sanders served as Transition Advisor to the Clinical Development team at BMS from 2019 to 2020. Prior to her role at BMS, she held positions of increasing responsibility at Genentech/Roche, a biotechnology company, from 1994 to 2017, including serving as Senior Vice President, Global Head of Clinical Operations and Industry Collaboration, from 2012 to 2017. Dr. Sanders holds a B.S. and M.S. in Statistics, </w:t>
      </w:r>
      <w:r>
        <w:rPr>
          <w:rFonts w:ascii="Arial" w:cs="Arial" w:eastAsia="Arial" w:hAnsi="Arial"/>
          <w:sz w:val="14"/>
          <w:szCs w:val="14"/>
          <w:i w:val="1"/>
          <w:iCs w:val="1"/>
          <w:color w:val="auto"/>
        </w:rPr>
        <w:t>magna cum laude</w:t>
      </w:r>
      <w:r>
        <w:rPr>
          <w:rFonts w:ascii="Arial" w:cs="Arial" w:eastAsia="Arial" w:hAnsi="Arial"/>
          <w:sz w:val="14"/>
          <w:szCs w:val="14"/>
          <w:color w:val="auto"/>
        </w:rPr>
        <w:t>, from the University of the Philippines. She also holds an M.A. and Ph.D. in Statistics from the Wharton Doctoral Program at the University of Pennsylvania.</w:t>
      </w:r>
    </w:p>
    <w:p>
      <w:pPr>
        <w:spacing w:after="0" w:line="38" w:lineRule="exact"/>
        <w:rPr>
          <w:sz w:val="20"/>
          <w:szCs w:val="20"/>
          <w:color w:val="auto"/>
        </w:rPr>
      </w:pPr>
    </w:p>
    <w:p>
      <w:pPr>
        <w:spacing w:after="0"/>
        <w:rPr>
          <w:sz w:val="20"/>
          <w:szCs w:val="20"/>
          <w:color w:val="auto"/>
        </w:rPr>
      </w:pPr>
      <w:r>
        <w:rPr>
          <w:rFonts w:ascii="Arial" w:cs="Arial" w:eastAsia="Arial" w:hAnsi="Arial"/>
          <w:sz w:val="14"/>
          <w:szCs w:val="14"/>
          <w:b w:val="1"/>
          <w:bCs w:val="1"/>
          <w:color w:val="7CBD3F"/>
        </w:rPr>
        <w:t>Skills and Qualifications specific to Ultragenyx:</w:t>
      </w:r>
    </w:p>
    <w:p>
      <w:pPr>
        <w:spacing w:after="0" w:line="61" w:lineRule="exact"/>
        <w:rPr>
          <w:sz w:val="20"/>
          <w:szCs w:val="20"/>
          <w:color w:val="auto"/>
        </w:rPr>
      </w:pPr>
    </w:p>
    <w:p>
      <w:pPr>
        <w:jc w:val="both"/>
        <w:ind w:right="80"/>
        <w:spacing w:after="0" w:line="260" w:lineRule="auto"/>
        <w:rPr>
          <w:sz w:val="20"/>
          <w:szCs w:val="20"/>
          <w:color w:val="auto"/>
        </w:rPr>
      </w:pPr>
      <w:r>
        <w:rPr>
          <w:rFonts w:ascii="Arial" w:cs="Arial" w:eastAsia="Arial" w:hAnsi="Arial"/>
          <w:sz w:val="14"/>
          <w:szCs w:val="14"/>
          <w:color w:val="auto"/>
        </w:rPr>
        <w:t>We believe that Dr. Sanders is qualified to serve on our Board due to her established and extensive experience in global clinical development and her role as an advisor and director to various companies in the biotechnology and pharmaceutical sectors, all of which give her the skills to provide us with operational and strategic insights.</w:t>
      </w:r>
    </w:p>
    <w:p>
      <w:pPr>
        <w:spacing w:after="0" w:line="200" w:lineRule="exact"/>
        <w:rPr>
          <w:sz w:val="20"/>
          <w:szCs w:val="20"/>
          <w:color w:val="auto"/>
        </w:rPr>
      </w:pPr>
    </w:p>
    <w:p>
      <w:pPr>
        <w:sectPr>
          <w:pgSz w:w="11900" w:h="16838" w:orient="portrait"/>
          <w:cols w:equalWidth="0" w:num="2">
            <w:col w:w="2220" w:space="720"/>
            <w:col w:w="8320"/>
          </w:cols>
          <w:pgMar w:left="320" w:top="225" w:right="319" w:bottom="1440" w:gutter="0" w:footer="0" w:header="0"/>
          <w:type w:val="continuous"/>
        </w:sectPr>
      </w:pPr>
    </w:p>
    <w:p>
      <w:pPr>
        <w:spacing w:after="0" w:line="1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Vote Required</w:t>
      </w:r>
    </w:p>
    <w:p>
      <w:pPr>
        <w:spacing w:after="0" w:line="268" w:lineRule="exact"/>
        <w:rPr>
          <w:sz w:val="20"/>
          <w:szCs w:val="20"/>
          <w:color w:val="auto"/>
        </w:rPr>
      </w:pPr>
    </w:p>
    <w:p>
      <w:pPr>
        <w:jc w:val="both"/>
        <w:ind w:right="20"/>
        <w:spacing w:after="0" w:line="278" w:lineRule="auto"/>
        <w:rPr>
          <w:sz w:val="20"/>
          <w:szCs w:val="20"/>
          <w:color w:val="auto"/>
        </w:rPr>
      </w:pPr>
      <w:r>
        <w:rPr>
          <w:rFonts w:ascii="Arial" w:cs="Arial" w:eastAsia="Arial" w:hAnsi="Arial"/>
          <w:sz w:val="14"/>
          <w:szCs w:val="14"/>
          <w:color w:val="auto"/>
        </w:rPr>
        <w:t>The two nominees who receive the greatest number of affirmative votes will be elected as Class III directors. Shares as to which a stockholder withholds voting authority and broker non-votes, if any, are not considered votes cast and therefore will have no effect on the vote outcome.</w:t>
      </w:r>
    </w:p>
    <w:p>
      <w:pPr>
        <w:spacing w:after="0" w:line="2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Director Resignation Policy</w:t>
      </w:r>
    </w:p>
    <w:p>
      <w:pPr>
        <w:spacing w:after="0" w:line="268" w:lineRule="exact"/>
        <w:rPr>
          <w:sz w:val="20"/>
          <w:szCs w:val="20"/>
          <w:color w:val="auto"/>
        </w:rPr>
      </w:pPr>
    </w:p>
    <w:p>
      <w:pPr>
        <w:jc w:val="both"/>
        <w:ind w:right="20"/>
        <w:spacing w:after="0" w:line="260" w:lineRule="auto"/>
        <w:rPr>
          <w:sz w:val="20"/>
          <w:szCs w:val="20"/>
          <w:color w:val="auto"/>
        </w:rPr>
      </w:pPr>
      <w:r>
        <w:rPr>
          <w:rFonts w:ascii="Arial" w:cs="Arial" w:eastAsia="Arial" w:hAnsi="Arial"/>
          <w:sz w:val="14"/>
          <w:szCs w:val="14"/>
          <w:color w:val="auto"/>
        </w:rPr>
        <w:t>We have a Director Resignation Policy, which is set forth in our Corporate Governance Guidelines, a copy of which is available on our website in the “Corporate Governance” subsection of the “Investors” tab. The policy establishes that any director nominee who receives more “withhold” votes than “for” votes in an uncontested election of directors is expected to tender his or her resignation promptly following the certification of the election results. Broker non-votes, if any, are not counted as either a “withhold” or “for” vote.</w:t>
      </w:r>
    </w:p>
    <w:p>
      <w:pPr>
        <w:spacing w:after="0" w:line="130"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The Nominating and Corporate Governance Committee will promptly consider the tendered resignation and make a recommendation to the Board. The Board will act on the recommendation of the Nominating and Corporate Governance Committee no later than 90 days following the certification of the election results. The Board will promptly and publicly disclose its decision and, if applicable, the reasons for rejecting the tendered resignation.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90170</wp:posOffset>
            </wp:positionV>
            <wp:extent cx="7150735" cy="24447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0735" cy="244475"/>
                    </a:xfrm>
                    <a:prstGeom prst="rect">
                      <a:avLst/>
                    </a:prstGeom>
                    <a:noFill/>
                  </pic:spPr>
                </pic:pic>
              </a:graphicData>
            </a:graphic>
          </wp:anchor>
        </w:drawing>
      </w:r>
    </w:p>
    <w:p>
      <w:pPr>
        <w:spacing w:after="0" w:line="162" w:lineRule="exact"/>
        <w:rPr>
          <w:sz w:val="20"/>
          <w:szCs w:val="20"/>
          <w:color w:val="auto"/>
        </w:rPr>
      </w:pPr>
    </w:p>
    <w:p>
      <w:pPr>
        <w:ind w:left="80"/>
        <w:spacing w:after="0"/>
        <w:rPr>
          <w:sz w:val="20"/>
          <w:szCs w:val="20"/>
          <w:color w:val="auto"/>
        </w:rPr>
      </w:pPr>
      <w:r>
        <w:rPr>
          <w:sz w:val="1"/>
          <w:szCs w:val="1"/>
          <w:color w:val="auto"/>
        </w:rPr>
        <w:drawing>
          <wp:inline distT="0" distB="0" distL="0" distR="0">
            <wp:extent cx="147955" cy="155575"/>
            <wp:effectExtent l="0" t="0" r="0" b="0"/>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47955" cy="155575"/>
                    </a:xfrm>
                    <a:prstGeom prst="rect">
                      <a:avLst/>
                    </a:prstGeom>
                    <a:noFill/>
                    <a:ln>
                      <a:noFill/>
                    </a:ln>
                  </pic:spPr>
                </pic:pic>
              </a:graphicData>
            </a:graphic>
          </wp:inline>
        </w:drawing>
      </w:r>
      <w:r>
        <w:rPr>
          <w:rFonts w:ascii="Arial" w:cs="Arial" w:eastAsia="Arial" w:hAnsi="Arial"/>
          <w:sz w:val="14"/>
          <w:szCs w:val="14"/>
          <w:b w:val="1"/>
          <w:bCs w:val="1"/>
          <w:color w:val="auto"/>
        </w:rPr>
        <w:t xml:space="preserve"> THE BOARD OF DIRECTORS RECOMMENDS A VOTE “</w:t>
      </w:r>
      <w:r>
        <w:rPr>
          <w:rFonts w:ascii="Arial" w:cs="Arial" w:eastAsia="Arial" w:hAnsi="Arial"/>
          <w:sz w:val="14"/>
          <w:szCs w:val="14"/>
          <w:b w:val="1"/>
          <w:bCs w:val="1"/>
          <w:color w:val="7CBD3F"/>
        </w:rPr>
        <w:t>FOR</w:t>
      </w:r>
      <w:r>
        <w:rPr>
          <w:rFonts w:ascii="Arial" w:cs="Arial" w:eastAsia="Arial" w:hAnsi="Arial"/>
          <w:sz w:val="14"/>
          <w:szCs w:val="14"/>
          <w:b w:val="1"/>
          <w:bCs w:val="1"/>
          <w:color w:val="auto"/>
        </w:rPr>
        <w:t>” EACH OF THE DIRECTOR NOMINEES IDENTIFIED ABOVE.</w:t>
      </w:r>
    </w:p>
    <w:p>
      <w:pPr>
        <w:spacing w:after="0" w:line="221"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221E1F"/>
        </w:rPr>
        <w:t xml:space="preserve">ULTRAGENYX PHARMACEUTICAL INC. </w:t>
      </w:r>
      <w:r>
        <w:rPr>
          <w:rFonts w:ascii="Arial" w:cs="Arial" w:eastAsia="Arial" w:hAnsi="Arial"/>
          <w:sz w:val="14"/>
          <w:szCs w:val="14"/>
          <w:color w:val="7BBD3E"/>
        </w:rPr>
        <w:t>•</w:t>
      </w:r>
      <w:r>
        <w:rPr>
          <w:rFonts w:ascii="Arial" w:cs="Arial" w:eastAsia="Arial" w:hAnsi="Arial"/>
          <w:sz w:val="14"/>
          <w:szCs w:val="14"/>
          <w:b w:val="1"/>
          <w:bCs w:val="1"/>
          <w:color w:val="221E1F"/>
        </w:rPr>
        <w:t xml:space="preserve"> </w:t>
      </w:r>
      <w:r>
        <w:rPr>
          <w:rFonts w:ascii="Arial" w:cs="Arial" w:eastAsia="Arial" w:hAnsi="Arial"/>
          <w:sz w:val="14"/>
          <w:szCs w:val="14"/>
          <w:color w:val="221E1F"/>
        </w:rPr>
        <w:t>2025 Proxy Statement</w:t>
      </w:r>
      <w:r>
        <w:rPr>
          <w:rFonts w:ascii="Arial" w:cs="Arial" w:eastAsia="Arial" w:hAnsi="Arial"/>
          <w:sz w:val="14"/>
          <w:szCs w:val="14"/>
          <w:b w:val="1"/>
          <w:bCs w:val="1"/>
          <w:color w:val="221E1F"/>
        </w:rPr>
        <w:tab/>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142240</wp:posOffset>
            </wp:positionV>
            <wp:extent cx="7150735"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0735" cy="29845"/>
                    </a:xfrm>
                    <a:prstGeom prst="rect">
                      <a:avLst/>
                    </a:prstGeom>
                    <a:noFill/>
                  </pic:spPr>
                </pic:pic>
              </a:graphicData>
            </a:graphic>
          </wp:anchor>
        </w:drawing>
      </w:r>
    </w:p>
    <w:p>
      <w:pPr>
        <w:sectPr>
          <w:pgSz w:w="11900" w:h="16838" w:orient="portrait"/>
          <w:cols w:equalWidth="0" w:num="1">
            <w:col w:w="11260"/>
          </w:cols>
          <w:pgMar w:left="320" w:top="225" w:right="319" w:bottom="1440" w:gutter="0" w:footer="0" w:header="0"/>
          <w:type w:val="continuous"/>
        </w:sectPr>
      </w:pPr>
    </w:p>
    <w:bookmarkStart w:id="14" w:name="page15"/>
    <w:bookmarkEnd w:id="14"/>
    <w:p>
      <w:pPr>
        <w:ind w:left="7"/>
        <w:spacing w:after="0"/>
        <w:rPr>
          <w:sz w:val="20"/>
          <w:szCs w:val="20"/>
          <w:color w:val="auto"/>
        </w:rPr>
      </w:pPr>
      <w:r>
        <w:rPr>
          <w:rFonts w:ascii="Arial" w:cs="Arial" w:eastAsia="Arial" w:hAnsi="Arial"/>
          <w:sz w:val="12"/>
          <w:szCs w:val="12"/>
          <w:b w:val="1"/>
          <w:bCs w:val="1"/>
          <w:u w:val="single" w:color="auto"/>
          <w:color w:val="0000EE"/>
        </w:rPr>
        <w:t>Back to Contents</w:t>
      </w:r>
    </w:p>
    <w:p>
      <w:pPr>
        <w:spacing w:after="0" w:line="141" w:lineRule="exact"/>
        <w:rPr>
          <w:sz w:val="20"/>
          <w:szCs w:val="20"/>
          <w:color w:val="auto"/>
        </w:rPr>
      </w:pPr>
    </w:p>
    <w:p>
      <w:pPr>
        <w:ind w:left="7"/>
        <w:spacing w:after="0"/>
        <w:rPr>
          <w:sz w:val="20"/>
          <w:szCs w:val="20"/>
          <w:color w:val="auto"/>
        </w:rPr>
      </w:pPr>
      <w:r>
        <w:rPr>
          <w:rFonts w:ascii="Arial" w:cs="Arial" w:eastAsia="Arial" w:hAnsi="Arial"/>
          <w:sz w:val="22"/>
          <w:szCs w:val="22"/>
          <w:b w:val="1"/>
          <w:bCs w:val="1"/>
          <w:color w:val="743E79"/>
        </w:rPr>
        <w:t>PROPOSAL 2</w:t>
      </w:r>
    </w:p>
    <w:p>
      <w:pPr>
        <w:spacing w:after="0" w:line="23" w:lineRule="exact"/>
        <w:rPr>
          <w:sz w:val="20"/>
          <w:szCs w:val="20"/>
          <w:color w:val="auto"/>
        </w:rPr>
      </w:pPr>
    </w:p>
    <w:p>
      <w:pPr>
        <w:ind w:left="7" w:right="940"/>
        <w:spacing w:after="0" w:line="270" w:lineRule="auto"/>
        <w:rPr>
          <w:sz w:val="20"/>
          <w:szCs w:val="20"/>
          <w:color w:val="auto"/>
        </w:rPr>
      </w:pPr>
      <w:r>
        <w:rPr>
          <w:rFonts w:ascii="Arial" w:cs="Arial" w:eastAsia="Arial" w:hAnsi="Arial"/>
          <w:sz w:val="31"/>
          <w:szCs w:val="31"/>
          <w:b w:val="1"/>
          <w:bCs w:val="1"/>
          <w:color w:val="7CBD3F"/>
        </w:rPr>
        <w:t>Approval of the Ultragenyx Pharmaceutical Inc. Second Amended and Restated 2023 Incentive Plan</w:t>
      </w:r>
    </w:p>
    <w:p>
      <w:pPr>
        <w:spacing w:after="0" w:line="271" w:lineRule="exact"/>
        <w:rPr>
          <w:sz w:val="20"/>
          <w:szCs w:val="20"/>
          <w:color w:val="auto"/>
        </w:rPr>
      </w:pPr>
    </w:p>
    <w:p>
      <w:pPr>
        <w:jc w:val="both"/>
        <w:ind w:left="7"/>
        <w:spacing w:after="0" w:line="250" w:lineRule="auto"/>
        <w:rPr>
          <w:sz w:val="20"/>
          <w:szCs w:val="20"/>
          <w:color w:val="auto"/>
        </w:rPr>
      </w:pPr>
      <w:r>
        <w:rPr>
          <w:rFonts w:ascii="Arial" w:cs="Arial" w:eastAsia="Arial" w:hAnsi="Arial"/>
          <w:sz w:val="14"/>
          <w:szCs w:val="14"/>
          <w:color w:val="auto"/>
        </w:rPr>
        <w:t>On March 24, 2025, the Board approved a second amendment and restatement of the Ultragenyx Pharmaceutical Inc. 2023 Incentive Plan (the 2023 Plan and as amended and restated, the Second A&amp;R 2023 Plan), subject to stockholder approval at the Annual Meeting. The Second A&amp;R 2023 Plan provides for an additional 3.0 million shares of our common stock to be available for issuance thereunder and extends the term of the plan through May 15, 2035. We believe that our equity compensation policies enable us to attract and retain a highly-skilled team of executives and aligns our executives’ interests with those of our stockholders by rewarding short-term and long-term performance and tying compensation to increases in stockholder value. If the Second A&amp;R 2023 Plan is approved by our stockholders, we intend to file a Form S-8 with the SEC following the Annual Meeting during the second or third quarter that covers the additional shares reserved for issuance under the Second A&amp;R 2023 Plan.</w:t>
      </w:r>
    </w:p>
    <w:p>
      <w:pPr>
        <w:spacing w:after="0" w:line="291" w:lineRule="exact"/>
        <w:rPr>
          <w:sz w:val="20"/>
          <w:szCs w:val="20"/>
          <w:color w:val="auto"/>
        </w:rPr>
      </w:pPr>
    </w:p>
    <w:p>
      <w:pPr>
        <w:ind w:left="7"/>
        <w:spacing w:after="0"/>
        <w:rPr>
          <w:sz w:val="20"/>
          <w:szCs w:val="20"/>
          <w:color w:val="auto"/>
        </w:rPr>
      </w:pPr>
      <w:r>
        <w:rPr>
          <w:rFonts w:ascii="Arial" w:cs="Arial" w:eastAsia="Arial" w:hAnsi="Arial"/>
          <w:sz w:val="22"/>
          <w:szCs w:val="22"/>
          <w:b w:val="1"/>
          <w:bCs w:val="1"/>
          <w:color w:val="auto"/>
        </w:rPr>
        <w:t>Share Reserve Under the Second A&amp;R 2023 Plan</w:t>
      </w:r>
    </w:p>
    <w:p>
      <w:pPr>
        <w:spacing w:after="0" w:line="175" w:lineRule="exact"/>
        <w:rPr>
          <w:sz w:val="20"/>
          <w:szCs w:val="20"/>
          <w:color w:val="auto"/>
        </w:rPr>
      </w:pPr>
    </w:p>
    <w:p>
      <w:pPr>
        <w:jc w:val="both"/>
        <w:ind w:left="7"/>
        <w:spacing w:after="0" w:line="249" w:lineRule="auto"/>
        <w:rPr>
          <w:sz w:val="20"/>
          <w:szCs w:val="20"/>
          <w:color w:val="auto"/>
        </w:rPr>
      </w:pPr>
      <w:r>
        <w:rPr>
          <w:rFonts w:ascii="Arial" w:cs="Arial" w:eastAsia="Arial" w:hAnsi="Arial"/>
          <w:sz w:val="14"/>
          <w:szCs w:val="14"/>
          <w:color w:val="auto"/>
        </w:rPr>
        <w:t>The maximum number of shares of our common stock authorized for issuance under the Second A&amp;R 2023 Plan is (i) 11.5 million shares plus (ii) the number of shares subject to any award outstanding under the 2014 Incentive Plan (2014 Plan) or the 2011 Incentive Plan (2011 Plan and together with the 2014 Plan, the Prior Plans) as of June 7, 2023 that after June 7, 2023 are not issued because such award is forfeited, canceled, terminates, expires or otherwise lapses without being exercised, or is settled in cash. Based on the recent range of our stock price, our current compensation practices, our anticipated future awards, as well as our three-year burn rate, we believe the Second A&amp;R 2023 Plan share reserve will be sufficient for us to grant equity awards for approximately one year based on our stock price and compensation philosophy and policies. If stockholders do not approve this Proposal No. 2, we anticipate that the shares that remain available for grant would be insufficient for us to continue to provide equity incentives at a competitive market level, limiting our ability to attract and retain talented employees and other service providers, and requiring a greater cash allocation to support our incentive programs.</w:t>
      </w:r>
    </w:p>
    <w:p>
      <w:pPr>
        <w:spacing w:after="0" w:line="136" w:lineRule="exact"/>
        <w:rPr>
          <w:sz w:val="20"/>
          <w:szCs w:val="20"/>
          <w:color w:val="auto"/>
        </w:rPr>
      </w:pPr>
    </w:p>
    <w:p>
      <w:pPr>
        <w:jc w:val="both"/>
        <w:ind w:left="7" w:right="20"/>
        <w:spacing w:after="0" w:line="260" w:lineRule="auto"/>
        <w:rPr>
          <w:sz w:val="20"/>
          <w:szCs w:val="20"/>
          <w:color w:val="auto"/>
        </w:rPr>
      </w:pPr>
      <w:r>
        <w:rPr>
          <w:rFonts w:ascii="Arial" w:cs="Arial" w:eastAsia="Arial" w:hAnsi="Arial"/>
          <w:sz w:val="14"/>
          <w:szCs w:val="14"/>
          <w:color w:val="auto"/>
        </w:rPr>
        <w:t>As part of the Compensation Committee’s recommendation to the Board to approve the Second A&amp;R 2023 Plan and the additional shares available for issuance under the Second A&amp;R 2023 Plan, the Compensation Committee considered advice from Aon, its independent compensation consultant. The Compensation Committee also carefully analyzed our historical burn rate, anticipated future equity award needs to help drive our long-term strategic plan, and the dilutive impact of the Second A&amp;R 2023 Plan’s share reserve.</w:t>
      </w:r>
    </w:p>
    <w:p>
      <w:pPr>
        <w:spacing w:after="0" w:line="285" w:lineRule="exact"/>
        <w:rPr>
          <w:sz w:val="20"/>
          <w:szCs w:val="20"/>
          <w:color w:val="auto"/>
        </w:rPr>
      </w:pPr>
    </w:p>
    <w:p>
      <w:pPr>
        <w:ind w:left="7"/>
        <w:spacing w:after="0"/>
        <w:rPr>
          <w:sz w:val="20"/>
          <w:szCs w:val="20"/>
          <w:color w:val="auto"/>
        </w:rPr>
      </w:pPr>
      <w:r>
        <w:rPr>
          <w:rFonts w:ascii="Arial" w:cs="Arial" w:eastAsia="Arial" w:hAnsi="Arial"/>
          <w:sz w:val="22"/>
          <w:szCs w:val="22"/>
          <w:b w:val="1"/>
          <w:bCs w:val="1"/>
          <w:color w:val="auto"/>
        </w:rPr>
        <w:t>Reasons for Seeking Stockholder Approval</w:t>
      </w:r>
    </w:p>
    <w:p>
      <w:pPr>
        <w:spacing w:after="0" w:line="175" w:lineRule="exact"/>
        <w:rPr>
          <w:sz w:val="20"/>
          <w:szCs w:val="20"/>
          <w:color w:val="auto"/>
        </w:rPr>
      </w:pPr>
    </w:p>
    <w:p>
      <w:pPr>
        <w:ind w:left="7"/>
        <w:spacing w:after="0"/>
        <w:rPr>
          <w:sz w:val="20"/>
          <w:szCs w:val="20"/>
          <w:color w:val="auto"/>
        </w:rPr>
      </w:pPr>
      <w:r>
        <w:rPr>
          <w:rFonts w:ascii="Arial" w:cs="Arial" w:eastAsia="Arial" w:hAnsi="Arial"/>
          <w:sz w:val="14"/>
          <w:szCs w:val="14"/>
          <w:color w:val="auto"/>
        </w:rPr>
        <w:t>We believe the following are important considerations for stockholders in determining whether to approve the Second A&amp;R 2023 Plan:</w:t>
      </w:r>
    </w:p>
    <w:p>
      <w:pPr>
        <w:spacing w:after="0" w:line="165" w:lineRule="exact"/>
        <w:rPr>
          <w:sz w:val="20"/>
          <w:szCs w:val="20"/>
          <w:color w:val="auto"/>
        </w:rPr>
      </w:pPr>
    </w:p>
    <w:p>
      <w:pPr>
        <w:jc w:val="both"/>
        <w:ind w:left="147" w:hanging="147"/>
        <w:spacing w:after="0" w:line="250" w:lineRule="auto"/>
        <w:tabs>
          <w:tab w:leader="none" w:pos="147" w:val="left"/>
        </w:tabs>
        <w:numPr>
          <w:ilvl w:val="0"/>
          <w:numId w:val="2"/>
        </w:numPr>
        <w:rPr>
          <w:rFonts w:ascii="Arial" w:cs="Arial" w:eastAsia="Arial" w:hAnsi="Arial"/>
          <w:sz w:val="14"/>
          <w:szCs w:val="14"/>
          <w:color w:val="7CBD3F"/>
        </w:rPr>
      </w:pPr>
      <w:r>
        <w:rPr>
          <w:rFonts w:ascii="Arial" w:cs="Arial" w:eastAsia="Arial" w:hAnsi="Arial"/>
          <w:sz w:val="14"/>
          <w:szCs w:val="14"/>
          <w:b w:val="1"/>
          <w:bCs w:val="1"/>
          <w:color w:val="auto"/>
        </w:rPr>
        <w:t xml:space="preserve">Equity Awards are Essential to Talent Acquisition and Retention: </w:t>
      </w:r>
      <w:r>
        <w:rPr>
          <w:rFonts w:ascii="Arial" w:cs="Arial" w:eastAsia="Arial" w:hAnsi="Arial"/>
          <w:sz w:val="14"/>
          <w:szCs w:val="14"/>
          <w:color w:val="auto"/>
        </w:rPr>
        <w:t>Equity awards, similar to those typically offered by our competitors are, and we believe will continue to be, an</w:t>
      </w:r>
      <w:r>
        <w:rPr>
          <w:rFonts w:ascii="Arial" w:cs="Arial" w:eastAsia="Arial" w:hAnsi="Arial"/>
          <w:sz w:val="14"/>
          <w:szCs w:val="14"/>
          <w:b w:val="1"/>
          <w:bCs w:val="1"/>
          <w:color w:val="auto"/>
        </w:rPr>
        <w:t xml:space="preserve"> </w:t>
      </w:r>
      <w:r>
        <w:rPr>
          <w:rFonts w:ascii="Arial" w:cs="Arial" w:eastAsia="Arial" w:hAnsi="Arial"/>
          <w:sz w:val="14"/>
          <w:szCs w:val="14"/>
          <w:color w:val="auto"/>
        </w:rPr>
        <w:t>integral component of our overall compensation program, enabling us to attract qualified and skilled employees and directors, retain our existing employees, including our experienced management team, and provide incentives for our employees to exert maximum efforts for our success, ultimately contributing to the creation of stockholder value. If the Second A&amp;R 2023 Plan is not approved by our stockholders at the Annual Meeting, we will not have adequate shares to continue to grant equity awards to all our employees and directors in 2025. Historically, we have granted equity awards deeply in our organization, believing that a culture of ownership is important to our ability to achieve our short-and long-term business objectives and that our success is dependent on our employees feeling invested in our future. In fiscal 2024, we granted equity awards to 1,376 employees.</w:t>
      </w:r>
    </w:p>
    <w:p>
      <w:pPr>
        <w:spacing w:after="0" w:line="42" w:lineRule="exact"/>
        <w:rPr>
          <w:rFonts w:ascii="Arial" w:cs="Arial" w:eastAsia="Arial" w:hAnsi="Arial"/>
          <w:sz w:val="14"/>
          <w:szCs w:val="14"/>
          <w:color w:val="7CBD3F"/>
        </w:rPr>
      </w:pPr>
    </w:p>
    <w:p>
      <w:pPr>
        <w:jc w:val="both"/>
        <w:ind w:left="147" w:hanging="147"/>
        <w:spacing w:after="0" w:line="255" w:lineRule="auto"/>
        <w:tabs>
          <w:tab w:leader="none" w:pos="147" w:val="left"/>
        </w:tabs>
        <w:numPr>
          <w:ilvl w:val="0"/>
          <w:numId w:val="2"/>
        </w:numPr>
        <w:rPr>
          <w:rFonts w:ascii="Arial" w:cs="Arial" w:eastAsia="Arial" w:hAnsi="Arial"/>
          <w:sz w:val="14"/>
          <w:szCs w:val="14"/>
          <w:color w:val="7CBD3F"/>
        </w:rPr>
      </w:pPr>
      <w:r>
        <w:rPr>
          <w:rFonts w:ascii="Arial" w:cs="Arial" w:eastAsia="Arial" w:hAnsi="Arial"/>
          <w:sz w:val="14"/>
          <w:szCs w:val="14"/>
          <w:b w:val="1"/>
          <w:bCs w:val="1"/>
          <w:color w:val="auto"/>
        </w:rPr>
        <w:t xml:space="preserve">We are Committed to Executing on our Strategic Priorities: </w:t>
      </w:r>
      <w:r>
        <w:rPr>
          <w:rFonts w:ascii="Arial" w:cs="Arial" w:eastAsia="Arial" w:hAnsi="Arial"/>
          <w:sz w:val="14"/>
          <w:szCs w:val="14"/>
          <w:color w:val="auto"/>
        </w:rPr>
        <w:t>The</w:t>
      </w:r>
      <w:r>
        <w:rPr>
          <w:rFonts w:ascii="Arial" w:cs="Arial" w:eastAsia="Arial" w:hAnsi="Arial"/>
          <w:sz w:val="14"/>
          <w:szCs w:val="14"/>
          <w:b w:val="1"/>
          <w:bCs w:val="1"/>
          <w:color w:val="auto"/>
        </w:rPr>
        <w:t xml:space="preserve"> </w:t>
      </w:r>
      <w:r>
        <w:rPr>
          <w:rFonts w:ascii="Arial" w:cs="Arial" w:eastAsia="Arial" w:hAnsi="Arial"/>
          <w:sz w:val="14"/>
          <w:szCs w:val="14"/>
          <w:color w:val="221E1F"/>
        </w:rPr>
        <w:t>use of equity awards assists us and will continue to assist us in ensuring that our executives and employees</w:t>
      </w:r>
      <w:r>
        <w:rPr>
          <w:rFonts w:ascii="Arial" w:cs="Arial" w:eastAsia="Arial" w:hAnsi="Arial"/>
          <w:sz w:val="14"/>
          <w:szCs w:val="14"/>
          <w:b w:val="1"/>
          <w:bCs w:val="1"/>
          <w:color w:val="auto"/>
        </w:rPr>
        <w:t xml:space="preserve"> </w:t>
      </w:r>
      <w:r>
        <w:rPr>
          <w:rFonts w:ascii="Arial" w:cs="Arial" w:eastAsia="Arial" w:hAnsi="Arial"/>
          <w:sz w:val="14"/>
          <w:szCs w:val="14"/>
          <w:color w:val="221E1F"/>
        </w:rPr>
        <w:t>are focused on long term value creation for our stockholders and in enabling us to attract and retain the talent needed to execute on our strategic priorities while managing our cash flow. We believe that the approval of the Second A&amp;R 2023 Plan as described in this proposal is instrumental to our ongoing success and our ability to provide increased value to our stockholders.</w:t>
      </w:r>
    </w:p>
    <w:p>
      <w:pPr>
        <w:spacing w:after="0" w:line="38" w:lineRule="exact"/>
        <w:rPr>
          <w:rFonts w:ascii="Arial" w:cs="Arial" w:eastAsia="Arial" w:hAnsi="Arial"/>
          <w:sz w:val="14"/>
          <w:szCs w:val="14"/>
          <w:color w:val="7CBD3F"/>
        </w:rPr>
      </w:pPr>
    </w:p>
    <w:p>
      <w:pPr>
        <w:jc w:val="both"/>
        <w:ind w:left="147" w:hanging="147"/>
        <w:spacing w:after="0" w:line="255" w:lineRule="auto"/>
        <w:tabs>
          <w:tab w:leader="none" w:pos="147" w:val="left"/>
        </w:tabs>
        <w:numPr>
          <w:ilvl w:val="0"/>
          <w:numId w:val="2"/>
        </w:numPr>
        <w:rPr>
          <w:rFonts w:ascii="Arial" w:cs="Arial" w:eastAsia="Arial" w:hAnsi="Arial"/>
          <w:sz w:val="14"/>
          <w:szCs w:val="14"/>
          <w:color w:val="7CBD3F"/>
        </w:rPr>
      </w:pPr>
      <w:r>
        <w:rPr>
          <w:rFonts w:ascii="Arial" w:cs="Arial" w:eastAsia="Arial" w:hAnsi="Arial"/>
          <w:sz w:val="14"/>
          <w:szCs w:val="14"/>
          <w:b w:val="1"/>
          <w:bCs w:val="1"/>
          <w:color w:val="auto"/>
        </w:rPr>
        <w:t xml:space="preserve">We are Managing our Annual Burn Rate: </w:t>
      </w:r>
      <w:r>
        <w:rPr>
          <w:rFonts w:ascii="Arial" w:cs="Arial" w:eastAsia="Arial" w:hAnsi="Arial"/>
          <w:sz w:val="14"/>
          <w:szCs w:val="14"/>
          <w:color w:val="auto"/>
        </w:rPr>
        <w:t>We carefully and thoughtfully manage our equity award use, balancing attraction, retention and incentivization of our employees against</w:t>
      </w:r>
      <w:r>
        <w:rPr>
          <w:rFonts w:ascii="Arial" w:cs="Arial" w:eastAsia="Arial" w:hAnsi="Arial"/>
          <w:sz w:val="14"/>
          <w:szCs w:val="14"/>
          <w:b w:val="1"/>
          <w:bCs w:val="1"/>
          <w:color w:val="auto"/>
        </w:rPr>
        <w:t xml:space="preserve"> </w:t>
      </w:r>
      <w:r>
        <w:rPr>
          <w:rFonts w:ascii="Arial" w:cs="Arial" w:eastAsia="Arial" w:hAnsi="Arial"/>
          <w:sz w:val="14"/>
          <w:szCs w:val="14"/>
          <w:color w:val="auto"/>
        </w:rPr>
        <w:t>dilution and burn rate considerations. We have relied more heavily on the grant of restricted stock units (RSUs) and for our executives, performance stock units (PSUs) as opposed to options in an effort to manage our burn rate. Further, we regularly review and consider our burn rate against those of our peer companies in the biotech industry to provide incentives at a competitive market level as part of our human capital management strategy.</w:t>
      </w:r>
    </w:p>
    <w:p>
      <w:pPr>
        <w:spacing w:after="0" w:line="132" w:lineRule="exact"/>
        <w:rPr>
          <w:sz w:val="20"/>
          <w:szCs w:val="20"/>
          <w:color w:val="auto"/>
        </w:rPr>
      </w:pPr>
    </w:p>
    <w:p>
      <w:pPr>
        <w:ind w:left="6767"/>
        <w:spacing w:after="0"/>
        <w:tabs>
          <w:tab w:leader="none" w:pos="11086" w:val="left"/>
        </w:tabs>
        <w:rPr>
          <w:sz w:val="20"/>
          <w:szCs w:val="20"/>
          <w:color w:val="auto"/>
        </w:rPr>
      </w:pPr>
      <w:r>
        <w:rPr>
          <w:rFonts w:ascii="Arial" w:cs="Arial" w:eastAsia="Arial" w:hAnsi="Arial"/>
          <w:sz w:val="14"/>
          <w:szCs w:val="14"/>
          <w:b w:val="1"/>
          <w:bCs w:val="1"/>
          <w:color w:val="221E1F"/>
        </w:rPr>
        <w:t xml:space="preserve">ULTRAGENYX PHARMACEUTICAL INC. </w:t>
      </w:r>
      <w:r>
        <w:rPr>
          <w:rFonts w:ascii="Arial" w:cs="Arial" w:eastAsia="Arial" w:hAnsi="Arial"/>
          <w:sz w:val="14"/>
          <w:szCs w:val="14"/>
          <w:color w:val="7BBD3E"/>
        </w:rPr>
        <w:t>•</w:t>
      </w:r>
      <w:r>
        <w:rPr>
          <w:rFonts w:ascii="Arial" w:cs="Arial" w:eastAsia="Arial" w:hAnsi="Arial"/>
          <w:sz w:val="14"/>
          <w:szCs w:val="14"/>
          <w:b w:val="1"/>
          <w:bCs w:val="1"/>
          <w:color w:val="221E1F"/>
        </w:rPr>
        <w:t xml:space="preserve"> </w:t>
      </w:r>
      <w:r>
        <w:rPr>
          <w:rFonts w:ascii="Arial" w:cs="Arial" w:eastAsia="Arial" w:hAnsi="Arial"/>
          <w:sz w:val="14"/>
          <w:szCs w:val="14"/>
          <w:color w:val="221E1F"/>
        </w:rPr>
        <w:t>2025 Proxy Statement</w:t>
      </w:r>
      <w:r>
        <w:rPr>
          <w:rFonts w:ascii="Arial" w:cs="Arial" w:eastAsia="Arial" w:hAnsi="Arial"/>
          <w:sz w:val="14"/>
          <w:szCs w:val="14"/>
          <w:b w:val="1"/>
          <w:bCs w:val="1"/>
          <w:color w:val="221E1F"/>
        </w:rPr>
        <w:tab/>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150735"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0735" cy="29845"/>
                    </a:xfrm>
                    <a:prstGeom prst="rect">
                      <a:avLst/>
                    </a:prstGeom>
                    <a:noFill/>
                  </pic:spPr>
                </pic:pic>
              </a:graphicData>
            </a:graphic>
          </wp:anchor>
        </w:drawing>
      </w:r>
    </w:p>
    <w:p>
      <w:pPr>
        <w:sectPr>
          <w:pgSz w:w="11900" w:h="16838" w:orient="portrait"/>
          <w:cols w:equalWidth="0" w:num="1">
            <w:col w:w="11267"/>
          </w:cols>
          <w:pgMar w:left="313" w:top="225" w:right="319" w:bottom="1440" w:gutter="0" w:footer="0" w:header="0"/>
        </w:sectPr>
      </w:pPr>
    </w:p>
    <w:bookmarkStart w:id="15" w:name="page16"/>
    <w:bookmarkEnd w:id="15"/>
    <w:p>
      <w:pPr>
        <w:ind w:left="7"/>
        <w:spacing w:after="0"/>
        <w:rPr>
          <w:sz w:val="20"/>
          <w:szCs w:val="20"/>
          <w:color w:val="auto"/>
        </w:rPr>
      </w:pPr>
      <w:r>
        <w:rPr>
          <w:rFonts w:ascii="Arial" w:cs="Arial" w:eastAsia="Arial" w:hAnsi="Arial"/>
          <w:sz w:val="12"/>
          <w:szCs w:val="12"/>
          <w:b w:val="1"/>
          <w:bCs w:val="1"/>
          <w:u w:val="single" w:color="auto"/>
          <w:color w:val="0000EE"/>
        </w:rPr>
        <w:t>Back to Contents</w:t>
      </w:r>
    </w:p>
    <w:p>
      <w:pPr>
        <w:spacing w:after="0" w:line="149" w:lineRule="exact"/>
        <w:rPr>
          <w:sz w:val="20"/>
          <w:szCs w:val="20"/>
          <w:color w:val="auto"/>
        </w:rPr>
      </w:pPr>
    </w:p>
    <w:p>
      <w:pPr>
        <w:jc w:val="both"/>
        <w:ind w:left="147" w:hanging="147"/>
        <w:spacing w:after="0" w:line="255" w:lineRule="auto"/>
        <w:tabs>
          <w:tab w:leader="none" w:pos="147" w:val="left"/>
        </w:tabs>
        <w:numPr>
          <w:ilvl w:val="0"/>
          <w:numId w:val="3"/>
        </w:numPr>
        <w:rPr>
          <w:rFonts w:ascii="Arial" w:cs="Arial" w:eastAsia="Arial" w:hAnsi="Arial"/>
          <w:sz w:val="14"/>
          <w:szCs w:val="14"/>
          <w:color w:val="7CBD3F"/>
        </w:rPr>
      </w:pPr>
      <w:r>
        <w:rPr>
          <w:rFonts w:ascii="Arial" w:cs="Arial" w:eastAsia="Arial" w:hAnsi="Arial"/>
          <w:sz w:val="14"/>
          <w:szCs w:val="14"/>
          <w:b w:val="1"/>
          <w:bCs w:val="1"/>
          <w:color w:val="auto"/>
        </w:rPr>
        <w:t xml:space="preserve">Our Equity Program is Performance-Based: </w:t>
      </w:r>
      <w:r>
        <w:rPr>
          <w:rFonts w:ascii="Arial" w:cs="Arial" w:eastAsia="Arial" w:hAnsi="Arial"/>
          <w:sz w:val="14"/>
          <w:szCs w:val="14"/>
          <w:color w:val="auto"/>
        </w:rPr>
        <w:t>The Compensation Committee believes that PSUs align the objectives of management with those of our stockholders with respect</w:t>
      </w:r>
      <w:r>
        <w:rPr>
          <w:rFonts w:ascii="Arial" w:cs="Arial" w:eastAsia="Arial" w:hAnsi="Arial"/>
          <w:sz w:val="14"/>
          <w:szCs w:val="14"/>
          <w:b w:val="1"/>
          <w:bCs w:val="1"/>
          <w:color w:val="auto"/>
        </w:rPr>
        <w:t xml:space="preserve"> </w:t>
      </w:r>
      <w:r>
        <w:rPr>
          <w:rFonts w:ascii="Arial" w:cs="Arial" w:eastAsia="Arial" w:hAnsi="Arial"/>
          <w:sz w:val="14"/>
          <w:szCs w:val="14"/>
          <w:color w:val="auto"/>
        </w:rPr>
        <w:t>to long-term performance and success of the Company. For 2024, the equity grants to our executive officers, other than to our Chief Executive Officer, reflected an equal value split among option, RSUs and PSUs. To further align the compensation of our executive officers with stockholder interests and to increase the portion of compensation tied to Company performance measures, the Compensation Committee made the following changes:</w:t>
      </w:r>
    </w:p>
    <w:p>
      <w:pPr>
        <w:spacing w:after="0" w:line="50" w:lineRule="exact"/>
        <w:rPr>
          <w:rFonts w:ascii="Arial" w:cs="Arial" w:eastAsia="Arial" w:hAnsi="Arial"/>
          <w:sz w:val="14"/>
          <w:szCs w:val="14"/>
          <w:color w:val="7CBD3F"/>
        </w:rPr>
      </w:pPr>
    </w:p>
    <w:p>
      <w:pPr>
        <w:ind w:left="307" w:hanging="155"/>
        <w:spacing w:after="0" w:line="278" w:lineRule="auto"/>
        <w:tabs>
          <w:tab w:leader="none" w:pos="307" w:val="left"/>
        </w:tabs>
        <w:numPr>
          <w:ilvl w:val="1"/>
          <w:numId w:val="3"/>
        </w:numPr>
        <w:rPr>
          <w:rFonts w:ascii="Arial" w:cs="Arial" w:eastAsia="Arial" w:hAnsi="Arial"/>
          <w:sz w:val="14"/>
          <w:szCs w:val="14"/>
          <w:color w:val="auto"/>
        </w:rPr>
      </w:pPr>
      <w:r>
        <w:rPr>
          <w:rFonts w:ascii="Arial" w:cs="Arial" w:eastAsia="Arial" w:hAnsi="Arial"/>
          <w:sz w:val="14"/>
          <w:szCs w:val="14"/>
          <w:color w:val="auto"/>
        </w:rPr>
        <w:t>In 2024, the Compensation Committee changed the equity award value split for our Chief Executive Officer from an equal value split among options, RSUs and PSUs to 20% options, 20% RSUs and 60% PSUs;</w:t>
      </w:r>
    </w:p>
    <w:p>
      <w:pPr>
        <w:spacing w:after="0" w:line="23" w:lineRule="exact"/>
        <w:rPr>
          <w:rFonts w:ascii="Arial" w:cs="Arial" w:eastAsia="Arial" w:hAnsi="Arial"/>
          <w:sz w:val="14"/>
          <w:szCs w:val="14"/>
          <w:color w:val="auto"/>
        </w:rPr>
      </w:pPr>
    </w:p>
    <w:p>
      <w:pPr>
        <w:ind w:left="307" w:hanging="155"/>
        <w:spacing w:after="0" w:line="278" w:lineRule="auto"/>
        <w:tabs>
          <w:tab w:leader="none" w:pos="307" w:val="left"/>
        </w:tabs>
        <w:numPr>
          <w:ilvl w:val="1"/>
          <w:numId w:val="3"/>
        </w:numPr>
        <w:rPr>
          <w:rFonts w:ascii="Arial" w:cs="Arial" w:eastAsia="Arial" w:hAnsi="Arial"/>
          <w:sz w:val="14"/>
          <w:szCs w:val="14"/>
          <w:color w:val="auto"/>
        </w:rPr>
      </w:pPr>
      <w:r>
        <w:rPr>
          <w:rFonts w:ascii="Arial" w:cs="Arial" w:eastAsia="Arial" w:hAnsi="Arial"/>
          <w:sz w:val="14"/>
          <w:szCs w:val="14"/>
          <w:color w:val="auto"/>
        </w:rPr>
        <w:t>In 2025, the Compensation Committee increased the portion of PSUs for our other executive officers from 25% to 50% resulting in an awards split of 25% RSUs, 25% options and 50% PSUs.</w:t>
      </w:r>
    </w:p>
    <w:p>
      <w:pPr>
        <w:spacing w:after="0" w:line="35" w:lineRule="exact"/>
        <w:rPr>
          <w:rFonts w:ascii="Arial" w:cs="Arial" w:eastAsia="Arial" w:hAnsi="Arial"/>
          <w:sz w:val="14"/>
          <w:szCs w:val="14"/>
          <w:color w:val="auto"/>
        </w:rPr>
      </w:pPr>
    </w:p>
    <w:p>
      <w:pPr>
        <w:jc w:val="both"/>
        <w:ind w:left="147" w:right="40" w:hanging="147"/>
        <w:spacing w:after="0" w:line="252" w:lineRule="auto"/>
        <w:tabs>
          <w:tab w:leader="none" w:pos="147" w:val="left"/>
        </w:tabs>
        <w:numPr>
          <w:ilvl w:val="0"/>
          <w:numId w:val="3"/>
        </w:numPr>
        <w:rPr>
          <w:rFonts w:ascii="Arial" w:cs="Arial" w:eastAsia="Arial" w:hAnsi="Arial"/>
          <w:sz w:val="14"/>
          <w:szCs w:val="14"/>
          <w:color w:val="7CBD3F"/>
        </w:rPr>
      </w:pPr>
      <w:r>
        <w:rPr>
          <w:rFonts w:ascii="Arial" w:cs="Arial" w:eastAsia="Arial" w:hAnsi="Arial"/>
          <w:sz w:val="14"/>
          <w:szCs w:val="14"/>
          <w:b w:val="1"/>
          <w:bCs w:val="1"/>
          <w:color w:val="auto"/>
        </w:rPr>
        <w:t xml:space="preserve">Forecasted Usage. </w:t>
      </w:r>
      <w:r>
        <w:rPr>
          <w:rFonts w:ascii="Arial" w:cs="Arial" w:eastAsia="Arial" w:hAnsi="Arial"/>
          <w:sz w:val="14"/>
          <w:szCs w:val="14"/>
          <w:color w:val="auto"/>
        </w:rPr>
        <w:t>If stockholders approve the Second A&amp;R 2023 Plan, the Compensation Committee currently anticipates that we will likely need to again request additional</w:t>
      </w:r>
      <w:r>
        <w:rPr>
          <w:rFonts w:ascii="Arial" w:cs="Arial" w:eastAsia="Arial" w:hAnsi="Arial"/>
          <w:sz w:val="14"/>
          <w:szCs w:val="14"/>
          <w:b w:val="1"/>
          <w:bCs w:val="1"/>
          <w:color w:val="auto"/>
        </w:rPr>
        <w:t xml:space="preserve"> </w:t>
      </w:r>
      <w:r>
        <w:rPr>
          <w:rFonts w:ascii="Arial" w:cs="Arial" w:eastAsia="Arial" w:hAnsi="Arial"/>
          <w:sz w:val="14"/>
          <w:szCs w:val="14"/>
          <w:color w:val="auto"/>
        </w:rPr>
        <w:t>shares at our 2026 Annual Meeting of Stockholders, based on our current share price, recent burn rate history, and historical new hire and annual grant practices. In making this determination, the Compensation Committee took into account the potential impact of any expected future changes in employee population on projected share use, in particular given our ongoing efforts to execute on our strategic priorities. We cannot predict our future equity grant practices, the future price of our shares or future hiring activity with any degree of certainty at this time, and the share reserve under the Second A&amp;R 2023 Plan could last for a shorter or longer time.</w:t>
      </w:r>
    </w:p>
    <w:p>
      <w:pPr>
        <w:spacing w:after="0" w:line="289" w:lineRule="exact"/>
        <w:rPr>
          <w:sz w:val="20"/>
          <w:szCs w:val="20"/>
          <w:color w:val="auto"/>
        </w:rPr>
      </w:pPr>
    </w:p>
    <w:p>
      <w:pPr>
        <w:ind w:left="7"/>
        <w:spacing w:after="0"/>
        <w:rPr>
          <w:sz w:val="20"/>
          <w:szCs w:val="20"/>
          <w:color w:val="auto"/>
        </w:rPr>
      </w:pPr>
      <w:r>
        <w:rPr>
          <w:rFonts w:ascii="Arial" w:cs="Arial" w:eastAsia="Arial" w:hAnsi="Arial"/>
          <w:sz w:val="22"/>
          <w:szCs w:val="22"/>
          <w:b w:val="1"/>
          <w:bCs w:val="1"/>
          <w:color w:val="auto"/>
        </w:rPr>
        <w:t>Key Features and Governance Best Practices</w:t>
      </w:r>
    </w:p>
    <w:p>
      <w:pPr>
        <w:spacing w:after="0" w:line="268" w:lineRule="exact"/>
        <w:rPr>
          <w:sz w:val="20"/>
          <w:szCs w:val="20"/>
          <w:color w:val="auto"/>
        </w:rPr>
      </w:pPr>
    </w:p>
    <w:p>
      <w:pPr>
        <w:ind w:left="7"/>
        <w:spacing w:after="0"/>
        <w:rPr>
          <w:sz w:val="20"/>
          <w:szCs w:val="20"/>
          <w:color w:val="auto"/>
        </w:rPr>
      </w:pPr>
      <w:r>
        <w:rPr>
          <w:rFonts w:ascii="Arial" w:cs="Arial" w:eastAsia="Arial" w:hAnsi="Arial"/>
          <w:sz w:val="14"/>
          <w:szCs w:val="14"/>
          <w:color w:val="auto"/>
        </w:rPr>
        <w:t>The Second A&amp;R 2023 Plan reflects a number of provisions that protect stockholders and reflect corporate governance best practices, including the following:</w:t>
      </w:r>
    </w:p>
    <w:p>
      <w:pPr>
        <w:spacing w:after="0" w:line="165" w:lineRule="exact"/>
        <w:rPr>
          <w:sz w:val="20"/>
          <w:szCs w:val="20"/>
          <w:color w:val="auto"/>
        </w:rPr>
      </w:pPr>
    </w:p>
    <w:p>
      <w:pPr>
        <w:jc w:val="both"/>
        <w:ind w:left="147" w:hanging="147"/>
        <w:spacing w:after="0" w:line="255" w:lineRule="auto"/>
        <w:tabs>
          <w:tab w:leader="none" w:pos="147" w:val="left"/>
        </w:tabs>
        <w:numPr>
          <w:ilvl w:val="0"/>
          <w:numId w:val="4"/>
        </w:numPr>
        <w:rPr>
          <w:rFonts w:ascii="Arial" w:cs="Arial" w:eastAsia="Arial" w:hAnsi="Arial"/>
          <w:sz w:val="14"/>
          <w:szCs w:val="14"/>
          <w:color w:val="7CBD3F"/>
        </w:rPr>
      </w:pPr>
      <w:r>
        <w:rPr>
          <w:rFonts w:ascii="Arial" w:cs="Arial" w:eastAsia="Arial" w:hAnsi="Arial"/>
          <w:sz w:val="14"/>
          <w:szCs w:val="14"/>
          <w:b w:val="1"/>
          <w:bCs w:val="1"/>
          <w:color w:val="221E1F"/>
        </w:rPr>
        <w:t xml:space="preserve">No Repricing and No Reload Options: </w:t>
      </w:r>
      <w:r>
        <w:rPr>
          <w:rFonts w:ascii="Arial" w:cs="Arial" w:eastAsia="Arial" w:hAnsi="Arial"/>
          <w:sz w:val="14"/>
          <w:szCs w:val="14"/>
          <w:color w:val="221E1F"/>
        </w:rPr>
        <w:t>Without stockholder approval, the Second A&amp;R 2023 Plan prohibits the repricing of stock options and SARs (defined below), the exchange</w:t>
      </w:r>
      <w:r>
        <w:rPr>
          <w:rFonts w:ascii="Arial" w:cs="Arial" w:eastAsia="Arial" w:hAnsi="Arial"/>
          <w:sz w:val="14"/>
          <w:szCs w:val="14"/>
          <w:b w:val="1"/>
          <w:bCs w:val="1"/>
          <w:color w:val="221E1F"/>
        </w:rPr>
        <w:t xml:space="preserve"> </w:t>
      </w:r>
      <w:r>
        <w:rPr>
          <w:rFonts w:ascii="Arial" w:cs="Arial" w:eastAsia="Arial" w:hAnsi="Arial"/>
          <w:sz w:val="14"/>
          <w:szCs w:val="14"/>
          <w:color w:val="221E1F"/>
        </w:rPr>
        <w:t>or substitution of one award for another award that has the effect of reducing the exercise or purchase price, and the cancellation or exchange of underwater awards for cash, another award or other property, except in the event of a change in our capitalization or a covered transaction (described below). Reload options are not permitted under the Second A&amp;R 2023 Plan.</w:t>
      </w:r>
    </w:p>
    <w:p>
      <w:pPr>
        <w:spacing w:after="0" w:line="38" w:lineRule="exact"/>
        <w:rPr>
          <w:rFonts w:ascii="Arial" w:cs="Arial" w:eastAsia="Arial" w:hAnsi="Arial"/>
          <w:sz w:val="14"/>
          <w:szCs w:val="14"/>
          <w:color w:val="7CBD3F"/>
        </w:rPr>
      </w:pPr>
    </w:p>
    <w:p>
      <w:pPr>
        <w:ind w:left="147" w:hanging="147"/>
        <w:spacing w:after="0"/>
        <w:tabs>
          <w:tab w:leader="none" w:pos="147" w:val="left"/>
        </w:tabs>
        <w:numPr>
          <w:ilvl w:val="0"/>
          <w:numId w:val="4"/>
        </w:numPr>
        <w:rPr>
          <w:rFonts w:ascii="Arial" w:cs="Arial" w:eastAsia="Arial" w:hAnsi="Arial"/>
          <w:sz w:val="14"/>
          <w:szCs w:val="14"/>
          <w:color w:val="7CBD3F"/>
        </w:rPr>
      </w:pPr>
      <w:r>
        <w:rPr>
          <w:rFonts w:ascii="Arial" w:cs="Arial" w:eastAsia="Arial" w:hAnsi="Arial"/>
          <w:sz w:val="14"/>
          <w:szCs w:val="14"/>
          <w:b w:val="1"/>
          <w:bCs w:val="1"/>
          <w:color w:val="auto"/>
        </w:rPr>
        <w:t xml:space="preserve">No Dividends on Unvested Awards: </w:t>
      </w:r>
      <w:r>
        <w:rPr>
          <w:rFonts w:ascii="Arial" w:cs="Arial" w:eastAsia="Arial" w:hAnsi="Arial"/>
          <w:sz w:val="14"/>
          <w:szCs w:val="14"/>
          <w:color w:val="auto"/>
        </w:rPr>
        <w:t>The Second A&amp;R 2023 Plan provides that dividends and dividend equivalent rights may never be paid on any unvested award.</w:t>
      </w:r>
    </w:p>
    <w:p>
      <w:pPr>
        <w:spacing w:after="0" w:line="72" w:lineRule="exact"/>
        <w:rPr>
          <w:rFonts w:ascii="Arial" w:cs="Arial" w:eastAsia="Arial" w:hAnsi="Arial"/>
          <w:sz w:val="14"/>
          <w:szCs w:val="14"/>
          <w:color w:val="7CBD3F"/>
        </w:rPr>
      </w:pPr>
    </w:p>
    <w:p>
      <w:pPr>
        <w:ind w:left="147" w:hanging="147"/>
        <w:spacing w:after="0"/>
        <w:tabs>
          <w:tab w:leader="none" w:pos="147" w:val="left"/>
        </w:tabs>
        <w:numPr>
          <w:ilvl w:val="0"/>
          <w:numId w:val="4"/>
        </w:numPr>
        <w:rPr>
          <w:rFonts w:ascii="Arial" w:cs="Arial" w:eastAsia="Arial" w:hAnsi="Arial"/>
          <w:sz w:val="14"/>
          <w:szCs w:val="14"/>
          <w:color w:val="7CBD3F"/>
        </w:rPr>
      </w:pPr>
      <w:r>
        <w:rPr>
          <w:rFonts w:ascii="Arial" w:cs="Arial" w:eastAsia="Arial" w:hAnsi="Arial"/>
          <w:sz w:val="14"/>
          <w:szCs w:val="14"/>
          <w:b w:val="1"/>
          <w:bCs w:val="1"/>
          <w:color w:val="auto"/>
        </w:rPr>
        <w:t xml:space="preserve">No Liberal Share Recycling: </w:t>
      </w:r>
      <w:r>
        <w:rPr>
          <w:rFonts w:ascii="Arial" w:cs="Arial" w:eastAsia="Arial" w:hAnsi="Arial"/>
          <w:sz w:val="14"/>
          <w:szCs w:val="14"/>
          <w:color w:val="auto"/>
        </w:rPr>
        <w:t>The Second A&amp;R 2023 Plan prohibits liberal share recycling.</w:t>
      </w:r>
    </w:p>
    <w:p>
      <w:pPr>
        <w:spacing w:after="0" w:line="72" w:lineRule="exact"/>
        <w:rPr>
          <w:rFonts w:ascii="Arial" w:cs="Arial" w:eastAsia="Arial" w:hAnsi="Arial"/>
          <w:sz w:val="14"/>
          <w:szCs w:val="14"/>
          <w:color w:val="7CBD3F"/>
        </w:rPr>
      </w:pPr>
    </w:p>
    <w:p>
      <w:pPr>
        <w:jc w:val="both"/>
        <w:ind w:left="147" w:right="20" w:hanging="147"/>
        <w:spacing w:after="0" w:line="260" w:lineRule="auto"/>
        <w:tabs>
          <w:tab w:leader="none" w:pos="147" w:val="left"/>
        </w:tabs>
        <w:numPr>
          <w:ilvl w:val="0"/>
          <w:numId w:val="4"/>
        </w:numPr>
        <w:rPr>
          <w:rFonts w:ascii="Arial" w:cs="Arial" w:eastAsia="Arial" w:hAnsi="Arial"/>
          <w:sz w:val="14"/>
          <w:szCs w:val="14"/>
          <w:color w:val="7CBD3F"/>
        </w:rPr>
      </w:pPr>
      <w:r>
        <w:rPr>
          <w:rFonts w:ascii="Arial" w:cs="Arial" w:eastAsia="Arial" w:hAnsi="Arial"/>
          <w:sz w:val="14"/>
          <w:szCs w:val="14"/>
          <w:b w:val="1"/>
          <w:bCs w:val="1"/>
          <w:color w:val="auto"/>
        </w:rPr>
        <w:t xml:space="preserve">Limit on Non-Employee Director Compensation: </w:t>
      </w:r>
      <w:r>
        <w:rPr>
          <w:rFonts w:ascii="Arial" w:cs="Arial" w:eastAsia="Arial" w:hAnsi="Arial"/>
          <w:sz w:val="14"/>
          <w:szCs w:val="14"/>
          <w:color w:val="auto"/>
        </w:rPr>
        <w:t>The Second A&amp;R 2023 Plan contains an annual limit on cash and equity-based compensation that may be paid or granted,</w:t>
      </w:r>
      <w:r>
        <w:rPr>
          <w:rFonts w:ascii="Arial" w:cs="Arial" w:eastAsia="Arial" w:hAnsi="Arial"/>
          <w:sz w:val="14"/>
          <w:szCs w:val="14"/>
          <w:b w:val="1"/>
          <w:bCs w:val="1"/>
          <w:color w:val="auto"/>
        </w:rPr>
        <w:t xml:space="preserve"> </w:t>
      </w:r>
      <w:r>
        <w:rPr>
          <w:rFonts w:ascii="Arial" w:cs="Arial" w:eastAsia="Arial" w:hAnsi="Arial"/>
          <w:sz w:val="14"/>
          <w:szCs w:val="14"/>
          <w:color w:val="auto"/>
        </w:rPr>
        <w:t>whether under the Second A&amp;R 2023 Plan or otherwise, to our non-employee directors of $900,000 (or $1,500,000 in the calendar year that the non-employee director first joins the Board or if the non-employee director is serving as chairman or lead director of the Board).</w:t>
      </w:r>
    </w:p>
    <w:p>
      <w:pPr>
        <w:spacing w:after="0" w:line="36" w:lineRule="exact"/>
        <w:rPr>
          <w:rFonts w:ascii="Arial" w:cs="Arial" w:eastAsia="Arial" w:hAnsi="Arial"/>
          <w:sz w:val="14"/>
          <w:szCs w:val="14"/>
          <w:color w:val="7CBD3F"/>
        </w:rPr>
      </w:pPr>
    </w:p>
    <w:p>
      <w:pPr>
        <w:jc w:val="both"/>
        <w:ind w:left="147" w:hanging="147"/>
        <w:spacing w:after="0" w:line="260" w:lineRule="auto"/>
        <w:tabs>
          <w:tab w:leader="none" w:pos="147" w:val="left"/>
        </w:tabs>
        <w:numPr>
          <w:ilvl w:val="0"/>
          <w:numId w:val="4"/>
        </w:numPr>
        <w:rPr>
          <w:rFonts w:ascii="Arial" w:cs="Arial" w:eastAsia="Arial" w:hAnsi="Arial"/>
          <w:sz w:val="14"/>
          <w:szCs w:val="14"/>
          <w:color w:val="7CBD3F"/>
        </w:rPr>
      </w:pPr>
      <w:r>
        <w:rPr>
          <w:rFonts w:ascii="Arial" w:cs="Arial" w:eastAsia="Arial" w:hAnsi="Arial"/>
          <w:sz w:val="14"/>
          <w:szCs w:val="14"/>
          <w:b w:val="1"/>
          <w:bCs w:val="1"/>
          <w:color w:val="221E1F"/>
        </w:rPr>
        <w:t xml:space="preserve">Clawback Provision: </w:t>
      </w:r>
      <w:r>
        <w:rPr>
          <w:rFonts w:ascii="Arial" w:cs="Arial" w:eastAsia="Arial" w:hAnsi="Arial"/>
          <w:sz w:val="14"/>
          <w:szCs w:val="14"/>
          <w:color w:val="221E1F"/>
        </w:rPr>
        <w:t>Awards under the Second A&amp;R 2023 Plan are subject to our clawback policy. In addition, the Plan Administrator (as defined below) may cancel or limit</w:t>
      </w:r>
      <w:r>
        <w:rPr>
          <w:rFonts w:ascii="Arial" w:cs="Arial" w:eastAsia="Arial" w:hAnsi="Arial"/>
          <w:sz w:val="14"/>
          <w:szCs w:val="14"/>
          <w:b w:val="1"/>
          <w:bCs w:val="1"/>
          <w:color w:val="221E1F"/>
        </w:rPr>
        <w:t xml:space="preserve"> </w:t>
      </w:r>
      <w:r>
        <w:rPr>
          <w:rFonts w:ascii="Arial" w:cs="Arial" w:eastAsia="Arial" w:hAnsi="Arial"/>
          <w:sz w:val="14"/>
          <w:szCs w:val="14"/>
          <w:color w:val="221E1F"/>
        </w:rPr>
        <w:t>awards under the Second A&amp;R 2023 Plan if a participant is not in compliance with the applicable award agreement or if a participant breaches any confidentiality agreement with the Company.</w:t>
      </w:r>
    </w:p>
    <w:p>
      <w:pPr>
        <w:spacing w:after="0" w:line="36" w:lineRule="exact"/>
        <w:rPr>
          <w:rFonts w:ascii="Arial" w:cs="Arial" w:eastAsia="Arial" w:hAnsi="Arial"/>
          <w:sz w:val="14"/>
          <w:szCs w:val="14"/>
          <w:color w:val="7CBD3F"/>
        </w:rPr>
      </w:pPr>
    </w:p>
    <w:p>
      <w:pPr>
        <w:ind w:left="147" w:hanging="147"/>
        <w:spacing w:after="0"/>
        <w:tabs>
          <w:tab w:leader="none" w:pos="147" w:val="left"/>
        </w:tabs>
        <w:numPr>
          <w:ilvl w:val="0"/>
          <w:numId w:val="4"/>
        </w:numPr>
        <w:rPr>
          <w:rFonts w:ascii="Arial" w:cs="Arial" w:eastAsia="Arial" w:hAnsi="Arial"/>
          <w:sz w:val="14"/>
          <w:szCs w:val="14"/>
          <w:color w:val="7CBD3F"/>
        </w:rPr>
      </w:pPr>
      <w:r>
        <w:rPr>
          <w:rFonts w:ascii="Arial" w:cs="Arial" w:eastAsia="Arial" w:hAnsi="Arial"/>
          <w:sz w:val="14"/>
          <w:szCs w:val="14"/>
          <w:b w:val="1"/>
          <w:bCs w:val="1"/>
          <w:color w:val="auto"/>
        </w:rPr>
        <w:t xml:space="preserve">No Automatic Single Trigger Acceleration: </w:t>
      </w:r>
      <w:r>
        <w:rPr>
          <w:rFonts w:ascii="Arial" w:cs="Arial" w:eastAsia="Arial" w:hAnsi="Arial"/>
          <w:sz w:val="14"/>
          <w:szCs w:val="14"/>
          <w:color w:val="auto"/>
        </w:rPr>
        <w:t>In the event of a covered transaction, the Second A&amp;R 2023 Plan does not provide for automatic single trigger acceleration.</w:t>
      </w:r>
    </w:p>
    <w:p>
      <w:pPr>
        <w:spacing w:after="0" w:line="72" w:lineRule="exact"/>
        <w:rPr>
          <w:rFonts w:ascii="Arial" w:cs="Arial" w:eastAsia="Arial" w:hAnsi="Arial"/>
          <w:sz w:val="14"/>
          <w:szCs w:val="14"/>
          <w:color w:val="7CBD3F"/>
        </w:rPr>
      </w:pPr>
    </w:p>
    <w:p>
      <w:pPr>
        <w:ind w:left="147" w:right="20" w:hanging="147"/>
        <w:spacing w:after="0" w:line="278" w:lineRule="auto"/>
        <w:tabs>
          <w:tab w:leader="none" w:pos="147" w:val="left"/>
        </w:tabs>
        <w:numPr>
          <w:ilvl w:val="0"/>
          <w:numId w:val="4"/>
        </w:numPr>
        <w:rPr>
          <w:rFonts w:ascii="Arial" w:cs="Arial" w:eastAsia="Arial" w:hAnsi="Arial"/>
          <w:sz w:val="14"/>
          <w:szCs w:val="14"/>
          <w:color w:val="7CBD3F"/>
        </w:rPr>
      </w:pPr>
      <w:r>
        <w:rPr>
          <w:rFonts w:ascii="Arial" w:cs="Arial" w:eastAsia="Arial" w:hAnsi="Arial"/>
          <w:sz w:val="14"/>
          <w:szCs w:val="14"/>
          <w:b w:val="1"/>
          <w:bCs w:val="1"/>
          <w:color w:val="auto"/>
        </w:rPr>
        <w:t xml:space="preserve">Term and Exercise Price Limits on Options and SARs: </w:t>
      </w:r>
      <w:r>
        <w:rPr>
          <w:rFonts w:ascii="Arial" w:cs="Arial" w:eastAsia="Arial" w:hAnsi="Arial"/>
          <w:sz w:val="14"/>
          <w:szCs w:val="14"/>
          <w:color w:val="auto"/>
        </w:rPr>
        <w:t>Options and SARs granted under the Second A&amp;R 2023 Plan are subject to a maximum term of 10 years and may not</w:t>
      </w:r>
      <w:r>
        <w:rPr>
          <w:rFonts w:ascii="Arial" w:cs="Arial" w:eastAsia="Arial" w:hAnsi="Arial"/>
          <w:sz w:val="14"/>
          <w:szCs w:val="14"/>
          <w:b w:val="1"/>
          <w:bCs w:val="1"/>
          <w:color w:val="auto"/>
        </w:rPr>
        <w:t xml:space="preserve"> </w:t>
      </w:r>
      <w:r>
        <w:rPr>
          <w:rFonts w:ascii="Arial" w:cs="Arial" w:eastAsia="Arial" w:hAnsi="Arial"/>
          <w:sz w:val="14"/>
          <w:szCs w:val="14"/>
          <w:color w:val="auto"/>
        </w:rPr>
        <w:t>be granted at a discount to the fair market value of our common stock on the grant date.</w:t>
      </w:r>
    </w:p>
    <w:p>
      <w:pPr>
        <w:spacing w:after="0" w:line="23" w:lineRule="exact"/>
        <w:rPr>
          <w:rFonts w:ascii="Arial" w:cs="Arial" w:eastAsia="Arial" w:hAnsi="Arial"/>
          <w:sz w:val="14"/>
          <w:szCs w:val="14"/>
          <w:color w:val="7CBD3F"/>
        </w:rPr>
      </w:pPr>
    </w:p>
    <w:p>
      <w:pPr>
        <w:ind w:left="147" w:hanging="147"/>
        <w:spacing w:after="0"/>
        <w:tabs>
          <w:tab w:leader="none" w:pos="147" w:val="left"/>
        </w:tabs>
        <w:numPr>
          <w:ilvl w:val="0"/>
          <w:numId w:val="4"/>
        </w:numPr>
        <w:rPr>
          <w:rFonts w:ascii="Arial" w:cs="Arial" w:eastAsia="Arial" w:hAnsi="Arial"/>
          <w:sz w:val="14"/>
          <w:szCs w:val="14"/>
          <w:color w:val="7CBD3F"/>
        </w:rPr>
      </w:pPr>
      <w:r>
        <w:rPr>
          <w:rFonts w:ascii="Arial" w:cs="Arial" w:eastAsia="Arial" w:hAnsi="Arial"/>
          <w:sz w:val="14"/>
          <w:szCs w:val="14"/>
          <w:b w:val="1"/>
          <w:bCs w:val="1"/>
          <w:color w:val="auto"/>
        </w:rPr>
        <w:t xml:space="preserve">No Tax Gross-Ups. </w:t>
      </w:r>
      <w:r>
        <w:rPr>
          <w:rFonts w:ascii="Arial" w:cs="Arial" w:eastAsia="Arial" w:hAnsi="Arial"/>
          <w:sz w:val="14"/>
          <w:szCs w:val="14"/>
          <w:color w:val="auto"/>
        </w:rPr>
        <w:t>The Second A&amp;R 2023 Plan does not provide for any tax gross-ups.</w:t>
      </w:r>
    </w:p>
    <w:p>
      <w:pPr>
        <w:spacing w:after="0" w:line="72" w:lineRule="exact"/>
        <w:rPr>
          <w:rFonts w:ascii="Arial" w:cs="Arial" w:eastAsia="Arial" w:hAnsi="Arial"/>
          <w:sz w:val="14"/>
          <w:szCs w:val="14"/>
          <w:color w:val="7CBD3F"/>
        </w:rPr>
      </w:pPr>
    </w:p>
    <w:p>
      <w:pPr>
        <w:ind w:left="147" w:hanging="147"/>
        <w:spacing w:after="0"/>
        <w:tabs>
          <w:tab w:leader="none" w:pos="147" w:val="left"/>
        </w:tabs>
        <w:numPr>
          <w:ilvl w:val="0"/>
          <w:numId w:val="4"/>
        </w:numPr>
        <w:rPr>
          <w:rFonts w:ascii="Arial" w:cs="Arial" w:eastAsia="Arial" w:hAnsi="Arial"/>
          <w:sz w:val="14"/>
          <w:szCs w:val="14"/>
          <w:color w:val="7CBD3F"/>
        </w:rPr>
      </w:pPr>
      <w:r>
        <w:rPr>
          <w:rFonts w:ascii="Arial" w:cs="Arial" w:eastAsia="Arial" w:hAnsi="Arial"/>
          <w:sz w:val="14"/>
          <w:szCs w:val="14"/>
          <w:b w:val="1"/>
          <w:bCs w:val="1"/>
          <w:color w:val="auto"/>
        </w:rPr>
        <w:t xml:space="preserve">No Evergreen: </w:t>
      </w:r>
      <w:r>
        <w:rPr>
          <w:rFonts w:ascii="Arial" w:cs="Arial" w:eastAsia="Arial" w:hAnsi="Arial"/>
          <w:sz w:val="14"/>
          <w:szCs w:val="14"/>
          <w:color w:val="auto"/>
        </w:rPr>
        <w:t>There is no automatic share reload or “evergreen” provision in the Second A&amp;R 2023 Plan.</w:t>
      </w:r>
    </w:p>
    <w:p>
      <w:pPr>
        <w:spacing w:after="0" w:line="165"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221E1F"/>
        </w:rPr>
        <w:t xml:space="preserve">ULTRAGENYX PHARMACEUTICAL INC. </w:t>
      </w:r>
      <w:r>
        <w:rPr>
          <w:rFonts w:ascii="Arial" w:cs="Arial" w:eastAsia="Arial" w:hAnsi="Arial"/>
          <w:sz w:val="14"/>
          <w:szCs w:val="14"/>
          <w:color w:val="7BBD3E"/>
        </w:rPr>
        <w:t>•</w:t>
      </w:r>
      <w:r>
        <w:rPr>
          <w:rFonts w:ascii="Arial" w:cs="Arial" w:eastAsia="Arial" w:hAnsi="Arial"/>
          <w:sz w:val="14"/>
          <w:szCs w:val="14"/>
          <w:b w:val="1"/>
          <w:bCs w:val="1"/>
          <w:color w:val="221E1F"/>
        </w:rPr>
        <w:t xml:space="preserve"> </w:t>
      </w:r>
      <w:r>
        <w:rPr>
          <w:rFonts w:ascii="Arial" w:cs="Arial" w:eastAsia="Arial" w:hAnsi="Arial"/>
          <w:sz w:val="14"/>
          <w:szCs w:val="14"/>
          <w:color w:val="221E1F"/>
        </w:rPr>
        <w:t>2025 Proxy Statement</w:t>
      </w:r>
      <w:r>
        <w:rPr>
          <w:rFonts w:ascii="Arial" w:cs="Arial" w:eastAsia="Arial" w:hAnsi="Arial"/>
          <w:sz w:val="14"/>
          <w:szCs w:val="14"/>
          <w:b w:val="1"/>
          <w:bCs w:val="1"/>
          <w:color w:val="221E1F"/>
        </w:rPr>
        <w:tab/>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150735"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0735" cy="29845"/>
                    </a:xfrm>
                    <a:prstGeom prst="rect">
                      <a:avLst/>
                    </a:prstGeom>
                    <a:noFill/>
                  </pic:spPr>
                </pic:pic>
              </a:graphicData>
            </a:graphic>
          </wp:anchor>
        </w:drawing>
      </w:r>
    </w:p>
    <w:p>
      <w:pPr>
        <w:sectPr>
          <w:pgSz w:w="11900" w:h="16838" w:orient="portrait"/>
          <w:cols w:equalWidth="0" w:num="1">
            <w:col w:w="11267"/>
          </w:cols>
          <w:pgMar w:left="313" w:top="225" w:right="319" w:bottom="1440" w:gutter="0" w:footer="0" w:header="0"/>
        </w:sectPr>
      </w:pPr>
    </w:p>
    <w:bookmarkStart w:id="16" w:name="page17"/>
    <w:bookmarkEnd w:id="16"/>
    <w:p>
      <w:pPr>
        <w:spacing w:after="0"/>
        <w:rPr>
          <w:sz w:val="20"/>
          <w:szCs w:val="20"/>
          <w:color w:val="auto"/>
        </w:rPr>
      </w:pPr>
      <w:r>
        <w:rPr>
          <w:rFonts w:ascii="Arial" w:cs="Arial" w:eastAsia="Arial" w:hAnsi="Arial"/>
          <w:sz w:val="12"/>
          <w:szCs w:val="12"/>
          <w:b w:val="1"/>
          <w:bCs w:val="1"/>
          <w:u w:val="single" w:color="auto"/>
          <w:color w:val="0000EE"/>
        </w:rPr>
        <w:t>Back to Contents</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Shares Remaining Under the Prior Plans</w:t>
      </w:r>
    </w:p>
    <w:p>
      <w:pPr>
        <w:spacing w:after="0" w:line="222" w:lineRule="exact"/>
        <w:rPr>
          <w:sz w:val="20"/>
          <w:szCs w:val="20"/>
          <w:color w:val="auto"/>
        </w:rPr>
      </w:pPr>
    </w:p>
    <w:p>
      <w:pPr>
        <w:jc w:val="both"/>
        <w:spacing w:after="0" w:line="252" w:lineRule="auto"/>
        <w:rPr>
          <w:sz w:val="20"/>
          <w:szCs w:val="20"/>
          <w:color w:val="auto"/>
        </w:rPr>
      </w:pPr>
      <w:r>
        <w:rPr>
          <w:rFonts w:ascii="Arial" w:cs="Arial" w:eastAsia="Arial" w:hAnsi="Arial"/>
          <w:sz w:val="14"/>
          <w:szCs w:val="14"/>
          <w:color w:val="221E1F"/>
        </w:rPr>
        <w:t>As of March 7, 2025, a total of 93,892,528 shares of our common stock were outstanding and the fair market value of our common stock was $38.62 based on the closing sale price of our common stock on the Nasdaq Global Select Market as of that date. The following table sets forth information regarding outstanding equity awards and shares available for future equity awards under the 2023 Plan (without giving effect to approval of the Second A&amp;R 2023 Plan), the Prior Plans, our Employment Inducement Plan, as amended (the “Inducement Plan), the Dimension Therapeutics, Inc. 2015 Stock Option and Incentive Plan (the “DT 2015 Plan), the Dimension Therapeutics, Inc. 2013 Stock Plan (the “DT 2013 Plan”), and the shares available for future equity awards under our Amended and Restated 2014 Employee Stock Purchase Plan (ESPP) as of March 7, 2025.</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4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40" w:type="dxa"/>
            <w:vAlign w:val="bottom"/>
          </w:tcPr>
          <w:p>
            <w:pPr>
              <w:jc w:val="center"/>
              <w:ind w:right="30"/>
              <w:spacing w:after="0"/>
              <w:rPr>
                <w:sz w:val="20"/>
                <w:szCs w:val="20"/>
                <w:color w:val="auto"/>
              </w:rPr>
            </w:pPr>
            <w:r>
              <w:rPr>
                <w:rFonts w:ascii="Arial" w:cs="Arial" w:eastAsia="Arial" w:hAnsi="Arial"/>
                <w:sz w:val="14"/>
                <w:szCs w:val="14"/>
                <w:b w:val="1"/>
                <w:bCs w:val="1"/>
                <w:color w:val="auto"/>
                <w:w w:val="98"/>
              </w:rPr>
              <w:t>Aggregate</w:t>
            </w:r>
          </w:p>
        </w:tc>
      </w:tr>
      <w:tr>
        <w:trPr>
          <w:trHeight w:val="163"/>
        </w:trPr>
        <w:tc>
          <w:tcPr>
            <w:tcW w:w="4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DT 2015</w:t>
            </w:r>
          </w:p>
        </w:tc>
        <w:tc>
          <w:tcPr>
            <w:tcW w:w="940" w:type="dxa"/>
            <w:vAlign w:val="bottom"/>
          </w:tcPr>
          <w:p>
            <w:pPr>
              <w:jc w:val="center"/>
              <w:ind w:left="10"/>
              <w:spacing w:after="0"/>
              <w:rPr>
                <w:sz w:val="20"/>
                <w:szCs w:val="20"/>
                <w:color w:val="auto"/>
              </w:rPr>
            </w:pPr>
            <w:r>
              <w:rPr>
                <w:rFonts w:ascii="Arial" w:cs="Arial" w:eastAsia="Arial" w:hAnsi="Arial"/>
                <w:sz w:val="14"/>
                <w:szCs w:val="14"/>
                <w:b w:val="1"/>
                <w:bCs w:val="1"/>
                <w:color w:val="auto"/>
              </w:rPr>
              <w:t>DT 2013</w:t>
            </w:r>
          </w:p>
        </w:tc>
        <w:tc>
          <w:tcPr>
            <w:tcW w:w="1020" w:type="dxa"/>
            <w:vAlign w:val="bottom"/>
          </w:tcPr>
          <w:p>
            <w:pPr>
              <w:jc w:val="center"/>
              <w:ind w:left="50"/>
              <w:spacing w:after="0"/>
              <w:rPr>
                <w:sz w:val="20"/>
                <w:szCs w:val="20"/>
                <w:color w:val="auto"/>
              </w:rPr>
            </w:pPr>
            <w:r>
              <w:rPr>
                <w:rFonts w:ascii="Arial" w:cs="Arial" w:eastAsia="Arial" w:hAnsi="Arial"/>
                <w:sz w:val="14"/>
                <w:szCs w:val="14"/>
                <w:b w:val="1"/>
                <w:bCs w:val="1"/>
                <w:color w:val="auto"/>
                <w:w w:val="99"/>
              </w:rPr>
              <w:t>Inducement</w:t>
            </w:r>
          </w:p>
        </w:tc>
        <w:tc>
          <w:tcPr>
            <w:tcW w:w="940" w:type="dxa"/>
            <w:vAlign w:val="bottom"/>
          </w:tcPr>
          <w:p>
            <w:pPr>
              <w:jc w:val="center"/>
              <w:ind w:right="50"/>
              <w:spacing w:after="0"/>
              <w:rPr>
                <w:sz w:val="20"/>
                <w:szCs w:val="20"/>
                <w:color w:val="auto"/>
              </w:rPr>
            </w:pPr>
            <w:r>
              <w:rPr>
                <w:rFonts w:ascii="Arial" w:cs="Arial" w:eastAsia="Arial" w:hAnsi="Arial"/>
                <w:sz w:val="14"/>
                <w:szCs w:val="14"/>
                <w:b w:val="1"/>
                <w:bCs w:val="1"/>
                <w:color w:val="auto"/>
                <w:w w:val="99"/>
              </w:rPr>
              <w:t>Under All</w:t>
            </w:r>
          </w:p>
        </w:tc>
      </w:tr>
      <w:tr>
        <w:trPr>
          <w:trHeight w:val="179"/>
        </w:trPr>
        <w:tc>
          <w:tcPr>
            <w:tcW w:w="4700" w:type="dxa"/>
            <w:vAlign w:val="bottom"/>
            <w:tcBorders>
              <w:bottom w:val="single" w:sz="8" w:color="7CBD3F"/>
            </w:tcBorders>
          </w:tcPr>
          <w:p>
            <w:pPr>
              <w:spacing w:after="0"/>
              <w:rPr>
                <w:sz w:val="15"/>
                <w:szCs w:val="15"/>
                <w:color w:val="auto"/>
              </w:rPr>
            </w:pPr>
          </w:p>
        </w:tc>
        <w:tc>
          <w:tcPr>
            <w:tcW w:w="880" w:type="dxa"/>
            <w:vAlign w:val="bottom"/>
            <w:tcBorders>
              <w:bottom w:val="single" w:sz="8" w:color="7CBD3F"/>
            </w:tcBorders>
          </w:tcPr>
          <w:p>
            <w:pPr>
              <w:ind w:left="120"/>
              <w:spacing w:after="0"/>
              <w:rPr>
                <w:sz w:val="20"/>
                <w:szCs w:val="20"/>
                <w:color w:val="auto"/>
              </w:rPr>
            </w:pPr>
            <w:r>
              <w:rPr>
                <w:rFonts w:ascii="Arial" w:cs="Arial" w:eastAsia="Arial" w:hAnsi="Arial"/>
                <w:sz w:val="14"/>
                <w:szCs w:val="14"/>
                <w:b w:val="1"/>
                <w:bCs w:val="1"/>
                <w:color w:val="auto"/>
              </w:rPr>
              <w:t>2023 Plan</w:t>
            </w:r>
          </w:p>
        </w:tc>
        <w:tc>
          <w:tcPr>
            <w:tcW w:w="920" w:type="dxa"/>
            <w:vAlign w:val="bottom"/>
            <w:tcBorders>
              <w:bottom w:val="single" w:sz="8" w:color="7CBD3F"/>
            </w:tcBorders>
          </w:tcPr>
          <w:p>
            <w:pPr>
              <w:ind w:left="140"/>
              <w:spacing w:after="0"/>
              <w:rPr>
                <w:sz w:val="20"/>
                <w:szCs w:val="20"/>
                <w:color w:val="auto"/>
              </w:rPr>
            </w:pPr>
            <w:r>
              <w:rPr>
                <w:rFonts w:ascii="Arial" w:cs="Arial" w:eastAsia="Arial" w:hAnsi="Arial"/>
                <w:sz w:val="14"/>
                <w:szCs w:val="14"/>
                <w:b w:val="1"/>
                <w:bCs w:val="1"/>
                <w:color w:val="auto"/>
              </w:rPr>
              <w:t>2014 Plan</w:t>
            </w:r>
          </w:p>
        </w:tc>
        <w:tc>
          <w:tcPr>
            <w:tcW w:w="940" w:type="dxa"/>
            <w:vAlign w:val="bottom"/>
            <w:tcBorders>
              <w:bottom w:val="single" w:sz="8" w:color="7CBD3F"/>
            </w:tcBorders>
          </w:tcPr>
          <w:p>
            <w:pPr>
              <w:jc w:val="center"/>
              <w:spacing w:after="0"/>
              <w:rPr>
                <w:sz w:val="20"/>
                <w:szCs w:val="20"/>
                <w:color w:val="auto"/>
              </w:rPr>
            </w:pPr>
            <w:r>
              <w:rPr>
                <w:rFonts w:ascii="Arial" w:cs="Arial" w:eastAsia="Arial" w:hAnsi="Arial"/>
                <w:sz w:val="14"/>
                <w:szCs w:val="14"/>
                <w:b w:val="1"/>
                <w:bCs w:val="1"/>
                <w:color w:val="auto"/>
                <w:w w:val="99"/>
              </w:rPr>
              <w:t>2011 Plan</w:t>
            </w:r>
          </w:p>
        </w:tc>
        <w:tc>
          <w:tcPr>
            <w:tcW w:w="920" w:type="dxa"/>
            <w:vAlign w:val="bottom"/>
            <w:tcBorders>
              <w:bottom w:val="single" w:sz="8" w:color="7CBD3F"/>
            </w:tcBorders>
          </w:tcPr>
          <w:p>
            <w:pPr>
              <w:jc w:val="center"/>
              <w:spacing w:after="0"/>
              <w:rPr>
                <w:sz w:val="20"/>
                <w:szCs w:val="20"/>
                <w:color w:val="auto"/>
              </w:rPr>
            </w:pPr>
            <w:r>
              <w:rPr>
                <w:rFonts w:ascii="Arial" w:cs="Arial" w:eastAsia="Arial" w:hAnsi="Arial"/>
                <w:sz w:val="14"/>
                <w:szCs w:val="14"/>
                <w:b w:val="1"/>
                <w:bCs w:val="1"/>
                <w:color w:val="auto"/>
              </w:rPr>
              <w:t>Plan</w:t>
            </w:r>
          </w:p>
        </w:tc>
        <w:tc>
          <w:tcPr>
            <w:tcW w:w="940" w:type="dxa"/>
            <w:vAlign w:val="bottom"/>
            <w:tcBorders>
              <w:bottom w:val="single" w:sz="8" w:color="7CBD3F"/>
            </w:tcBorders>
          </w:tcPr>
          <w:p>
            <w:pPr>
              <w:jc w:val="center"/>
              <w:ind w:left="10"/>
              <w:spacing w:after="0"/>
              <w:rPr>
                <w:sz w:val="20"/>
                <w:szCs w:val="20"/>
                <w:color w:val="auto"/>
              </w:rPr>
            </w:pPr>
            <w:r>
              <w:rPr>
                <w:rFonts w:ascii="Arial" w:cs="Arial" w:eastAsia="Arial" w:hAnsi="Arial"/>
                <w:sz w:val="14"/>
                <w:szCs w:val="14"/>
                <w:b w:val="1"/>
                <w:bCs w:val="1"/>
                <w:color w:val="auto"/>
              </w:rPr>
              <w:t>Plan</w:t>
            </w:r>
          </w:p>
        </w:tc>
        <w:tc>
          <w:tcPr>
            <w:tcW w:w="1020" w:type="dxa"/>
            <w:vAlign w:val="bottom"/>
            <w:tcBorders>
              <w:bottom w:val="single" w:sz="8" w:color="7CBD3F"/>
            </w:tcBorders>
          </w:tcPr>
          <w:p>
            <w:pPr>
              <w:jc w:val="center"/>
              <w:ind w:left="50"/>
              <w:spacing w:after="0"/>
              <w:rPr>
                <w:sz w:val="20"/>
                <w:szCs w:val="20"/>
                <w:color w:val="auto"/>
              </w:rPr>
            </w:pPr>
            <w:r>
              <w:rPr>
                <w:rFonts w:ascii="Arial" w:cs="Arial" w:eastAsia="Arial" w:hAnsi="Arial"/>
                <w:sz w:val="14"/>
                <w:szCs w:val="14"/>
                <w:b w:val="1"/>
                <w:bCs w:val="1"/>
                <w:color w:val="auto"/>
              </w:rPr>
              <w:t>Plan</w:t>
            </w:r>
          </w:p>
        </w:tc>
        <w:tc>
          <w:tcPr>
            <w:tcW w:w="940" w:type="dxa"/>
            <w:vAlign w:val="bottom"/>
            <w:tcBorders>
              <w:bottom w:val="single" w:sz="8" w:color="7CBD3F"/>
            </w:tcBorders>
          </w:tcPr>
          <w:p>
            <w:pPr>
              <w:jc w:val="center"/>
              <w:ind w:right="50"/>
              <w:spacing w:after="0"/>
              <w:rPr>
                <w:sz w:val="20"/>
                <w:szCs w:val="20"/>
                <w:color w:val="auto"/>
              </w:rPr>
            </w:pPr>
            <w:r>
              <w:rPr>
                <w:rFonts w:ascii="Arial" w:cs="Arial" w:eastAsia="Arial" w:hAnsi="Arial"/>
                <w:sz w:val="14"/>
                <w:szCs w:val="14"/>
                <w:b w:val="1"/>
                <w:bCs w:val="1"/>
                <w:color w:val="auto"/>
              </w:rPr>
              <w:t>Plans</w:t>
            </w:r>
          </w:p>
        </w:tc>
      </w:tr>
      <w:tr>
        <w:trPr>
          <w:trHeight w:val="163"/>
        </w:trPr>
        <w:tc>
          <w:tcPr>
            <w:tcW w:w="4700" w:type="dxa"/>
            <w:vAlign w:val="bottom"/>
          </w:tcPr>
          <w:p>
            <w:pPr>
              <w:ind w:left="40"/>
              <w:spacing w:after="0"/>
              <w:rPr>
                <w:sz w:val="20"/>
                <w:szCs w:val="20"/>
                <w:color w:val="auto"/>
              </w:rPr>
            </w:pPr>
            <w:r>
              <w:rPr>
                <w:rFonts w:ascii="Arial" w:cs="Arial" w:eastAsia="Arial" w:hAnsi="Arial"/>
                <w:sz w:val="14"/>
                <w:szCs w:val="14"/>
                <w:color w:val="auto"/>
              </w:rPr>
              <w:t>Total shares underlying outstanding stock options</w:t>
            </w:r>
          </w:p>
        </w:tc>
        <w:tc>
          <w:tcPr>
            <w:tcW w:w="880" w:type="dxa"/>
            <w:vAlign w:val="bottom"/>
          </w:tcPr>
          <w:p>
            <w:pPr>
              <w:jc w:val="center"/>
              <w:spacing w:after="0"/>
              <w:rPr>
                <w:sz w:val="20"/>
                <w:szCs w:val="20"/>
                <w:color w:val="auto"/>
              </w:rPr>
            </w:pPr>
            <w:r>
              <w:rPr>
                <w:rFonts w:ascii="Arial" w:cs="Arial" w:eastAsia="Arial" w:hAnsi="Arial"/>
                <w:sz w:val="14"/>
                <w:szCs w:val="14"/>
                <w:color w:val="auto"/>
                <w:w w:val="99"/>
              </w:rPr>
              <w:t>2,399,511</w:t>
            </w:r>
          </w:p>
        </w:tc>
        <w:tc>
          <w:tcPr>
            <w:tcW w:w="920" w:type="dxa"/>
            <w:vAlign w:val="bottom"/>
          </w:tcPr>
          <w:p>
            <w:pPr>
              <w:jc w:val="center"/>
              <w:spacing w:after="0"/>
              <w:rPr>
                <w:sz w:val="20"/>
                <w:szCs w:val="20"/>
                <w:color w:val="auto"/>
              </w:rPr>
            </w:pPr>
            <w:r>
              <w:rPr>
                <w:rFonts w:ascii="Arial" w:cs="Arial" w:eastAsia="Arial" w:hAnsi="Arial"/>
                <w:sz w:val="14"/>
                <w:szCs w:val="14"/>
                <w:color w:val="auto"/>
                <w:w w:val="99"/>
              </w:rPr>
              <w:t>8,459,896</w:t>
            </w:r>
          </w:p>
        </w:tc>
        <w:tc>
          <w:tcPr>
            <w:tcW w:w="9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20" w:type="dxa"/>
            <w:vAlign w:val="bottom"/>
          </w:tcPr>
          <w:p>
            <w:pPr>
              <w:jc w:val="center"/>
              <w:ind w:right="10"/>
              <w:spacing w:after="0"/>
              <w:rPr>
                <w:sz w:val="20"/>
                <w:szCs w:val="20"/>
                <w:color w:val="auto"/>
              </w:rPr>
            </w:pPr>
            <w:r>
              <w:rPr>
                <w:rFonts w:ascii="Arial" w:cs="Arial" w:eastAsia="Arial" w:hAnsi="Arial"/>
                <w:sz w:val="14"/>
                <w:szCs w:val="14"/>
                <w:color w:val="auto"/>
              </w:rPr>
              <w:t>21,403</w:t>
            </w:r>
          </w:p>
        </w:tc>
        <w:tc>
          <w:tcPr>
            <w:tcW w:w="940" w:type="dxa"/>
            <w:vAlign w:val="bottom"/>
          </w:tcPr>
          <w:p>
            <w:pPr>
              <w:jc w:val="center"/>
              <w:ind w:left="10"/>
              <w:spacing w:after="0"/>
              <w:rPr>
                <w:sz w:val="20"/>
                <w:szCs w:val="20"/>
                <w:color w:val="auto"/>
              </w:rPr>
            </w:pPr>
            <w:r>
              <w:rPr>
                <w:rFonts w:ascii="Arial" w:cs="Arial" w:eastAsia="Arial" w:hAnsi="Arial"/>
                <w:sz w:val="14"/>
                <w:szCs w:val="14"/>
                <w:color w:val="auto"/>
                <w:w w:val="94"/>
              </w:rPr>
              <w:t>221</w:t>
            </w:r>
          </w:p>
        </w:tc>
        <w:tc>
          <w:tcPr>
            <w:tcW w:w="1020" w:type="dxa"/>
            <w:vAlign w:val="bottom"/>
          </w:tcPr>
          <w:p>
            <w:pPr>
              <w:jc w:val="center"/>
              <w:ind w:left="50"/>
              <w:spacing w:after="0"/>
              <w:rPr>
                <w:sz w:val="20"/>
                <w:szCs w:val="20"/>
                <w:color w:val="auto"/>
              </w:rPr>
            </w:pPr>
            <w:r>
              <w:rPr>
                <w:rFonts w:ascii="Arial" w:cs="Arial" w:eastAsia="Arial" w:hAnsi="Arial"/>
                <w:sz w:val="14"/>
                <w:szCs w:val="14"/>
                <w:color w:val="auto"/>
                <w:w w:val="98"/>
              </w:rPr>
              <w:t>268,183</w:t>
            </w:r>
          </w:p>
        </w:tc>
        <w:tc>
          <w:tcPr>
            <w:tcW w:w="940" w:type="dxa"/>
            <w:vAlign w:val="bottom"/>
          </w:tcPr>
          <w:p>
            <w:pPr>
              <w:jc w:val="center"/>
              <w:ind w:right="30"/>
              <w:spacing w:after="0"/>
              <w:rPr>
                <w:sz w:val="20"/>
                <w:szCs w:val="20"/>
                <w:color w:val="auto"/>
              </w:rPr>
            </w:pPr>
            <w:r>
              <w:rPr>
                <w:rFonts w:ascii="Arial" w:cs="Arial" w:eastAsia="Arial" w:hAnsi="Arial"/>
                <w:sz w:val="14"/>
                <w:szCs w:val="14"/>
                <w:color w:val="auto"/>
                <w:w w:val="96"/>
              </w:rPr>
              <w:t>11,149,214</w:t>
            </w:r>
          </w:p>
        </w:tc>
      </w:tr>
      <w:tr>
        <w:trPr>
          <w:trHeight w:val="163"/>
        </w:trPr>
        <w:tc>
          <w:tcPr>
            <w:tcW w:w="4700" w:type="dxa"/>
            <w:vAlign w:val="bottom"/>
            <w:shd w:val="clear" w:color="auto" w:fill="F0F7E7"/>
          </w:tcPr>
          <w:p>
            <w:pPr>
              <w:ind w:left="40"/>
              <w:spacing w:after="0"/>
              <w:rPr>
                <w:sz w:val="20"/>
                <w:szCs w:val="20"/>
                <w:color w:val="auto"/>
              </w:rPr>
            </w:pPr>
            <w:r>
              <w:rPr>
                <w:rFonts w:ascii="Arial" w:cs="Arial" w:eastAsia="Arial" w:hAnsi="Arial"/>
                <w:sz w:val="14"/>
                <w:szCs w:val="14"/>
                <w:color w:val="auto"/>
              </w:rPr>
              <w:t>Weighted average exercise price of outstanding stock options</w:t>
            </w:r>
          </w:p>
        </w:tc>
        <w:tc>
          <w:tcPr>
            <w:tcW w:w="880" w:type="dxa"/>
            <w:vAlign w:val="bottom"/>
            <w:shd w:val="clear" w:color="auto" w:fill="F0F7E7"/>
          </w:tcPr>
          <w:p>
            <w:pPr>
              <w:jc w:val="center"/>
              <w:spacing w:after="0"/>
              <w:rPr>
                <w:sz w:val="20"/>
                <w:szCs w:val="20"/>
                <w:color w:val="auto"/>
              </w:rPr>
            </w:pPr>
            <w:r>
              <w:rPr>
                <w:rFonts w:ascii="Arial" w:cs="Arial" w:eastAsia="Arial" w:hAnsi="Arial"/>
                <w:sz w:val="14"/>
                <w:szCs w:val="14"/>
                <w:color w:val="auto"/>
                <w:w w:val="96"/>
              </w:rPr>
              <w:t>48.43</w:t>
            </w:r>
          </w:p>
        </w:tc>
        <w:tc>
          <w:tcPr>
            <w:tcW w:w="920" w:type="dxa"/>
            <w:vAlign w:val="bottom"/>
            <w:shd w:val="clear" w:color="auto" w:fill="F0F7E7"/>
          </w:tcPr>
          <w:p>
            <w:pPr>
              <w:jc w:val="center"/>
              <w:spacing w:after="0"/>
              <w:rPr>
                <w:sz w:val="20"/>
                <w:szCs w:val="20"/>
                <w:color w:val="auto"/>
              </w:rPr>
            </w:pPr>
            <w:r>
              <w:rPr>
                <w:rFonts w:ascii="Arial" w:cs="Arial" w:eastAsia="Arial" w:hAnsi="Arial"/>
                <w:sz w:val="14"/>
                <w:szCs w:val="14"/>
                <w:color w:val="auto"/>
              </w:rPr>
              <w:t>68.50</w:t>
            </w:r>
          </w:p>
        </w:tc>
        <w:tc>
          <w:tcPr>
            <w:tcW w:w="940" w:type="dxa"/>
            <w:vAlign w:val="bottom"/>
            <w:shd w:val="clear" w:color="auto" w:fill="F0F7E7"/>
          </w:tcPr>
          <w:p>
            <w:pPr>
              <w:jc w:val="center"/>
              <w:spacing w:after="0"/>
              <w:rPr>
                <w:sz w:val="20"/>
                <w:szCs w:val="20"/>
                <w:color w:val="auto"/>
              </w:rPr>
            </w:pPr>
            <w:r>
              <w:rPr>
                <w:rFonts w:ascii="Arial" w:cs="Arial" w:eastAsia="Arial" w:hAnsi="Arial"/>
                <w:sz w:val="14"/>
                <w:szCs w:val="14"/>
                <w:color w:val="auto"/>
                <w:w w:val="99"/>
              </w:rPr>
              <w:t>—</w:t>
            </w:r>
          </w:p>
        </w:tc>
        <w:tc>
          <w:tcPr>
            <w:tcW w:w="920" w:type="dxa"/>
            <w:vAlign w:val="bottom"/>
            <w:shd w:val="clear" w:color="auto" w:fill="F0F7E7"/>
          </w:tcPr>
          <w:p>
            <w:pPr>
              <w:jc w:val="center"/>
              <w:ind w:right="10"/>
              <w:spacing w:after="0"/>
              <w:rPr>
                <w:sz w:val="20"/>
                <w:szCs w:val="20"/>
                <w:color w:val="auto"/>
              </w:rPr>
            </w:pPr>
            <w:r>
              <w:rPr>
                <w:rFonts w:ascii="Arial" w:cs="Arial" w:eastAsia="Arial" w:hAnsi="Arial"/>
                <w:sz w:val="14"/>
                <w:szCs w:val="14"/>
                <w:color w:val="auto"/>
              </w:rPr>
              <w:t>49.33</w:t>
            </w:r>
          </w:p>
        </w:tc>
        <w:tc>
          <w:tcPr>
            <w:tcW w:w="940" w:type="dxa"/>
            <w:vAlign w:val="bottom"/>
            <w:shd w:val="clear" w:color="auto" w:fill="F0F7E7"/>
          </w:tcPr>
          <w:p>
            <w:pPr>
              <w:jc w:val="center"/>
              <w:ind w:left="10"/>
              <w:spacing w:after="0"/>
              <w:rPr>
                <w:sz w:val="20"/>
                <w:szCs w:val="20"/>
                <w:color w:val="auto"/>
              </w:rPr>
            </w:pPr>
            <w:r>
              <w:rPr>
                <w:rFonts w:ascii="Arial" w:cs="Arial" w:eastAsia="Arial" w:hAnsi="Arial"/>
                <w:sz w:val="14"/>
                <w:szCs w:val="14"/>
                <w:color w:val="auto"/>
                <w:w w:val="96"/>
              </w:rPr>
              <w:t>31.78</w:t>
            </w:r>
          </w:p>
        </w:tc>
        <w:tc>
          <w:tcPr>
            <w:tcW w:w="1020" w:type="dxa"/>
            <w:vAlign w:val="bottom"/>
            <w:shd w:val="clear" w:color="auto" w:fill="F0F7E7"/>
          </w:tcPr>
          <w:p>
            <w:pPr>
              <w:jc w:val="center"/>
              <w:ind w:left="50"/>
              <w:spacing w:after="0"/>
              <w:rPr>
                <w:sz w:val="20"/>
                <w:szCs w:val="20"/>
                <w:color w:val="auto"/>
              </w:rPr>
            </w:pPr>
            <w:r>
              <w:rPr>
                <w:rFonts w:ascii="Arial" w:cs="Arial" w:eastAsia="Arial" w:hAnsi="Arial"/>
                <w:sz w:val="14"/>
                <w:szCs w:val="14"/>
                <w:color w:val="auto"/>
                <w:w w:val="96"/>
              </w:rPr>
              <w:t>46.88</w:t>
            </w:r>
          </w:p>
        </w:tc>
        <w:tc>
          <w:tcPr>
            <w:tcW w:w="940" w:type="dxa"/>
            <w:vAlign w:val="bottom"/>
            <w:shd w:val="clear" w:color="auto" w:fill="F0F7E7"/>
          </w:tcPr>
          <w:p>
            <w:pPr>
              <w:jc w:val="center"/>
              <w:ind w:right="30"/>
              <w:spacing w:after="0"/>
              <w:rPr>
                <w:sz w:val="20"/>
                <w:szCs w:val="20"/>
                <w:color w:val="auto"/>
              </w:rPr>
            </w:pPr>
            <w:r>
              <w:rPr>
                <w:rFonts w:ascii="Arial" w:cs="Arial" w:eastAsia="Arial" w:hAnsi="Arial"/>
                <w:sz w:val="14"/>
                <w:szCs w:val="14"/>
                <w:color w:val="auto"/>
              </w:rPr>
              <w:t>63.62</w:t>
            </w:r>
          </w:p>
        </w:tc>
      </w:tr>
      <w:tr>
        <w:trPr>
          <w:trHeight w:val="163"/>
        </w:trPr>
        <w:tc>
          <w:tcPr>
            <w:tcW w:w="4700" w:type="dxa"/>
            <w:vAlign w:val="bottom"/>
          </w:tcPr>
          <w:p>
            <w:pPr>
              <w:ind w:left="40"/>
              <w:spacing w:after="0"/>
              <w:rPr>
                <w:sz w:val="20"/>
                <w:szCs w:val="20"/>
                <w:color w:val="auto"/>
              </w:rPr>
            </w:pPr>
            <w:r>
              <w:rPr>
                <w:rFonts w:ascii="Arial" w:cs="Arial" w:eastAsia="Arial" w:hAnsi="Arial"/>
                <w:sz w:val="14"/>
                <w:szCs w:val="14"/>
                <w:color w:val="auto"/>
              </w:rPr>
              <w:t>Weighted average remaining life of outstanding stock options</w:t>
            </w:r>
          </w:p>
        </w:tc>
        <w:tc>
          <w:tcPr>
            <w:tcW w:w="880" w:type="dxa"/>
            <w:vAlign w:val="bottom"/>
          </w:tcPr>
          <w:p>
            <w:pPr>
              <w:jc w:val="center"/>
              <w:spacing w:after="0"/>
              <w:rPr>
                <w:sz w:val="20"/>
                <w:szCs w:val="20"/>
                <w:color w:val="auto"/>
              </w:rPr>
            </w:pPr>
            <w:r>
              <w:rPr>
                <w:rFonts w:ascii="Arial" w:cs="Arial" w:eastAsia="Arial" w:hAnsi="Arial"/>
                <w:sz w:val="14"/>
                <w:szCs w:val="14"/>
                <w:color w:val="auto"/>
              </w:rPr>
              <w:t>9.4</w:t>
            </w:r>
          </w:p>
        </w:tc>
        <w:tc>
          <w:tcPr>
            <w:tcW w:w="920" w:type="dxa"/>
            <w:vAlign w:val="bottom"/>
          </w:tcPr>
          <w:p>
            <w:pPr>
              <w:jc w:val="center"/>
              <w:spacing w:after="0"/>
              <w:rPr>
                <w:sz w:val="20"/>
                <w:szCs w:val="20"/>
                <w:color w:val="auto"/>
              </w:rPr>
            </w:pPr>
            <w:r>
              <w:rPr>
                <w:rFonts w:ascii="Arial" w:cs="Arial" w:eastAsia="Arial" w:hAnsi="Arial"/>
                <w:sz w:val="14"/>
                <w:szCs w:val="14"/>
                <w:color w:val="auto"/>
              </w:rPr>
              <w:t>4.8</w:t>
            </w:r>
          </w:p>
        </w:tc>
        <w:tc>
          <w:tcPr>
            <w:tcW w:w="9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20" w:type="dxa"/>
            <w:vAlign w:val="bottom"/>
          </w:tcPr>
          <w:p>
            <w:pPr>
              <w:jc w:val="center"/>
              <w:ind w:right="10"/>
              <w:spacing w:after="0"/>
              <w:rPr>
                <w:sz w:val="20"/>
                <w:szCs w:val="20"/>
                <w:color w:val="auto"/>
              </w:rPr>
            </w:pPr>
            <w:r>
              <w:rPr>
                <w:rFonts w:ascii="Arial" w:cs="Arial" w:eastAsia="Arial" w:hAnsi="Arial"/>
                <w:sz w:val="14"/>
                <w:szCs w:val="14"/>
                <w:color w:val="auto"/>
              </w:rPr>
              <w:t>1.1</w:t>
            </w:r>
          </w:p>
        </w:tc>
        <w:tc>
          <w:tcPr>
            <w:tcW w:w="940" w:type="dxa"/>
            <w:vAlign w:val="bottom"/>
          </w:tcPr>
          <w:p>
            <w:pPr>
              <w:jc w:val="center"/>
              <w:ind w:left="10"/>
              <w:spacing w:after="0"/>
              <w:rPr>
                <w:sz w:val="20"/>
                <w:szCs w:val="20"/>
                <w:color w:val="auto"/>
              </w:rPr>
            </w:pPr>
            <w:r>
              <w:rPr>
                <w:rFonts w:ascii="Arial" w:cs="Arial" w:eastAsia="Arial" w:hAnsi="Arial"/>
                <w:sz w:val="14"/>
                <w:szCs w:val="14"/>
                <w:color w:val="auto"/>
                <w:w w:val="92"/>
              </w:rPr>
              <w:t>0.2</w:t>
            </w:r>
          </w:p>
        </w:tc>
        <w:tc>
          <w:tcPr>
            <w:tcW w:w="1020" w:type="dxa"/>
            <w:vAlign w:val="bottom"/>
          </w:tcPr>
          <w:p>
            <w:pPr>
              <w:jc w:val="center"/>
              <w:ind w:left="50"/>
              <w:spacing w:after="0"/>
              <w:rPr>
                <w:sz w:val="20"/>
                <w:szCs w:val="20"/>
                <w:color w:val="auto"/>
              </w:rPr>
            </w:pPr>
            <w:r>
              <w:rPr>
                <w:rFonts w:ascii="Arial" w:cs="Arial" w:eastAsia="Arial" w:hAnsi="Arial"/>
                <w:sz w:val="14"/>
                <w:szCs w:val="14"/>
                <w:color w:val="auto"/>
                <w:w w:val="92"/>
              </w:rPr>
              <w:t>7.7</w:t>
            </w:r>
          </w:p>
        </w:tc>
        <w:tc>
          <w:tcPr>
            <w:tcW w:w="940" w:type="dxa"/>
            <w:vAlign w:val="bottom"/>
          </w:tcPr>
          <w:p>
            <w:pPr>
              <w:jc w:val="center"/>
              <w:ind w:right="30"/>
              <w:spacing w:after="0"/>
              <w:rPr>
                <w:sz w:val="20"/>
                <w:szCs w:val="20"/>
                <w:color w:val="auto"/>
              </w:rPr>
            </w:pPr>
            <w:r>
              <w:rPr>
                <w:rFonts w:ascii="Arial" w:cs="Arial" w:eastAsia="Arial" w:hAnsi="Arial"/>
                <w:sz w:val="14"/>
                <w:szCs w:val="14"/>
                <w:color w:val="auto"/>
              </w:rPr>
              <w:t>5.9</w:t>
            </w:r>
          </w:p>
        </w:tc>
      </w:tr>
      <w:tr>
        <w:trPr>
          <w:trHeight w:val="163"/>
        </w:trPr>
        <w:tc>
          <w:tcPr>
            <w:tcW w:w="4700" w:type="dxa"/>
            <w:vAlign w:val="bottom"/>
            <w:shd w:val="clear" w:color="auto" w:fill="F0F7E7"/>
          </w:tcPr>
          <w:p>
            <w:pPr>
              <w:ind w:left="40"/>
              <w:spacing w:after="0"/>
              <w:rPr>
                <w:sz w:val="20"/>
                <w:szCs w:val="20"/>
                <w:color w:val="auto"/>
              </w:rPr>
            </w:pPr>
            <w:r>
              <w:rPr>
                <w:rFonts w:ascii="Arial" w:cs="Arial" w:eastAsia="Arial" w:hAnsi="Arial"/>
                <w:sz w:val="14"/>
                <w:szCs w:val="14"/>
                <w:color w:val="auto"/>
              </w:rPr>
              <w:t>Total shares underlying outstanding RSUs</w:t>
            </w:r>
          </w:p>
        </w:tc>
        <w:tc>
          <w:tcPr>
            <w:tcW w:w="880" w:type="dxa"/>
            <w:vAlign w:val="bottom"/>
            <w:shd w:val="clear" w:color="auto" w:fill="F0F7E7"/>
          </w:tcPr>
          <w:p>
            <w:pPr>
              <w:jc w:val="center"/>
              <w:spacing w:after="0"/>
              <w:rPr>
                <w:sz w:val="20"/>
                <w:szCs w:val="20"/>
                <w:color w:val="auto"/>
              </w:rPr>
            </w:pPr>
            <w:r>
              <w:rPr>
                <w:rFonts w:ascii="Arial" w:cs="Arial" w:eastAsia="Arial" w:hAnsi="Arial"/>
                <w:sz w:val="14"/>
                <w:szCs w:val="14"/>
                <w:color w:val="auto"/>
                <w:w w:val="99"/>
              </w:rPr>
              <w:t>4,301,616</w:t>
            </w:r>
          </w:p>
        </w:tc>
        <w:tc>
          <w:tcPr>
            <w:tcW w:w="920" w:type="dxa"/>
            <w:vAlign w:val="bottom"/>
            <w:shd w:val="clear" w:color="auto" w:fill="F0F7E7"/>
          </w:tcPr>
          <w:p>
            <w:pPr>
              <w:jc w:val="center"/>
              <w:spacing w:after="0"/>
              <w:rPr>
                <w:sz w:val="20"/>
                <w:szCs w:val="20"/>
                <w:color w:val="auto"/>
              </w:rPr>
            </w:pPr>
            <w:r>
              <w:rPr>
                <w:rFonts w:ascii="Arial" w:cs="Arial" w:eastAsia="Arial" w:hAnsi="Arial"/>
                <w:sz w:val="14"/>
                <w:szCs w:val="14"/>
                <w:color w:val="auto"/>
                <w:w w:val="99"/>
              </w:rPr>
              <w:t>1,265,530</w:t>
            </w:r>
          </w:p>
        </w:tc>
        <w:tc>
          <w:tcPr>
            <w:tcW w:w="940" w:type="dxa"/>
            <w:vAlign w:val="bottom"/>
            <w:shd w:val="clear" w:color="auto" w:fill="F0F7E7"/>
          </w:tcPr>
          <w:p>
            <w:pPr>
              <w:jc w:val="center"/>
              <w:spacing w:after="0"/>
              <w:rPr>
                <w:sz w:val="20"/>
                <w:szCs w:val="20"/>
                <w:color w:val="auto"/>
              </w:rPr>
            </w:pPr>
            <w:r>
              <w:rPr>
                <w:rFonts w:ascii="Arial" w:cs="Arial" w:eastAsia="Arial" w:hAnsi="Arial"/>
                <w:sz w:val="14"/>
                <w:szCs w:val="14"/>
                <w:color w:val="auto"/>
                <w:w w:val="99"/>
              </w:rPr>
              <w:t>—</w:t>
            </w:r>
          </w:p>
        </w:tc>
        <w:tc>
          <w:tcPr>
            <w:tcW w:w="920" w:type="dxa"/>
            <w:vAlign w:val="bottom"/>
            <w:shd w:val="clear" w:color="auto" w:fill="F0F7E7"/>
          </w:tcPr>
          <w:p>
            <w:pPr>
              <w:jc w:val="center"/>
              <w:spacing w:after="0"/>
              <w:rPr>
                <w:sz w:val="20"/>
                <w:szCs w:val="20"/>
                <w:color w:val="auto"/>
              </w:rPr>
            </w:pPr>
            <w:r>
              <w:rPr>
                <w:rFonts w:ascii="Arial" w:cs="Arial" w:eastAsia="Arial" w:hAnsi="Arial"/>
                <w:sz w:val="14"/>
                <w:szCs w:val="14"/>
                <w:color w:val="auto"/>
                <w:w w:val="99"/>
              </w:rPr>
              <w:t>—</w:t>
            </w:r>
          </w:p>
        </w:tc>
        <w:tc>
          <w:tcPr>
            <w:tcW w:w="940" w:type="dxa"/>
            <w:vAlign w:val="bottom"/>
            <w:shd w:val="clear" w:color="auto" w:fill="F0F7E7"/>
          </w:tcPr>
          <w:p>
            <w:pPr>
              <w:jc w:val="center"/>
              <w:ind w:left="10"/>
              <w:spacing w:after="0"/>
              <w:rPr>
                <w:sz w:val="20"/>
                <w:szCs w:val="20"/>
                <w:color w:val="auto"/>
              </w:rPr>
            </w:pPr>
            <w:r>
              <w:rPr>
                <w:rFonts w:ascii="Arial" w:cs="Arial" w:eastAsia="Arial" w:hAnsi="Arial"/>
                <w:sz w:val="14"/>
                <w:szCs w:val="14"/>
                <w:color w:val="auto"/>
                <w:w w:val="99"/>
              </w:rPr>
              <w:t>—</w:t>
            </w:r>
          </w:p>
        </w:tc>
        <w:tc>
          <w:tcPr>
            <w:tcW w:w="1020" w:type="dxa"/>
            <w:vAlign w:val="bottom"/>
            <w:shd w:val="clear" w:color="auto" w:fill="F0F7E7"/>
          </w:tcPr>
          <w:p>
            <w:pPr>
              <w:jc w:val="center"/>
              <w:ind w:left="50"/>
              <w:spacing w:after="0"/>
              <w:rPr>
                <w:sz w:val="20"/>
                <w:szCs w:val="20"/>
                <w:color w:val="auto"/>
              </w:rPr>
            </w:pPr>
            <w:r>
              <w:rPr>
                <w:rFonts w:ascii="Arial" w:cs="Arial" w:eastAsia="Arial" w:hAnsi="Arial"/>
                <w:sz w:val="14"/>
                <w:szCs w:val="14"/>
                <w:color w:val="auto"/>
                <w:w w:val="98"/>
              </w:rPr>
              <w:t>587,676</w:t>
            </w:r>
          </w:p>
        </w:tc>
        <w:tc>
          <w:tcPr>
            <w:tcW w:w="940" w:type="dxa"/>
            <w:vAlign w:val="bottom"/>
            <w:shd w:val="clear" w:color="auto" w:fill="F0F7E7"/>
          </w:tcPr>
          <w:p>
            <w:pPr>
              <w:jc w:val="center"/>
              <w:ind w:right="50"/>
              <w:spacing w:after="0"/>
              <w:rPr>
                <w:sz w:val="20"/>
                <w:szCs w:val="20"/>
                <w:color w:val="auto"/>
              </w:rPr>
            </w:pPr>
            <w:r>
              <w:rPr>
                <w:rFonts w:ascii="Arial" w:cs="Arial" w:eastAsia="Arial" w:hAnsi="Arial"/>
                <w:sz w:val="14"/>
                <w:szCs w:val="14"/>
                <w:color w:val="auto"/>
                <w:w w:val="99"/>
              </w:rPr>
              <w:t>6,154,822</w:t>
            </w:r>
          </w:p>
        </w:tc>
      </w:tr>
      <w:tr>
        <w:trPr>
          <w:trHeight w:val="163"/>
        </w:trPr>
        <w:tc>
          <w:tcPr>
            <w:tcW w:w="4700" w:type="dxa"/>
            <w:vAlign w:val="bottom"/>
          </w:tcPr>
          <w:p>
            <w:pPr>
              <w:ind w:left="40"/>
              <w:spacing w:after="0"/>
              <w:rPr>
                <w:sz w:val="20"/>
                <w:szCs w:val="20"/>
                <w:color w:val="auto"/>
              </w:rPr>
            </w:pPr>
            <w:r>
              <w:rPr>
                <w:rFonts w:ascii="Arial" w:cs="Arial" w:eastAsia="Arial" w:hAnsi="Arial"/>
                <w:sz w:val="14"/>
                <w:szCs w:val="14"/>
                <w:color w:val="auto"/>
              </w:rPr>
              <w:t>Total shares underlying outstanding PSUs (assuming target performance)</w:t>
            </w:r>
          </w:p>
        </w:tc>
        <w:tc>
          <w:tcPr>
            <w:tcW w:w="880" w:type="dxa"/>
            <w:vAlign w:val="bottom"/>
          </w:tcPr>
          <w:p>
            <w:pPr>
              <w:jc w:val="center"/>
              <w:spacing w:after="0"/>
              <w:rPr>
                <w:sz w:val="20"/>
                <w:szCs w:val="20"/>
                <w:color w:val="auto"/>
              </w:rPr>
            </w:pPr>
            <w:r>
              <w:rPr>
                <w:rFonts w:ascii="Arial" w:cs="Arial" w:eastAsia="Arial" w:hAnsi="Arial"/>
                <w:sz w:val="14"/>
                <w:szCs w:val="14"/>
                <w:color w:val="auto"/>
                <w:w w:val="98"/>
              </w:rPr>
              <w:t>619,640</w:t>
            </w:r>
          </w:p>
        </w:tc>
        <w:tc>
          <w:tcPr>
            <w:tcW w:w="920" w:type="dxa"/>
            <w:vAlign w:val="bottom"/>
          </w:tcPr>
          <w:p>
            <w:pPr>
              <w:jc w:val="center"/>
              <w:spacing w:after="0"/>
              <w:rPr>
                <w:sz w:val="20"/>
                <w:szCs w:val="20"/>
                <w:color w:val="auto"/>
              </w:rPr>
            </w:pPr>
            <w:r>
              <w:rPr>
                <w:rFonts w:ascii="Arial" w:cs="Arial" w:eastAsia="Arial" w:hAnsi="Arial"/>
                <w:sz w:val="14"/>
                <w:szCs w:val="14"/>
                <w:color w:val="auto"/>
                <w:w w:val="98"/>
              </w:rPr>
              <w:t>115,318</w:t>
            </w:r>
          </w:p>
        </w:tc>
        <w:tc>
          <w:tcPr>
            <w:tcW w:w="9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40" w:type="dxa"/>
            <w:vAlign w:val="bottom"/>
          </w:tcPr>
          <w:p>
            <w:pPr>
              <w:jc w:val="center"/>
              <w:ind w:left="10"/>
              <w:spacing w:after="0"/>
              <w:rPr>
                <w:sz w:val="20"/>
                <w:szCs w:val="20"/>
                <w:color w:val="auto"/>
              </w:rPr>
            </w:pPr>
            <w:r>
              <w:rPr>
                <w:rFonts w:ascii="Arial" w:cs="Arial" w:eastAsia="Arial" w:hAnsi="Arial"/>
                <w:sz w:val="14"/>
                <w:szCs w:val="14"/>
                <w:color w:val="auto"/>
                <w:w w:val="99"/>
              </w:rPr>
              <w:t>—</w:t>
            </w:r>
          </w:p>
        </w:tc>
        <w:tc>
          <w:tcPr>
            <w:tcW w:w="1020" w:type="dxa"/>
            <w:vAlign w:val="bottom"/>
          </w:tcPr>
          <w:p>
            <w:pPr>
              <w:jc w:val="center"/>
              <w:ind w:left="50"/>
              <w:spacing w:after="0"/>
              <w:rPr>
                <w:sz w:val="20"/>
                <w:szCs w:val="20"/>
                <w:color w:val="auto"/>
              </w:rPr>
            </w:pPr>
            <w:r>
              <w:rPr>
                <w:rFonts w:ascii="Arial" w:cs="Arial" w:eastAsia="Arial" w:hAnsi="Arial"/>
                <w:sz w:val="14"/>
                <w:szCs w:val="14"/>
                <w:color w:val="auto"/>
                <w:w w:val="99"/>
              </w:rPr>
              <w:t>—</w:t>
            </w:r>
          </w:p>
        </w:tc>
        <w:tc>
          <w:tcPr>
            <w:tcW w:w="940" w:type="dxa"/>
            <w:vAlign w:val="bottom"/>
          </w:tcPr>
          <w:p>
            <w:pPr>
              <w:jc w:val="center"/>
              <w:ind w:right="50"/>
              <w:spacing w:after="0"/>
              <w:rPr>
                <w:sz w:val="20"/>
                <w:szCs w:val="20"/>
                <w:color w:val="auto"/>
              </w:rPr>
            </w:pPr>
            <w:r>
              <w:rPr>
                <w:rFonts w:ascii="Arial" w:cs="Arial" w:eastAsia="Arial" w:hAnsi="Arial"/>
                <w:sz w:val="14"/>
                <w:szCs w:val="14"/>
                <w:color w:val="auto"/>
                <w:w w:val="98"/>
              </w:rPr>
              <w:t>734,958</w:t>
            </w:r>
          </w:p>
        </w:tc>
      </w:tr>
      <w:tr>
        <w:trPr>
          <w:trHeight w:val="151"/>
        </w:trPr>
        <w:tc>
          <w:tcPr>
            <w:tcW w:w="4700" w:type="dxa"/>
            <w:vAlign w:val="bottom"/>
            <w:shd w:val="clear" w:color="auto" w:fill="F0F7E7"/>
          </w:tcPr>
          <w:p>
            <w:pPr>
              <w:ind w:left="40"/>
              <w:spacing w:after="0" w:line="151" w:lineRule="exact"/>
              <w:rPr>
                <w:sz w:val="20"/>
                <w:szCs w:val="20"/>
                <w:color w:val="auto"/>
              </w:rPr>
            </w:pPr>
            <w:r>
              <w:rPr>
                <w:rFonts w:ascii="Arial" w:cs="Arial" w:eastAsia="Arial" w:hAnsi="Arial"/>
                <w:sz w:val="14"/>
                <w:szCs w:val="14"/>
                <w:color w:val="auto"/>
              </w:rPr>
              <w:t>Total shares available for issuance (assuming outstanding PSUs vest at</w:t>
            </w:r>
          </w:p>
        </w:tc>
        <w:tc>
          <w:tcPr>
            <w:tcW w:w="880" w:type="dxa"/>
            <w:vAlign w:val="bottom"/>
            <w:shd w:val="clear" w:color="auto" w:fill="F0F7E7"/>
          </w:tcPr>
          <w:p>
            <w:pPr>
              <w:spacing w:after="0"/>
              <w:rPr>
                <w:sz w:val="13"/>
                <w:szCs w:val="13"/>
                <w:color w:val="auto"/>
              </w:rPr>
            </w:pPr>
          </w:p>
        </w:tc>
        <w:tc>
          <w:tcPr>
            <w:tcW w:w="920" w:type="dxa"/>
            <w:vAlign w:val="bottom"/>
            <w:shd w:val="clear" w:color="auto" w:fill="F0F7E7"/>
          </w:tcPr>
          <w:p>
            <w:pPr>
              <w:spacing w:after="0"/>
              <w:rPr>
                <w:sz w:val="13"/>
                <w:szCs w:val="13"/>
                <w:color w:val="auto"/>
              </w:rPr>
            </w:pPr>
          </w:p>
        </w:tc>
        <w:tc>
          <w:tcPr>
            <w:tcW w:w="940" w:type="dxa"/>
            <w:vAlign w:val="bottom"/>
            <w:shd w:val="clear" w:color="auto" w:fill="F0F7E7"/>
          </w:tcPr>
          <w:p>
            <w:pPr>
              <w:spacing w:after="0"/>
              <w:rPr>
                <w:sz w:val="13"/>
                <w:szCs w:val="13"/>
                <w:color w:val="auto"/>
              </w:rPr>
            </w:pPr>
          </w:p>
        </w:tc>
        <w:tc>
          <w:tcPr>
            <w:tcW w:w="920" w:type="dxa"/>
            <w:vAlign w:val="bottom"/>
            <w:shd w:val="clear" w:color="auto" w:fill="F0F7E7"/>
          </w:tcPr>
          <w:p>
            <w:pPr>
              <w:spacing w:after="0"/>
              <w:rPr>
                <w:sz w:val="13"/>
                <w:szCs w:val="13"/>
                <w:color w:val="auto"/>
              </w:rPr>
            </w:pPr>
          </w:p>
        </w:tc>
        <w:tc>
          <w:tcPr>
            <w:tcW w:w="940" w:type="dxa"/>
            <w:vAlign w:val="bottom"/>
            <w:shd w:val="clear" w:color="auto" w:fill="F0F7E7"/>
          </w:tcPr>
          <w:p>
            <w:pPr>
              <w:spacing w:after="0"/>
              <w:rPr>
                <w:sz w:val="13"/>
                <w:szCs w:val="13"/>
                <w:color w:val="auto"/>
              </w:rPr>
            </w:pPr>
          </w:p>
        </w:tc>
        <w:tc>
          <w:tcPr>
            <w:tcW w:w="1020" w:type="dxa"/>
            <w:vAlign w:val="bottom"/>
            <w:shd w:val="clear" w:color="auto" w:fill="F0F7E7"/>
          </w:tcPr>
          <w:p>
            <w:pPr>
              <w:spacing w:after="0"/>
              <w:rPr>
                <w:sz w:val="13"/>
                <w:szCs w:val="13"/>
                <w:color w:val="auto"/>
              </w:rPr>
            </w:pPr>
          </w:p>
        </w:tc>
        <w:tc>
          <w:tcPr>
            <w:tcW w:w="940" w:type="dxa"/>
            <w:vAlign w:val="bottom"/>
            <w:shd w:val="clear" w:color="auto" w:fill="F0F7E7"/>
          </w:tcPr>
          <w:p>
            <w:pPr>
              <w:spacing w:after="0"/>
              <w:rPr>
                <w:sz w:val="13"/>
                <w:szCs w:val="13"/>
                <w:color w:val="auto"/>
              </w:rPr>
            </w:pPr>
          </w:p>
        </w:tc>
      </w:tr>
      <w:tr>
        <w:trPr>
          <w:trHeight w:val="179"/>
        </w:trPr>
        <w:tc>
          <w:tcPr>
            <w:tcW w:w="4700" w:type="dxa"/>
            <w:vAlign w:val="bottom"/>
            <w:tcBorders>
              <w:bottom w:val="single" w:sz="8" w:color="7CBD3F"/>
            </w:tcBorders>
            <w:shd w:val="clear" w:color="auto" w:fill="F0F7E7"/>
          </w:tcPr>
          <w:p>
            <w:pPr>
              <w:ind w:left="40"/>
              <w:spacing w:after="0"/>
              <w:rPr>
                <w:sz w:val="20"/>
                <w:szCs w:val="20"/>
                <w:color w:val="auto"/>
              </w:rPr>
            </w:pPr>
            <w:r>
              <w:rPr>
                <w:rFonts w:ascii="Arial" w:cs="Arial" w:eastAsia="Arial" w:hAnsi="Arial"/>
                <w:sz w:val="14"/>
                <w:szCs w:val="14"/>
                <w:color w:val="auto"/>
              </w:rPr>
              <w:t>maximum performance)</w:t>
            </w:r>
          </w:p>
        </w:tc>
        <w:tc>
          <w:tcPr>
            <w:tcW w:w="880" w:type="dxa"/>
            <w:vAlign w:val="bottom"/>
            <w:tcBorders>
              <w:bottom w:val="single" w:sz="8" w:color="7CBD3F"/>
            </w:tcBorders>
            <w:shd w:val="clear" w:color="auto" w:fill="F0F7E7"/>
          </w:tcPr>
          <w:p>
            <w:pPr>
              <w:jc w:val="center"/>
              <w:spacing w:after="0"/>
              <w:rPr>
                <w:sz w:val="20"/>
                <w:szCs w:val="20"/>
                <w:color w:val="auto"/>
              </w:rPr>
            </w:pPr>
            <w:r>
              <w:rPr>
                <w:rFonts w:ascii="Arial" w:cs="Arial" w:eastAsia="Arial" w:hAnsi="Arial"/>
                <w:sz w:val="14"/>
                <w:szCs w:val="14"/>
                <w:color w:val="auto"/>
                <w:w w:val="99"/>
              </w:rPr>
              <w:t>2,493,498</w:t>
            </w:r>
          </w:p>
        </w:tc>
        <w:tc>
          <w:tcPr>
            <w:tcW w:w="920" w:type="dxa"/>
            <w:vAlign w:val="bottom"/>
            <w:tcBorders>
              <w:bottom w:val="single" w:sz="8" w:color="7CBD3F"/>
            </w:tcBorders>
            <w:shd w:val="clear" w:color="auto" w:fill="F0F7E7"/>
          </w:tcPr>
          <w:p>
            <w:pPr>
              <w:jc w:val="center"/>
              <w:spacing w:after="0"/>
              <w:rPr>
                <w:sz w:val="20"/>
                <w:szCs w:val="20"/>
                <w:color w:val="auto"/>
              </w:rPr>
            </w:pPr>
            <w:r>
              <w:rPr>
                <w:rFonts w:ascii="Arial" w:cs="Arial" w:eastAsia="Arial" w:hAnsi="Arial"/>
                <w:sz w:val="14"/>
                <w:szCs w:val="14"/>
                <w:color w:val="auto"/>
                <w:w w:val="99"/>
              </w:rPr>
              <w:t>—</w:t>
            </w:r>
          </w:p>
        </w:tc>
        <w:tc>
          <w:tcPr>
            <w:tcW w:w="940" w:type="dxa"/>
            <w:vAlign w:val="bottom"/>
            <w:tcBorders>
              <w:bottom w:val="single" w:sz="8" w:color="7CBD3F"/>
            </w:tcBorders>
            <w:shd w:val="clear" w:color="auto" w:fill="F0F7E7"/>
          </w:tcPr>
          <w:p>
            <w:pPr>
              <w:jc w:val="center"/>
              <w:spacing w:after="0"/>
              <w:rPr>
                <w:sz w:val="20"/>
                <w:szCs w:val="20"/>
                <w:color w:val="auto"/>
              </w:rPr>
            </w:pPr>
            <w:r>
              <w:rPr>
                <w:rFonts w:ascii="Arial" w:cs="Arial" w:eastAsia="Arial" w:hAnsi="Arial"/>
                <w:sz w:val="14"/>
                <w:szCs w:val="14"/>
                <w:color w:val="auto"/>
                <w:w w:val="99"/>
              </w:rPr>
              <w:t>—</w:t>
            </w:r>
          </w:p>
        </w:tc>
        <w:tc>
          <w:tcPr>
            <w:tcW w:w="920" w:type="dxa"/>
            <w:vAlign w:val="bottom"/>
            <w:tcBorders>
              <w:bottom w:val="single" w:sz="8" w:color="7CBD3F"/>
            </w:tcBorders>
            <w:shd w:val="clear" w:color="auto" w:fill="F0F7E7"/>
          </w:tcPr>
          <w:p>
            <w:pPr>
              <w:jc w:val="center"/>
              <w:spacing w:after="0"/>
              <w:rPr>
                <w:sz w:val="20"/>
                <w:szCs w:val="20"/>
                <w:color w:val="auto"/>
              </w:rPr>
            </w:pPr>
            <w:r>
              <w:rPr>
                <w:rFonts w:ascii="Arial" w:cs="Arial" w:eastAsia="Arial" w:hAnsi="Arial"/>
                <w:sz w:val="14"/>
                <w:szCs w:val="14"/>
                <w:color w:val="auto"/>
                <w:w w:val="99"/>
              </w:rPr>
              <w:t>—</w:t>
            </w:r>
          </w:p>
        </w:tc>
        <w:tc>
          <w:tcPr>
            <w:tcW w:w="940" w:type="dxa"/>
            <w:vAlign w:val="bottom"/>
            <w:tcBorders>
              <w:bottom w:val="single" w:sz="8" w:color="7CBD3F"/>
            </w:tcBorders>
            <w:shd w:val="clear" w:color="auto" w:fill="F0F7E7"/>
          </w:tcPr>
          <w:p>
            <w:pPr>
              <w:jc w:val="center"/>
              <w:ind w:left="10"/>
              <w:spacing w:after="0"/>
              <w:rPr>
                <w:sz w:val="20"/>
                <w:szCs w:val="20"/>
                <w:color w:val="auto"/>
              </w:rPr>
            </w:pPr>
            <w:r>
              <w:rPr>
                <w:rFonts w:ascii="Arial" w:cs="Arial" w:eastAsia="Arial" w:hAnsi="Arial"/>
                <w:sz w:val="14"/>
                <w:szCs w:val="14"/>
                <w:color w:val="auto"/>
                <w:w w:val="99"/>
              </w:rPr>
              <w:t>—</w:t>
            </w:r>
          </w:p>
        </w:tc>
        <w:tc>
          <w:tcPr>
            <w:tcW w:w="1020" w:type="dxa"/>
            <w:vAlign w:val="bottom"/>
            <w:tcBorders>
              <w:bottom w:val="single" w:sz="8" w:color="7CBD3F"/>
            </w:tcBorders>
            <w:shd w:val="clear" w:color="auto" w:fill="F0F7E7"/>
          </w:tcPr>
          <w:p>
            <w:pPr>
              <w:jc w:val="center"/>
              <w:ind w:left="50"/>
              <w:spacing w:after="0"/>
              <w:rPr>
                <w:sz w:val="20"/>
                <w:szCs w:val="20"/>
                <w:color w:val="auto"/>
              </w:rPr>
            </w:pPr>
            <w:r>
              <w:rPr>
                <w:rFonts w:ascii="Arial" w:cs="Arial" w:eastAsia="Arial" w:hAnsi="Arial"/>
                <w:sz w:val="14"/>
                <w:szCs w:val="14"/>
                <w:color w:val="auto"/>
                <w:w w:val="98"/>
              </w:rPr>
              <w:t>200,413</w:t>
            </w:r>
          </w:p>
        </w:tc>
        <w:tc>
          <w:tcPr>
            <w:tcW w:w="940" w:type="dxa"/>
            <w:vAlign w:val="bottom"/>
            <w:tcBorders>
              <w:bottom w:val="single" w:sz="8" w:color="7CBD3F"/>
            </w:tcBorders>
            <w:shd w:val="clear" w:color="auto" w:fill="F0F7E7"/>
          </w:tcPr>
          <w:p>
            <w:pPr>
              <w:jc w:val="center"/>
              <w:ind w:right="30"/>
              <w:spacing w:after="0"/>
              <w:rPr>
                <w:sz w:val="20"/>
                <w:szCs w:val="20"/>
                <w:color w:val="auto"/>
              </w:rPr>
            </w:pPr>
            <w:r>
              <w:rPr>
                <w:rFonts w:ascii="Arial" w:cs="Arial" w:eastAsia="Arial" w:hAnsi="Arial"/>
                <w:sz w:val="14"/>
                <w:szCs w:val="14"/>
                <w:color w:val="auto"/>
                <w:w w:val="96"/>
              </w:rPr>
              <w:t>2,693,911</w:t>
            </w:r>
          </w:p>
        </w:tc>
      </w:tr>
    </w:tbl>
    <w:p>
      <w:pPr>
        <w:spacing w:after="0" w:line="3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Dilution</w:t>
      </w:r>
    </w:p>
    <w:p>
      <w:pPr>
        <w:spacing w:after="0" w:line="268"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221E1F"/>
        </w:rPr>
        <w:t>Dilution is commonly measured by “overhang,” which generally refers to the total number of equity awards outstanding plus the total number of shares available for grant under our equity plans, divided by the sum of the total common stock outstanding, the number of equity awards outstanding and the total number of shares available for grant under our equity plans. If the Second A&amp;R 2023 Plan is approved, our overhang will be approximately 21% as of March 7, 2025; however, many of the stock options attributing to our overhang are underwater. As shown above, we had approximately 11,149,214 stock options outstanding, with a weighted average exercise price of $63.62 as of March 7, 2025. That included 7,727,822 options currently exercisable, with a weighted average exercise price of $70.07, and 3,421,392 options not yet vested, with a weighted average exercise price of $49.05. That compares to a closing stock price on March 7, 2025, of $38.62. The 7,638,237 stock options currently underwater account for 6% of our overhang if the Second A&amp;R 2023 Plan is approved.</w:t>
      </w:r>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Historical Burn Rate</w:t>
      </w:r>
    </w:p>
    <w:p>
      <w:pPr>
        <w:spacing w:after="0" w:line="222" w:lineRule="exact"/>
        <w:rPr>
          <w:sz w:val="20"/>
          <w:szCs w:val="20"/>
          <w:color w:val="auto"/>
        </w:rPr>
      </w:pPr>
    </w:p>
    <w:p>
      <w:pPr>
        <w:spacing w:after="0"/>
        <w:rPr>
          <w:sz w:val="20"/>
          <w:szCs w:val="20"/>
          <w:color w:val="auto"/>
        </w:rPr>
      </w:pPr>
      <w:r>
        <w:rPr>
          <w:rFonts w:ascii="Arial" w:cs="Arial" w:eastAsia="Arial" w:hAnsi="Arial"/>
          <w:sz w:val="14"/>
          <w:szCs w:val="14"/>
          <w:color w:val="auto"/>
        </w:rPr>
        <w:t>Our equity plan share usage over 2022, 2023 and 2024 represented a three-year average burn rate of 5.75%, as described in the table below.</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780" w:type="dxa"/>
            <w:vAlign w:val="bottom"/>
          </w:tcPr>
          <w:p>
            <w:pPr>
              <w:spacing w:after="0"/>
              <w:rPr>
                <w:sz w:val="14"/>
                <w:szCs w:val="14"/>
                <w:color w:val="auto"/>
              </w:rPr>
            </w:pPr>
          </w:p>
        </w:tc>
        <w:tc>
          <w:tcPr>
            <w:tcW w:w="1600" w:type="dxa"/>
            <w:vAlign w:val="bottom"/>
          </w:tcPr>
          <w:p>
            <w:pPr>
              <w:jc w:val="center"/>
              <w:ind w:left="230"/>
              <w:spacing w:after="0"/>
              <w:rPr>
                <w:sz w:val="20"/>
                <w:szCs w:val="20"/>
                <w:color w:val="auto"/>
              </w:rPr>
            </w:pPr>
            <w:r>
              <w:rPr>
                <w:rFonts w:ascii="Arial" w:cs="Arial" w:eastAsia="Arial" w:hAnsi="Arial"/>
                <w:sz w:val="14"/>
                <w:szCs w:val="14"/>
                <w:b w:val="1"/>
                <w:bCs w:val="1"/>
                <w:color w:val="auto"/>
                <w:w w:val="98"/>
              </w:rPr>
              <w:t>Weighted</w:t>
            </w:r>
          </w:p>
        </w:tc>
        <w:tc>
          <w:tcPr>
            <w:tcW w:w="1200" w:type="dxa"/>
            <w:vAlign w:val="bottom"/>
          </w:tcPr>
          <w:p>
            <w:pPr>
              <w:spacing w:after="0"/>
              <w:rPr>
                <w:sz w:val="14"/>
                <w:szCs w:val="14"/>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9"/>
              </w:rPr>
              <w:t>Performance-</w:t>
            </w: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780" w:type="dxa"/>
            <w:vAlign w:val="bottom"/>
          </w:tcPr>
          <w:p>
            <w:pPr>
              <w:spacing w:after="0"/>
              <w:rPr>
                <w:sz w:val="14"/>
                <w:szCs w:val="14"/>
                <w:color w:val="auto"/>
              </w:rPr>
            </w:pPr>
          </w:p>
        </w:tc>
        <w:tc>
          <w:tcPr>
            <w:tcW w:w="1600" w:type="dxa"/>
            <w:vAlign w:val="bottom"/>
          </w:tcPr>
          <w:p>
            <w:pPr>
              <w:jc w:val="center"/>
              <w:ind w:left="230"/>
              <w:spacing w:after="0"/>
              <w:rPr>
                <w:sz w:val="20"/>
                <w:szCs w:val="20"/>
                <w:color w:val="auto"/>
              </w:rPr>
            </w:pPr>
            <w:r>
              <w:rPr>
                <w:rFonts w:ascii="Arial" w:cs="Arial" w:eastAsia="Arial" w:hAnsi="Arial"/>
                <w:sz w:val="14"/>
                <w:szCs w:val="14"/>
                <w:b w:val="1"/>
                <w:bCs w:val="1"/>
                <w:color w:val="auto"/>
                <w:w w:val="97"/>
              </w:rPr>
              <w:t>Average</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7"/>
              </w:rPr>
              <w:t>Time-based</w:t>
            </w:r>
          </w:p>
        </w:tc>
        <w:tc>
          <w:tcPr>
            <w:tcW w:w="13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9"/>
              </w:rPr>
              <w:t>based Stock</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9"/>
              </w:rPr>
              <w:t>Performance-</w:t>
            </w:r>
          </w:p>
        </w:tc>
        <w:tc>
          <w:tcPr>
            <w:tcW w:w="9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vMerge w:val="restart"/>
          </w:tcPr>
          <w:p>
            <w:pPr>
              <w:jc w:val="center"/>
              <w:ind w:left="10"/>
              <w:spacing w:after="0"/>
              <w:rPr>
                <w:sz w:val="20"/>
                <w:szCs w:val="20"/>
                <w:color w:val="auto"/>
              </w:rPr>
            </w:pPr>
            <w:r>
              <w:rPr>
                <w:rFonts w:ascii="Arial" w:cs="Arial" w:eastAsia="Arial" w:hAnsi="Arial"/>
                <w:sz w:val="14"/>
                <w:szCs w:val="14"/>
                <w:b w:val="1"/>
                <w:bCs w:val="1"/>
                <w:color w:val="auto"/>
                <w:w w:val="99"/>
              </w:rPr>
              <w:t>Annualized</w:t>
            </w:r>
          </w:p>
        </w:tc>
        <w:tc>
          <w:tcPr>
            <w:tcW w:w="0" w:type="dxa"/>
            <w:vAlign w:val="bottom"/>
          </w:tcPr>
          <w:p>
            <w:pPr>
              <w:spacing w:after="0"/>
              <w:rPr>
                <w:sz w:val="1"/>
                <w:szCs w:val="1"/>
                <w:color w:val="auto"/>
              </w:rPr>
            </w:pPr>
          </w:p>
        </w:tc>
      </w:tr>
      <w:tr>
        <w:trPr>
          <w:trHeight w:val="141"/>
        </w:trPr>
        <w:tc>
          <w:tcPr>
            <w:tcW w:w="780" w:type="dxa"/>
            <w:vAlign w:val="bottom"/>
          </w:tcPr>
          <w:p>
            <w:pPr>
              <w:spacing w:after="0"/>
              <w:rPr>
                <w:sz w:val="12"/>
                <w:szCs w:val="12"/>
                <w:color w:val="auto"/>
              </w:rPr>
            </w:pPr>
          </w:p>
        </w:tc>
        <w:tc>
          <w:tcPr>
            <w:tcW w:w="1600" w:type="dxa"/>
            <w:vAlign w:val="bottom"/>
          </w:tcPr>
          <w:p>
            <w:pPr>
              <w:jc w:val="center"/>
              <w:ind w:left="230"/>
              <w:spacing w:after="0" w:line="141" w:lineRule="exact"/>
              <w:rPr>
                <w:sz w:val="20"/>
                <w:szCs w:val="20"/>
                <w:color w:val="auto"/>
              </w:rPr>
            </w:pPr>
            <w:r>
              <w:rPr>
                <w:rFonts w:ascii="Arial" w:cs="Arial" w:eastAsia="Arial" w:hAnsi="Arial"/>
                <w:sz w:val="14"/>
                <w:szCs w:val="14"/>
                <w:b w:val="1"/>
                <w:bCs w:val="1"/>
                <w:color w:val="auto"/>
                <w:w w:val="99"/>
              </w:rPr>
              <w:t>Common Stock</w:t>
            </w:r>
          </w:p>
        </w:tc>
        <w:tc>
          <w:tcPr>
            <w:tcW w:w="120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rPr>
              <w:t>Stock Options</w:t>
            </w:r>
          </w:p>
        </w:tc>
        <w:tc>
          <w:tcPr>
            <w:tcW w:w="1300" w:type="dxa"/>
            <w:vAlign w:val="bottom"/>
            <w:gridSpan w:val="2"/>
          </w:tcPr>
          <w:p>
            <w:pPr>
              <w:jc w:val="center"/>
              <w:ind w:right="160"/>
              <w:spacing w:after="0" w:line="141" w:lineRule="exact"/>
              <w:rPr>
                <w:sz w:val="20"/>
                <w:szCs w:val="20"/>
                <w:color w:val="auto"/>
              </w:rPr>
            </w:pPr>
            <w:r>
              <w:rPr>
                <w:rFonts w:ascii="Arial" w:cs="Arial" w:eastAsia="Arial" w:hAnsi="Arial"/>
                <w:sz w:val="14"/>
                <w:szCs w:val="14"/>
                <w:b w:val="1"/>
                <w:bCs w:val="1"/>
                <w:color w:val="auto"/>
              </w:rPr>
              <w:t>Options</w:t>
            </w:r>
          </w:p>
        </w:tc>
        <w:tc>
          <w:tcPr>
            <w:tcW w:w="134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99"/>
              </w:rPr>
              <w:t>based Stock</w:t>
            </w:r>
          </w:p>
        </w:tc>
        <w:tc>
          <w:tcPr>
            <w:tcW w:w="98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rPr>
              <w:t>RSUs</w:t>
            </w: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780" w:type="dxa"/>
            <w:vAlign w:val="bottom"/>
          </w:tcPr>
          <w:p>
            <w:pPr>
              <w:ind w:left="40"/>
              <w:spacing w:after="0"/>
              <w:rPr>
                <w:sz w:val="20"/>
                <w:szCs w:val="20"/>
                <w:color w:val="auto"/>
              </w:rPr>
            </w:pPr>
            <w:r>
              <w:rPr>
                <w:rFonts w:ascii="Arial" w:cs="Arial" w:eastAsia="Arial" w:hAnsi="Arial"/>
                <w:sz w:val="14"/>
                <w:szCs w:val="14"/>
                <w:b w:val="1"/>
                <w:bCs w:val="1"/>
                <w:color w:val="auto"/>
              </w:rPr>
              <w:t>Year</w:t>
            </w:r>
          </w:p>
        </w:tc>
        <w:tc>
          <w:tcPr>
            <w:tcW w:w="1600" w:type="dxa"/>
            <w:vAlign w:val="bottom"/>
          </w:tcPr>
          <w:p>
            <w:pPr>
              <w:jc w:val="center"/>
              <w:ind w:left="230"/>
              <w:spacing w:after="0"/>
              <w:rPr>
                <w:sz w:val="20"/>
                <w:szCs w:val="20"/>
                <w:color w:val="auto"/>
              </w:rPr>
            </w:pPr>
            <w:r>
              <w:rPr>
                <w:rFonts w:ascii="Arial" w:cs="Arial" w:eastAsia="Arial" w:hAnsi="Arial"/>
                <w:sz w:val="14"/>
                <w:szCs w:val="14"/>
                <w:b w:val="1"/>
                <w:bCs w:val="1"/>
                <w:color w:val="auto"/>
                <w:w w:val="99"/>
              </w:rPr>
              <w:t>Outstanding</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Granted</w:t>
            </w: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Granted</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9"/>
              </w:rPr>
              <w:t>Options Earned</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Granted</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9"/>
              </w:rPr>
              <w:t>PSUs Granted</w:t>
            </w: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PSUs Earned</w:t>
            </w:r>
          </w:p>
        </w:tc>
        <w:tc>
          <w:tcPr>
            <w:tcW w:w="1140" w:type="dxa"/>
            <w:vAlign w:val="bottom"/>
          </w:tcPr>
          <w:p>
            <w:pPr>
              <w:jc w:val="center"/>
              <w:ind w:left="10"/>
              <w:spacing w:after="0" w:line="199" w:lineRule="exact"/>
              <w:rPr>
                <w:sz w:val="20"/>
                <w:szCs w:val="20"/>
                <w:color w:val="auto"/>
              </w:rPr>
            </w:pPr>
            <w:r>
              <w:rPr>
                <w:rFonts w:ascii="Arial" w:cs="Arial" w:eastAsia="Arial" w:hAnsi="Arial"/>
                <w:sz w:val="13"/>
                <w:szCs w:val="13"/>
                <w:b w:val="1"/>
                <w:bCs w:val="1"/>
                <w:color w:val="auto"/>
              </w:rPr>
              <w:t>Burn Rate</w:t>
            </w:r>
            <w:r>
              <w:rPr>
                <w:rFonts w:ascii="Arial" w:cs="Arial" w:eastAsia="Arial" w:hAnsi="Arial"/>
                <w:sz w:val="22"/>
                <w:szCs w:val="22"/>
                <w:b w:val="1"/>
                <w:bCs w:val="1"/>
                <w:color w:val="auto"/>
                <w:vertAlign w:val="superscript"/>
              </w:rPr>
              <w:t>(1)</w:t>
            </w:r>
          </w:p>
        </w:tc>
        <w:tc>
          <w:tcPr>
            <w:tcW w:w="0" w:type="dxa"/>
            <w:vAlign w:val="bottom"/>
          </w:tcPr>
          <w:p>
            <w:pPr>
              <w:spacing w:after="0"/>
              <w:rPr>
                <w:sz w:val="1"/>
                <w:szCs w:val="1"/>
                <w:color w:val="auto"/>
              </w:rPr>
            </w:pPr>
          </w:p>
        </w:tc>
      </w:tr>
      <w:tr>
        <w:trPr>
          <w:trHeight w:val="163"/>
        </w:trPr>
        <w:tc>
          <w:tcPr>
            <w:tcW w:w="780" w:type="dxa"/>
            <w:vAlign w:val="bottom"/>
            <w:tcBorders>
              <w:top w:val="single" w:sz="8" w:color="7CBD3F"/>
            </w:tcBorders>
          </w:tcPr>
          <w:p>
            <w:pPr>
              <w:ind w:left="40"/>
              <w:spacing w:after="0"/>
              <w:rPr>
                <w:sz w:val="20"/>
                <w:szCs w:val="20"/>
                <w:color w:val="auto"/>
              </w:rPr>
            </w:pPr>
            <w:r>
              <w:rPr>
                <w:rFonts w:ascii="Arial" w:cs="Arial" w:eastAsia="Arial" w:hAnsi="Arial"/>
                <w:sz w:val="14"/>
                <w:szCs w:val="14"/>
                <w:color w:val="auto"/>
              </w:rPr>
              <w:t>2022</w:t>
            </w:r>
          </w:p>
        </w:tc>
        <w:tc>
          <w:tcPr>
            <w:tcW w:w="1600" w:type="dxa"/>
            <w:vAlign w:val="bottom"/>
            <w:tcBorders>
              <w:top w:val="single" w:sz="8" w:color="7CBD3F"/>
            </w:tcBorders>
          </w:tcPr>
          <w:p>
            <w:pPr>
              <w:jc w:val="center"/>
              <w:ind w:left="230"/>
              <w:spacing w:after="0"/>
              <w:rPr>
                <w:sz w:val="20"/>
                <w:szCs w:val="20"/>
                <w:color w:val="auto"/>
              </w:rPr>
            </w:pPr>
            <w:r>
              <w:rPr>
                <w:rFonts w:ascii="Arial" w:cs="Arial" w:eastAsia="Arial" w:hAnsi="Arial"/>
                <w:sz w:val="14"/>
                <w:szCs w:val="14"/>
                <w:color w:val="auto"/>
                <w:w w:val="99"/>
              </w:rPr>
              <w:t>69,914,225</w:t>
            </w:r>
          </w:p>
        </w:tc>
        <w:tc>
          <w:tcPr>
            <w:tcW w:w="1200" w:type="dxa"/>
            <w:vAlign w:val="bottom"/>
            <w:tcBorders>
              <w:top w:val="single" w:sz="8" w:color="7CBD3F"/>
            </w:tcBorders>
          </w:tcPr>
          <w:p>
            <w:pPr>
              <w:jc w:val="center"/>
              <w:spacing w:after="0"/>
              <w:rPr>
                <w:sz w:val="20"/>
                <w:szCs w:val="20"/>
                <w:color w:val="auto"/>
              </w:rPr>
            </w:pPr>
            <w:r>
              <w:rPr>
                <w:rFonts w:ascii="Arial" w:cs="Arial" w:eastAsia="Arial" w:hAnsi="Arial"/>
                <w:sz w:val="14"/>
                <w:szCs w:val="14"/>
                <w:color w:val="auto"/>
                <w:w w:val="99"/>
              </w:rPr>
              <w:t>2,293,950</w:t>
            </w:r>
          </w:p>
        </w:tc>
        <w:tc>
          <w:tcPr>
            <w:tcW w:w="1080" w:type="dxa"/>
            <w:vAlign w:val="bottom"/>
            <w:tcBorders>
              <w:top w:val="single" w:sz="8" w:color="7CBD3F"/>
            </w:tcBorders>
          </w:tcPr>
          <w:p>
            <w:pPr>
              <w:jc w:val="center"/>
              <w:ind w:left="30"/>
              <w:spacing w:after="0"/>
              <w:rPr>
                <w:sz w:val="20"/>
                <w:szCs w:val="20"/>
                <w:color w:val="auto"/>
              </w:rPr>
            </w:pPr>
            <w:r>
              <w:rPr>
                <w:rFonts w:ascii="Arial" w:cs="Arial" w:eastAsia="Arial" w:hAnsi="Arial"/>
                <w:sz w:val="14"/>
                <w:szCs w:val="14"/>
                <w:color w:val="auto"/>
                <w:w w:val="99"/>
              </w:rPr>
              <w:t>1,827,449</w:t>
            </w:r>
          </w:p>
        </w:tc>
        <w:tc>
          <w:tcPr>
            <w:tcW w:w="220" w:type="dxa"/>
            <w:vAlign w:val="bottom"/>
            <w:tcBorders>
              <w:top w:val="single" w:sz="8" w:color="7CBD3E"/>
            </w:tcBorders>
          </w:tcPr>
          <w:p>
            <w:pPr>
              <w:spacing w:after="0"/>
              <w:rPr>
                <w:sz w:val="14"/>
                <w:szCs w:val="14"/>
                <w:color w:val="auto"/>
              </w:rPr>
            </w:pPr>
          </w:p>
        </w:tc>
        <w:tc>
          <w:tcPr>
            <w:tcW w:w="1340" w:type="dxa"/>
            <w:vAlign w:val="bottom"/>
            <w:tcBorders>
              <w:top w:val="single" w:sz="8" w:color="7CBD3F"/>
            </w:tcBorders>
          </w:tcPr>
          <w:p>
            <w:pPr>
              <w:jc w:val="center"/>
              <w:spacing w:after="0"/>
              <w:rPr>
                <w:sz w:val="20"/>
                <w:szCs w:val="20"/>
                <w:color w:val="auto"/>
              </w:rPr>
            </w:pPr>
            <w:r>
              <w:rPr>
                <w:rFonts w:ascii="Arial" w:cs="Arial" w:eastAsia="Arial" w:hAnsi="Arial"/>
                <w:sz w:val="14"/>
                <w:szCs w:val="14"/>
                <w:color w:val="auto"/>
              </w:rPr>
              <w:t>0</w:t>
            </w:r>
          </w:p>
        </w:tc>
        <w:tc>
          <w:tcPr>
            <w:tcW w:w="980" w:type="dxa"/>
            <w:vAlign w:val="bottom"/>
            <w:tcBorders>
              <w:top w:val="single" w:sz="8" w:color="7CBD3F"/>
            </w:tcBorders>
          </w:tcPr>
          <w:p>
            <w:pPr>
              <w:jc w:val="center"/>
              <w:spacing w:after="0"/>
              <w:rPr>
                <w:sz w:val="20"/>
                <w:szCs w:val="20"/>
                <w:color w:val="auto"/>
              </w:rPr>
            </w:pPr>
            <w:r>
              <w:rPr>
                <w:rFonts w:ascii="Arial" w:cs="Arial" w:eastAsia="Arial" w:hAnsi="Arial"/>
                <w:sz w:val="14"/>
                <w:szCs w:val="14"/>
                <w:color w:val="auto"/>
                <w:w w:val="99"/>
              </w:rPr>
              <w:t>1,347,125</w:t>
            </w:r>
          </w:p>
        </w:tc>
        <w:tc>
          <w:tcPr>
            <w:tcW w:w="1240" w:type="dxa"/>
            <w:vAlign w:val="bottom"/>
            <w:tcBorders>
              <w:top w:val="single" w:sz="8" w:color="7CBD3F"/>
            </w:tcBorders>
          </w:tcPr>
          <w:p>
            <w:pPr>
              <w:jc w:val="center"/>
              <w:ind w:left="30"/>
              <w:spacing w:after="0"/>
              <w:rPr>
                <w:sz w:val="20"/>
                <w:szCs w:val="20"/>
                <w:color w:val="auto"/>
              </w:rPr>
            </w:pPr>
            <w:r>
              <w:rPr>
                <w:rFonts w:ascii="Arial" w:cs="Arial" w:eastAsia="Arial" w:hAnsi="Arial"/>
                <w:sz w:val="14"/>
                <w:szCs w:val="14"/>
                <w:color w:val="auto"/>
                <w:w w:val="98"/>
              </w:rPr>
              <w:t>166,730</w:t>
            </w:r>
          </w:p>
        </w:tc>
        <w:tc>
          <w:tcPr>
            <w:tcW w:w="220" w:type="dxa"/>
            <w:vAlign w:val="bottom"/>
            <w:tcBorders>
              <w:top w:val="single" w:sz="8" w:color="7CBD3E"/>
            </w:tcBorders>
          </w:tcPr>
          <w:p>
            <w:pPr>
              <w:spacing w:after="0"/>
              <w:rPr>
                <w:sz w:val="14"/>
                <w:szCs w:val="14"/>
                <w:color w:val="auto"/>
              </w:rPr>
            </w:pPr>
          </w:p>
        </w:tc>
        <w:tc>
          <w:tcPr>
            <w:tcW w:w="1240" w:type="dxa"/>
            <w:vAlign w:val="bottom"/>
            <w:tcBorders>
              <w:top w:val="single" w:sz="8" w:color="7CBD3F"/>
            </w:tcBorders>
          </w:tcPr>
          <w:p>
            <w:pPr>
              <w:jc w:val="center"/>
              <w:ind w:left="50"/>
              <w:spacing w:after="0"/>
              <w:rPr>
                <w:sz w:val="20"/>
                <w:szCs w:val="20"/>
                <w:color w:val="auto"/>
              </w:rPr>
            </w:pPr>
            <w:r>
              <w:rPr>
                <w:rFonts w:ascii="Arial" w:cs="Arial" w:eastAsia="Arial" w:hAnsi="Arial"/>
                <w:sz w:val="14"/>
                <w:szCs w:val="14"/>
                <w:color w:val="auto"/>
              </w:rPr>
              <w:t>28,990</w:t>
            </w:r>
          </w:p>
        </w:tc>
        <w:tc>
          <w:tcPr>
            <w:tcW w:w="220" w:type="dxa"/>
            <w:vAlign w:val="bottom"/>
            <w:tcBorders>
              <w:top w:val="single" w:sz="8" w:color="7CBD3E"/>
            </w:tcBorders>
          </w:tcPr>
          <w:p>
            <w:pPr>
              <w:spacing w:after="0"/>
              <w:rPr>
                <w:sz w:val="14"/>
                <w:szCs w:val="14"/>
                <w:color w:val="auto"/>
              </w:rPr>
            </w:pPr>
          </w:p>
        </w:tc>
        <w:tc>
          <w:tcPr>
            <w:tcW w:w="1140" w:type="dxa"/>
            <w:vAlign w:val="bottom"/>
            <w:tcBorders>
              <w:top w:val="single" w:sz="8" w:color="7CBD3F"/>
            </w:tcBorders>
          </w:tcPr>
          <w:p>
            <w:pPr>
              <w:jc w:val="center"/>
              <w:ind w:left="10"/>
              <w:spacing w:after="0"/>
              <w:rPr>
                <w:sz w:val="20"/>
                <w:szCs w:val="20"/>
                <w:color w:val="auto"/>
              </w:rPr>
            </w:pPr>
            <w:r>
              <w:rPr>
                <w:rFonts w:ascii="Arial" w:cs="Arial" w:eastAsia="Arial" w:hAnsi="Arial"/>
                <w:sz w:val="14"/>
                <w:szCs w:val="14"/>
                <w:color w:val="auto"/>
                <w:w w:val="95"/>
              </w:rPr>
              <w:t>5.25%</w:t>
            </w:r>
          </w:p>
        </w:tc>
        <w:tc>
          <w:tcPr>
            <w:tcW w:w="0" w:type="dxa"/>
            <w:vAlign w:val="bottom"/>
          </w:tcPr>
          <w:p>
            <w:pPr>
              <w:spacing w:after="0"/>
              <w:rPr>
                <w:sz w:val="1"/>
                <w:szCs w:val="1"/>
                <w:color w:val="auto"/>
              </w:rPr>
            </w:pPr>
          </w:p>
        </w:tc>
      </w:tr>
      <w:tr>
        <w:trPr>
          <w:trHeight w:val="163"/>
        </w:trPr>
        <w:tc>
          <w:tcPr>
            <w:tcW w:w="780" w:type="dxa"/>
            <w:vAlign w:val="bottom"/>
            <w:shd w:val="clear" w:color="auto" w:fill="F0F7E7"/>
          </w:tcPr>
          <w:p>
            <w:pPr>
              <w:ind w:left="40"/>
              <w:spacing w:after="0"/>
              <w:rPr>
                <w:sz w:val="20"/>
                <w:szCs w:val="20"/>
                <w:color w:val="auto"/>
              </w:rPr>
            </w:pPr>
            <w:r>
              <w:rPr>
                <w:rFonts w:ascii="Arial" w:cs="Arial" w:eastAsia="Arial" w:hAnsi="Arial"/>
                <w:sz w:val="14"/>
                <w:szCs w:val="14"/>
                <w:color w:val="auto"/>
              </w:rPr>
              <w:t>2023</w:t>
            </w:r>
          </w:p>
        </w:tc>
        <w:tc>
          <w:tcPr>
            <w:tcW w:w="1600" w:type="dxa"/>
            <w:vAlign w:val="bottom"/>
            <w:shd w:val="clear" w:color="auto" w:fill="F0F7E7"/>
          </w:tcPr>
          <w:p>
            <w:pPr>
              <w:jc w:val="center"/>
              <w:ind w:left="230"/>
              <w:spacing w:after="0"/>
              <w:rPr>
                <w:sz w:val="20"/>
                <w:szCs w:val="20"/>
                <w:color w:val="auto"/>
              </w:rPr>
            </w:pPr>
            <w:r>
              <w:rPr>
                <w:rFonts w:ascii="Arial" w:cs="Arial" w:eastAsia="Arial" w:hAnsi="Arial"/>
                <w:sz w:val="14"/>
                <w:szCs w:val="14"/>
                <w:color w:val="auto"/>
                <w:w w:val="99"/>
              </w:rPr>
              <w:t>73,543,862</w:t>
            </w:r>
          </w:p>
        </w:tc>
        <w:tc>
          <w:tcPr>
            <w:tcW w:w="1200" w:type="dxa"/>
            <w:vAlign w:val="bottom"/>
            <w:shd w:val="clear" w:color="auto" w:fill="F0F7E7"/>
          </w:tcPr>
          <w:p>
            <w:pPr>
              <w:jc w:val="center"/>
              <w:spacing w:after="0"/>
              <w:rPr>
                <w:sz w:val="20"/>
                <w:szCs w:val="20"/>
                <w:color w:val="auto"/>
              </w:rPr>
            </w:pPr>
            <w:r>
              <w:rPr>
                <w:rFonts w:ascii="Arial" w:cs="Arial" w:eastAsia="Arial" w:hAnsi="Arial"/>
                <w:sz w:val="14"/>
                <w:szCs w:val="14"/>
                <w:color w:val="auto"/>
                <w:w w:val="99"/>
              </w:rPr>
              <w:t>2,123,256</w:t>
            </w:r>
          </w:p>
        </w:tc>
        <w:tc>
          <w:tcPr>
            <w:tcW w:w="1080" w:type="dxa"/>
            <w:vAlign w:val="bottom"/>
            <w:shd w:val="clear" w:color="auto" w:fill="F0F7E7"/>
          </w:tcPr>
          <w:p>
            <w:pPr>
              <w:jc w:val="center"/>
              <w:ind w:left="10"/>
              <w:spacing w:after="0"/>
              <w:rPr>
                <w:sz w:val="20"/>
                <w:szCs w:val="20"/>
                <w:color w:val="auto"/>
              </w:rPr>
            </w:pPr>
            <w:r>
              <w:rPr>
                <w:rFonts w:ascii="Arial" w:cs="Arial" w:eastAsia="Arial" w:hAnsi="Arial"/>
                <w:sz w:val="14"/>
                <w:szCs w:val="14"/>
                <w:color w:val="auto"/>
              </w:rPr>
              <w:t>0</w:t>
            </w:r>
          </w:p>
        </w:tc>
        <w:tc>
          <w:tcPr>
            <w:tcW w:w="220" w:type="dxa"/>
            <w:vAlign w:val="bottom"/>
            <w:shd w:val="clear" w:color="auto" w:fill="F0F7E7"/>
          </w:tcPr>
          <w:p>
            <w:pPr>
              <w:spacing w:after="0"/>
              <w:rPr>
                <w:sz w:val="14"/>
                <w:szCs w:val="14"/>
                <w:color w:val="auto"/>
              </w:rPr>
            </w:pPr>
          </w:p>
        </w:tc>
        <w:tc>
          <w:tcPr>
            <w:tcW w:w="1340" w:type="dxa"/>
            <w:vAlign w:val="bottom"/>
            <w:shd w:val="clear" w:color="auto" w:fill="F0F7E7"/>
          </w:tcPr>
          <w:p>
            <w:pPr>
              <w:jc w:val="center"/>
              <w:spacing w:after="0"/>
              <w:rPr>
                <w:sz w:val="20"/>
                <w:szCs w:val="20"/>
                <w:color w:val="auto"/>
              </w:rPr>
            </w:pPr>
            <w:r>
              <w:rPr>
                <w:rFonts w:ascii="Arial" w:cs="Arial" w:eastAsia="Arial" w:hAnsi="Arial"/>
                <w:sz w:val="14"/>
                <w:szCs w:val="14"/>
                <w:color w:val="auto"/>
              </w:rPr>
              <w:t>152,593</w:t>
            </w:r>
          </w:p>
        </w:tc>
        <w:tc>
          <w:tcPr>
            <w:tcW w:w="980" w:type="dxa"/>
            <w:vAlign w:val="bottom"/>
            <w:shd w:val="clear" w:color="auto" w:fill="F0F7E7"/>
          </w:tcPr>
          <w:p>
            <w:pPr>
              <w:jc w:val="center"/>
              <w:spacing w:after="0"/>
              <w:rPr>
                <w:sz w:val="20"/>
                <w:szCs w:val="20"/>
                <w:color w:val="auto"/>
              </w:rPr>
            </w:pPr>
            <w:r>
              <w:rPr>
                <w:rFonts w:ascii="Arial" w:cs="Arial" w:eastAsia="Arial" w:hAnsi="Arial"/>
                <w:sz w:val="14"/>
                <w:szCs w:val="14"/>
                <w:color w:val="auto"/>
                <w:w w:val="99"/>
              </w:rPr>
              <w:t>2,447,170</w:t>
            </w:r>
          </w:p>
        </w:tc>
        <w:tc>
          <w:tcPr>
            <w:tcW w:w="1240" w:type="dxa"/>
            <w:vAlign w:val="bottom"/>
            <w:shd w:val="clear" w:color="auto" w:fill="F0F7E7"/>
          </w:tcPr>
          <w:p>
            <w:pPr>
              <w:jc w:val="center"/>
              <w:ind w:left="30"/>
              <w:spacing w:after="0"/>
              <w:rPr>
                <w:sz w:val="20"/>
                <w:szCs w:val="20"/>
                <w:color w:val="auto"/>
              </w:rPr>
            </w:pPr>
            <w:r>
              <w:rPr>
                <w:rFonts w:ascii="Arial" w:cs="Arial" w:eastAsia="Arial" w:hAnsi="Arial"/>
                <w:sz w:val="14"/>
                <w:szCs w:val="14"/>
                <w:color w:val="auto"/>
                <w:w w:val="98"/>
              </w:rPr>
              <w:t>362,470</w:t>
            </w:r>
          </w:p>
        </w:tc>
        <w:tc>
          <w:tcPr>
            <w:tcW w:w="220" w:type="dxa"/>
            <w:vAlign w:val="bottom"/>
            <w:shd w:val="clear" w:color="auto" w:fill="F0F7E7"/>
          </w:tcPr>
          <w:p>
            <w:pPr>
              <w:spacing w:after="0"/>
              <w:rPr>
                <w:sz w:val="14"/>
                <w:szCs w:val="14"/>
                <w:color w:val="auto"/>
              </w:rPr>
            </w:pPr>
          </w:p>
        </w:tc>
        <w:tc>
          <w:tcPr>
            <w:tcW w:w="1240" w:type="dxa"/>
            <w:vAlign w:val="bottom"/>
            <w:shd w:val="clear" w:color="auto" w:fill="F0F7E7"/>
          </w:tcPr>
          <w:p>
            <w:pPr>
              <w:jc w:val="center"/>
              <w:ind w:left="50"/>
              <w:spacing w:after="0"/>
              <w:rPr>
                <w:sz w:val="20"/>
                <w:szCs w:val="20"/>
                <w:color w:val="auto"/>
              </w:rPr>
            </w:pPr>
            <w:r>
              <w:rPr>
                <w:rFonts w:ascii="Arial" w:cs="Arial" w:eastAsia="Arial" w:hAnsi="Arial"/>
                <w:sz w:val="14"/>
                <w:szCs w:val="14"/>
                <w:color w:val="auto"/>
              </w:rPr>
              <w:t>27,581</w:t>
            </w:r>
          </w:p>
        </w:tc>
        <w:tc>
          <w:tcPr>
            <w:tcW w:w="220" w:type="dxa"/>
            <w:vAlign w:val="bottom"/>
            <w:shd w:val="clear" w:color="auto" w:fill="F0F7E7"/>
          </w:tcPr>
          <w:p>
            <w:pPr>
              <w:spacing w:after="0"/>
              <w:rPr>
                <w:sz w:val="14"/>
                <w:szCs w:val="14"/>
                <w:color w:val="auto"/>
              </w:rPr>
            </w:pPr>
          </w:p>
        </w:tc>
        <w:tc>
          <w:tcPr>
            <w:tcW w:w="1140" w:type="dxa"/>
            <w:vAlign w:val="bottom"/>
            <w:shd w:val="clear" w:color="auto" w:fill="F0F7E7"/>
          </w:tcPr>
          <w:p>
            <w:pPr>
              <w:jc w:val="center"/>
              <w:ind w:left="10"/>
              <w:spacing w:after="0"/>
              <w:rPr>
                <w:sz w:val="20"/>
                <w:szCs w:val="20"/>
                <w:color w:val="auto"/>
              </w:rPr>
            </w:pPr>
            <w:r>
              <w:rPr>
                <w:rFonts w:ascii="Arial" w:cs="Arial" w:eastAsia="Arial" w:hAnsi="Arial"/>
                <w:sz w:val="14"/>
                <w:szCs w:val="14"/>
                <w:color w:val="auto"/>
                <w:w w:val="95"/>
              </w:rPr>
              <w:t>6.46%</w:t>
            </w:r>
          </w:p>
        </w:tc>
        <w:tc>
          <w:tcPr>
            <w:tcW w:w="0" w:type="dxa"/>
            <w:vAlign w:val="bottom"/>
          </w:tcPr>
          <w:p>
            <w:pPr>
              <w:spacing w:after="0"/>
              <w:rPr>
                <w:sz w:val="1"/>
                <w:szCs w:val="1"/>
                <w:color w:val="auto"/>
              </w:rPr>
            </w:pPr>
          </w:p>
        </w:tc>
      </w:tr>
      <w:tr>
        <w:trPr>
          <w:trHeight w:val="163"/>
        </w:trPr>
        <w:tc>
          <w:tcPr>
            <w:tcW w:w="780" w:type="dxa"/>
            <w:vAlign w:val="bottom"/>
          </w:tcPr>
          <w:p>
            <w:pPr>
              <w:ind w:left="40"/>
              <w:spacing w:after="0"/>
              <w:rPr>
                <w:sz w:val="20"/>
                <w:szCs w:val="20"/>
                <w:color w:val="auto"/>
              </w:rPr>
            </w:pPr>
            <w:r>
              <w:rPr>
                <w:rFonts w:ascii="Arial" w:cs="Arial" w:eastAsia="Arial" w:hAnsi="Arial"/>
                <w:sz w:val="14"/>
                <w:szCs w:val="14"/>
                <w:color w:val="auto"/>
              </w:rPr>
              <w:t>2024</w:t>
            </w:r>
          </w:p>
        </w:tc>
        <w:tc>
          <w:tcPr>
            <w:tcW w:w="1600" w:type="dxa"/>
            <w:vAlign w:val="bottom"/>
          </w:tcPr>
          <w:p>
            <w:pPr>
              <w:jc w:val="center"/>
              <w:ind w:left="230"/>
              <w:spacing w:after="0"/>
              <w:rPr>
                <w:sz w:val="20"/>
                <w:szCs w:val="20"/>
                <w:color w:val="auto"/>
              </w:rPr>
            </w:pPr>
            <w:r>
              <w:rPr>
                <w:rFonts w:ascii="Arial" w:cs="Arial" w:eastAsia="Arial" w:hAnsi="Arial"/>
                <w:sz w:val="14"/>
                <w:szCs w:val="14"/>
                <w:color w:val="auto"/>
                <w:w w:val="99"/>
              </w:rPr>
              <w:t>90,538,118</w:t>
            </w:r>
          </w:p>
        </w:tc>
        <w:tc>
          <w:tcPr>
            <w:tcW w:w="1200" w:type="dxa"/>
            <w:vAlign w:val="bottom"/>
          </w:tcPr>
          <w:p>
            <w:pPr>
              <w:jc w:val="center"/>
              <w:spacing w:after="0"/>
              <w:rPr>
                <w:sz w:val="20"/>
                <w:szCs w:val="20"/>
                <w:color w:val="auto"/>
              </w:rPr>
            </w:pPr>
            <w:r>
              <w:rPr>
                <w:rFonts w:ascii="Arial" w:cs="Arial" w:eastAsia="Arial" w:hAnsi="Arial"/>
                <w:sz w:val="14"/>
                <w:szCs w:val="14"/>
                <w:color w:val="auto"/>
                <w:w w:val="99"/>
              </w:rPr>
              <w:t>1,445,364</w:t>
            </w:r>
          </w:p>
        </w:tc>
        <w:tc>
          <w:tcPr>
            <w:tcW w:w="1080" w:type="dxa"/>
            <w:vAlign w:val="bottom"/>
          </w:tcPr>
          <w:p>
            <w:pPr>
              <w:jc w:val="center"/>
              <w:ind w:left="10"/>
              <w:spacing w:after="0"/>
              <w:rPr>
                <w:sz w:val="20"/>
                <w:szCs w:val="20"/>
                <w:color w:val="auto"/>
              </w:rPr>
            </w:pPr>
            <w:r>
              <w:rPr>
                <w:rFonts w:ascii="Arial" w:cs="Arial" w:eastAsia="Arial" w:hAnsi="Arial"/>
                <w:sz w:val="14"/>
                <w:szCs w:val="14"/>
                <w:color w:val="auto"/>
              </w:rPr>
              <w:t>0</w:t>
            </w:r>
          </w:p>
        </w:tc>
        <w:tc>
          <w:tcPr>
            <w:tcW w:w="22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color w:val="auto"/>
              </w:rPr>
              <w:t>342,622</w:t>
            </w:r>
          </w:p>
        </w:tc>
        <w:tc>
          <w:tcPr>
            <w:tcW w:w="980" w:type="dxa"/>
            <w:vAlign w:val="bottom"/>
          </w:tcPr>
          <w:p>
            <w:pPr>
              <w:jc w:val="center"/>
              <w:spacing w:after="0"/>
              <w:rPr>
                <w:sz w:val="20"/>
                <w:szCs w:val="20"/>
                <w:color w:val="auto"/>
              </w:rPr>
            </w:pPr>
            <w:r>
              <w:rPr>
                <w:rFonts w:ascii="Arial" w:cs="Arial" w:eastAsia="Arial" w:hAnsi="Arial"/>
                <w:sz w:val="14"/>
                <w:szCs w:val="14"/>
                <w:color w:val="auto"/>
                <w:w w:val="99"/>
              </w:rPr>
              <w:t>3,169,688</w:t>
            </w:r>
          </w:p>
        </w:tc>
        <w:tc>
          <w:tcPr>
            <w:tcW w:w="1240" w:type="dxa"/>
            <w:vAlign w:val="bottom"/>
          </w:tcPr>
          <w:p>
            <w:pPr>
              <w:jc w:val="center"/>
              <w:ind w:left="30"/>
              <w:spacing w:after="0"/>
              <w:rPr>
                <w:sz w:val="20"/>
                <w:szCs w:val="20"/>
                <w:color w:val="auto"/>
              </w:rPr>
            </w:pPr>
            <w:r>
              <w:rPr>
                <w:rFonts w:ascii="Arial" w:cs="Arial" w:eastAsia="Arial" w:hAnsi="Arial"/>
                <w:sz w:val="14"/>
                <w:szCs w:val="14"/>
                <w:color w:val="auto"/>
                <w:w w:val="98"/>
              </w:rPr>
              <w:t>274,484</w:t>
            </w:r>
          </w:p>
        </w:tc>
        <w:tc>
          <w:tcPr>
            <w:tcW w:w="220" w:type="dxa"/>
            <w:vAlign w:val="bottom"/>
          </w:tcPr>
          <w:p>
            <w:pPr>
              <w:spacing w:after="0"/>
              <w:rPr>
                <w:sz w:val="14"/>
                <w:szCs w:val="14"/>
                <w:color w:val="auto"/>
              </w:rPr>
            </w:pPr>
          </w:p>
        </w:tc>
        <w:tc>
          <w:tcPr>
            <w:tcW w:w="1240" w:type="dxa"/>
            <w:vAlign w:val="bottom"/>
          </w:tcPr>
          <w:p>
            <w:pPr>
              <w:jc w:val="center"/>
              <w:ind w:left="50"/>
              <w:spacing w:after="0"/>
              <w:rPr>
                <w:sz w:val="20"/>
                <w:szCs w:val="20"/>
                <w:color w:val="auto"/>
              </w:rPr>
            </w:pPr>
            <w:r>
              <w:rPr>
                <w:rFonts w:ascii="Arial" w:cs="Arial" w:eastAsia="Arial" w:hAnsi="Arial"/>
                <w:sz w:val="14"/>
                <w:szCs w:val="14"/>
                <w:color w:val="auto"/>
              </w:rPr>
              <w:t>47,464</w:t>
            </w:r>
          </w:p>
        </w:tc>
        <w:tc>
          <w:tcPr>
            <w:tcW w:w="220" w:type="dxa"/>
            <w:vAlign w:val="bottom"/>
          </w:tcPr>
          <w:p>
            <w:pPr>
              <w:spacing w:after="0"/>
              <w:rPr>
                <w:sz w:val="14"/>
                <w:szCs w:val="14"/>
                <w:color w:val="auto"/>
              </w:rPr>
            </w:pPr>
          </w:p>
        </w:tc>
        <w:tc>
          <w:tcPr>
            <w:tcW w:w="1140" w:type="dxa"/>
            <w:vAlign w:val="bottom"/>
          </w:tcPr>
          <w:p>
            <w:pPr>
              <w:jc w:val="center"/>
              <w:ind w:left="10"/>
              <w:spacing w:after="0"/>
              <w:rPr>
                <w:sz w:val="20"/>
                <w:szCs w:val="20"/>
                <w:color w:val="auto"/>
              </w:rPr>
            </w:pPr>
            <w:r>
              <w:rPr>
                <w:rFonts w:ascii="Arial" w:cs="Arial" w:eastAsia="Arial" w:hAnsi="Arial"/>
                <w:sz w:val="14"/>
                <w:szCs w:val="14"/>
                <w:color w:val="auto"/>
                <w:w w:val="95"/>
              </w:rPr>
              <w:t>5.53%</w:t>
            </w:r>
          </w:p>
        </w:tc>
        <w:tc>
          <w:tcPr>
            <w:tcW w:w="0" w:type="dxa"/>
            <w:vAlign w:val="bottom"/>
          </w:tcPr>
          <w:p>
            <w:pPr>
              <w:spacing w:after="0"/>
              <w:rPr>
                <w:sz w:val="1"/>
                <w:szCs w:val="1"/>
                <w:color w:val="auto"/>
              </w:rPr>
            </w:pPr>
          </w:p>
        </w:tc>
      </w:tr>
      <w:tr>
        <w:trPr>
          <w:trHeight w:val="167"/>
        </w:trPr>
        <w:tc>
          <w:tcPr>
            <w:tcW w:w="2380" w:type="dxa"/>
            <w:vAlign w:val="bottom"/>
            <w:tcBorders>
              <w:bottom w:val="single" w:sz="8" w:color="7CBD3F"/>
            </w:tcBorders>
            <w:gridSpan w:val="2"/>
            <w:shd w:val="clear" w:color="auto" w:fill="F0F7E7"/>
          </w:tcPr>
          <w:p>
            <w:pPr>
              <w:ind w:left="40"/>
              <w:spacing w:after="0"/>
              <w:rPr>
                <w:sz w:val="20"/>
                <w:szCs w:val="20"/>
                <w:color w:val="auto"/>
              </w:rPr>
            </w:pPr>
            <w:r>
              <w:rPr>
                <w:rFonts w:ascii="Arial" w:cs="Arial" w:eastAsia="Arial" w:hAnsi="Arial"/>
                <w:sz w:val="14"/>
                <w:szCs w:val="14"/>
                <w:b w:val="1"/>
                <w:bCs w:val="1"/>
                <w:color w:val="auto"/>
              </w:rPr>
              <w:t>Three-Year Average</w:t>
            </w:r>
          </w:p>
        </w:tc>
        <w:tc>
          <w:tcPr>
            <w:tcW w:w="1200" w:type="dxa"/>
            <w:vAlign w:val="bottom"/>
            <w:tcBorders>
              <w:bottom w:val="single" w:sz="8" w:color="7CBD3F"/>
            </w:tcBorders>
            <w:shd w:val="clear" w:color="auto" w:fill="F0F7E7"/>
          </w:tcPr>
          <w:p>
            <w:pPr>
              <w:spacing w:after="0"/>
              <w:rPr>
                <w:sz w:val="14"/>
                <w:szCs w:val="14"/>
                <w:color w:val="auto"/>
              </w:rPr>
            </w:pPr>
          </w:p>
        </w:tc>
        <w:tc>
          <w:tcPr>
            <w:tcW w:w="1080" w:type="dxa"/>
            <w:vAlign w:val="bottom"/>
            <w:tcBorders>
              <w:bottom w:val="single" w:sz="8" w:color="7CBD3F"/>
            </w:tcBorders>
            <w:shd w:val="clear" w:color="auto" w:fill="F0F7E7"/>
          </w:tcPr>
          <w:p>
            <w:pPr>
              <w:spacing w:after="0"/>
              <w:rPr>
                <w:sz w:val="14"/>
                <w:szCs w:val="14"/>
                <w:color w:val="auto"/>
              </w:rPr>
            </w:pPr>
          </w:p>
        </w:tc>
        <w:tc>
          <w:tcPr>
            <w:tcW w:w="220" w:type="dxa"/>
            <w:vAlign w:val="bottom"/>
            <w:tcBorders>
              <w:bottom w:val="single" w:sz="8" w:color="7CBD3F"/>
            </w:tcBorders>
            <w:shd w:val="clear" w:color="auto" w:fill="F0F7E7"/>
          </w:tcPr>
          <w:p>
            <w:pPr>
              <w:spacing w:after="0"/>
              <w:rPr>
                <w:sz w:val="14"/>
                <w:szCs w:val="14"/>
                <w:color w:val="auto"/>
              </w:rPr>
            </w:pPr>
          </w:p>
        </w:tc>
        <w:tc>
          <w:tcPr>
            <w:tcW w:w="1340" w:type="dxa"/>
            <w:vAlign w:val="bottom"/>
            <w:tcBorders>
              <w:bottom w:val="single" w:sz="8" w:color="7CBD3F"/>
            </w:tcBorders>
            <w:shd w:val="clear" w:color="auto" w:fill="F0F7E7"/>
          </w:tcPr>
          <w:p>
            <w:pPr>
              <w:spacing w:after="0"/>
              <w:rPr>
                <w:sz w:val="14"/>
                <w:szCs w:val="14"/>
                <w:color w:val="auto"/>
              </w:rPr>
            </w:pPr>
          </w:p>
        </w:tc>
        <w:tc>
          <w:tcPr>
            <w:tcW w:w="980" w:type="dxa"/>
            <w:vAlign w:val="bottom"/>
            <w:tcBorders>
              <w:bottom w:val="single" w:sz="8" w:color="7CBD3F"/>
            </w:tcBorders>
            <w:shd w:val="clear" w:color="auto" w:fill="F0F7E7"/>
          </w:tcPr>
          <w:p>
            <w:pPr>
              <w:spacing w:after="0"/>
              <w:rPr>
                <w:sz w:val="14"/>
                <w:szCs w:val="14"/>
                <w:color w:val="auto"/>
              </w:rPr>
            </w:pPr>
          </w:p>
        </w:tc>
        <w:tc>
          <w:tcPr>
            <w:tcW w:w="1240" w:type="dxa"/>
            <w:vAlign w:val="bottom"/>
            <w:tcBorders>
              <w:bottom w:val="single" w:sz="8" w:color="7CBD3F"/>
            </w:tcBorders>
            <w:shd w:val="clear" w:color="auto" w:fill="F0F7E7"/>
          </w:tcPr>
          <w:p>
            <w:pPr>
              <w:spacing w:after="0"/>
              <w:rPr>
                <w:sz w:val="14"/>
                <w:szCs w:val="14"/>
                <w:color w:val="auto"/>
              </w:rPr>
            </w:pPr>
          </w:p>
        </w:tc>
        <w:tc>
          <w:tcPr>
            <w:tcW w:w="220" w:type="dxa"/>
            <w:vAlign w:val="bottom"/>
            <w:tcBorders>
              <w:bottom w:val="single" w:sz="8" w:color="7CBD3F"/>
            </w:tcBorders>
            <w:shd w:val="clear" w:color="auto" w:fill="F0F7E7"/>
          </w:tcPr>
          <w:p>
            <w:pPr>
              <w:spacing w:after="0"/>
              <w:rPr>
                <w:sz w:val="14"/>
                <w:szCs w:val="14"/>
                <w:color w:val="auto"/>
              </w:rPr>
            </w:pPr>
          </w:p>
        </w:tc>
        <w:tc>
          <w:tcPr>
            <w:tcW w:w="1240" w:type="dxa"/>
            <w:vAlign w:val="bottom"/>
            <w:tcBorders>
              <w:bottom w:val="single" w:sz="8" w:color="7CBD3F"/>
            </w:tcBorders>
            <w:shd w:val="clear" w:color="auto" w:fill="F0F7E7"/>
          </w:tcPr>
          <w:p>
            <w:pPr>
              <w:spacing w:after="0"/>
              <w:rPr>
                <w:sz w:val="14"/>
                <w:szCs w:val="14"/>
                <w:color w:val="auto"/>
              </w:rPr>
            </w:pPr>
          </w:p>
        </w:tc>
        <w:tc>
          <w:tcPr>
            <w:tcW w:w="220" w:type="dxa"/>
            <w:vAlign w:val="bottom"/>
            <w:tcBorders>
              <w:bottom w:val="single" w:sz="8" w:color="7CBD3F"/>
            </w:tcBorders>
            <w:shd w:val="clear" w:color="auto" w:fill="F0F7E7"/>
          </w:tcPr>
          <w:p>
            <w:pPr>
              <w:spacing w:after="0"/>
              <w:rPr>
                <w:sz w:val="14"/>
                <w:szCs w:val="14"/>
                <w:color w:val="auto"/>
              </w:rPr>
            </w:pPr>
          </w:p>
        </w:tc>
        <w:tc>
          <w:tcPr>
            <w:tcW w:w="1140" w:type="dxa"/>
            <w:vAlign w:val="bottom"/>
            <w:tcBorders>
              <w:bottom w:val="single" w:sz="8" w:color="7CBD3F"/>
            </w:tcBorders>
            <w:shd w:val="clear" w:color="auto" w:fill="F0F7E7"/>
          </w:tcPr>
          <w:p>
            <w:pPr>
              <w:jc w:val="center"/>
              <w:ind w:left="10"/>
              <w:spacing w:after="0"/>
              <w:rPr>
                <w:sz w:val="20"/>
                <w:szCs w:val="20"/>
                <w:color w:val="auto"/>
              </w:rPr>
            </w:pPr>
            <w:r>
              <w:rPr>
                <w:rFonts w:ascii="Arial" w:cs="Arial" w:eastAsia="Arial" w:hAnsi="Arial"/>
                <w:sz w:val="14"/>
                <w:szCs w:val="14"/>
                <w:b w:val="1"/>
                <w:bCs w:val="1"/>
                <w:color w:val="auto"/>
                <w:w w:val="95"/>
              </w:rPr>
              <w:t>5.75%</w:t>
            </w: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320" w:hanging="280"/>
        <w:spacing w:after="0" w:line="289" w:lineRule="auto"/>
        <w:tabs>
          <w:tab w:leader="none" w:pos="320" w:val="left"/>
        </w:tabs>
        <w:numPr>
          <w:ilvl w:val="0"/>
          <w:numId w:val="5"/>
        </w:numPr>
        <w:rPr>
          <w:rFonts w:ascii="Arial" w:cs="Arial" w:eastAsia="Arial" w:hAnsi="Arial"/>
          <w:sz w:val="12"/>
          <w:szCs w:val="12"/>
          <w:color w:val="auto"/>
        </w:rPr>
      </w:pPr>
      <w:r>
        <w:rPr>
          <w:rFonts w:ascii="Arial" w:cs="Arial" w:eastAsia="Arial" w:hAnsi="Arial"/>
          <w:sz w:val="12"/>
          <w:szCs w:val="12"/>
          <w:color w:val="auto"/>
        </w:rPr>
        <w:t>Annualized burn rate defined as: time-based stock options granted, performance-based stock options earned, RSUs granted and PSUs earned as a percentage of weighted average common shares outstanding.</w:t>
      </w:r>
    </w:p>
    <w:p>
      <w:pPr>
        <w:spacing w:after="0" w:line="106"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221E1F"/>
        </w:rPr>
        <w:t xml:space="preserve">ULTRAGENYX PHARMACEUTICAL INC. </w:t>
      </w:r>
      <w:r>
        <w:rPr>
          <w:rFonts w:ascii="Arial" w:cs="Arial" w:eastAsia="Arial" w:hAnsi="Arial"/>
          <w:sz w:val="14"/>
          <w:szCs w:val="14"/>
          <w:color w:val="7BBD3E"/>
        </w:rPr>
        <w:t>•</w:t>
      </w:r>
      <w:r>
        <w:rPr>
          <w:rFonts w:ascii="Arial" w:cs="Arial" w:eastAsia="Arial" w:hAnsi="Arial"/>
          <w:sz w:val="14"/>
          <w:szCs w:val="14"/>
          <w:b w:val="1"/>
          <w:bCs w:val="1"/>
          <w:color w:val="221E1F"/>
        </w:rPr>
        <w:t xml:space="preserve"> </w:t>
      </w:r>
      <w:r>
        <w:rPr>
          <w:rFonts w:ascii="Arial" w:cs="Arial" w:eastAsia="Arial" w:hAnsi="Arial"/>
          <w:sz w:val="14"/>
          <w:szCs w:val="14"/>
          <w:color w:val="221E1F"/>
        </w:rPr>
        <w:t>2025 Proxy Statement</w:t>
      </w:r>
      <w:r>
        <w:rPr>
          <w:rFonts w:ascii="Arial" w:cs="Arial" w:eastAsia="Arial" w:hAnsi="Arial"/>
          <w:sz w:val="14"/>
          <w:szCs w:val="14"/>
          <w:b w:val="1"/>
          <w:bCs w:val="1"/>
          <w:color w:val="221E1F"/>
        </w:rPr>
        <w:tab/>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142240</wp:posOffset>
            </wp:positionV>
            <wp:extent cx="7150735"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0735" cy="29845"/>
                    </a:xfrm>
                    <a:prstGeom prst="rect">
                      <a:avLst/>
                    </a:prstGeom>
                    <a:noFill/>
                  </pic:spPr>
                </pic:pic>
              </a:graphicData>
            </a:graphic>
          </wp:anchor>
        </w:drawing>
      </w:r>
    </w:p>
    <w:p>
      <w:pPr>
        <w:sectPr>
          <w:pgSz w:w="11900" w:h="16838" w:orient="portrait"/>
          <w:cols w:equalWidth="0" w:num="1">
            <w:col w:w="11260"/>
          </w:cols>
          <w:pgMar w:left="320" w:top="225" w:right="319" w:bottom="1440" w:gutter="0" w:footer="0" w:header="0"/>
        </w:sectPr>
      </w:pPr>
    </w:p>
    <w:bookmarkStart w:id="17" w:name="page18"/>
    <w:bookmarkEnd w:id="17"/>
    <w:p>
      <w:pPr>
        <w:ind w:left="7"/>
        <w:spacing w:after="0"/>
        <w:rPr>
          <w:sz w:val="20"/>
          <w:szCs w:val="20"/>
          <w:color w:val="auto"/>
        </w:rPr>
      </w:pPr>
      <w:r>
        <w:rPr>
          <w:rFonts w:ascii="Arial" w:cs="Arial" w:eastAsia="Arial" w:hAnsi="Arial"/>
          <w:sz w:val="12"/>
          <w:szCs w:val="12"/>
          <w:b w:val="1"/>
          <w:bCs w:val="1"/>
          <w:u w:val="single" w:color="auto"/>
          <w:color w:val="0000EE"/>
        </w:rPr>
        <w:t>Back to Contents</w:t>
      </w:r>
    </w:p>
    <w:p>
      <w:pPr>
        <w:spacing w:after="0" w:line="141" w:lineRule="exact"/>
        <w:rPr>
          <w:sz w:val="20"/>
          <w:szCs w:val="20"/>
          <w:color w:val="auto"/>
        </w:rPr>
      </w:pPr>
    </w:p>
    <w:p>
      <w:pPr>
        <w:ind w:left="7"/>
        <w:spacing w:after="0"/>
        <w:rPr>
          <w:sz w:val="20"/>
          <w:szCs w:val="20"/>
          <w:color w:val="auto"/>
        </w:rPr>
      </w:pPr>
      <w:r>
        <w:rPr>
          <w:rFonts w:ascii="Arial" w:cs="Arial" w:eastAsia="Arial" w:hAnsi="Arial"/>
          <w:sz w:val="22"/>
          <w:szCs w:val="22"/>
          <w:b w:val="1"/>
          <w:bCs w:val="1"/>
          <w:color w:val="auto"/>
        </w:rPr>
        <w:t>Summary of the Second A&amp;R 2023 Plan</w:t>
      </w:r>
    </w:p>
    <w:p>
      <w:pPr>
        <w:spacing w:after="0" w:line="222" w:lineRule="exact"/>
        <w:rPr>
          <w:sz w:val="20"/>
          <w:szCs w:val="20"/>
          <w:color w:val="auto"/>
        </w:rPr>
      </w:pPr>
    </w:p>
    <w:p>
      <w:pPr>
        <w:jc w:val="both"/>
        <w:ind w:left="7"/>
        <w:spacing w:after="0" w:line="260" w:lineRule="auto"/>
        <w:rPr>
          <w:sz w:val="20"/>
          <w:szCs w:val="20"/>
          <w:color w:val="auto"/>
        </w:rPr>
      </w:pPr>
      <w:r>
        <w:rPr>
          <w:rFonts w:ascii="Arial" w:cs="Arial" w:eastAsia="Arial" w:hAnsi="Arial"/>
          <w:sz w:val="14"/>
          <w:szCs w:val="14"/>
          <w:color w:val="auto"/>
        </w:rPr>
        <w:t>The following summary describes the material terms of the Second A&amp;R 2023 Plan. This summary of the Second A&amp;R 2023 Plan is not a complete description of all provisions of the Second A&amp;R 2023 Plan and is qualified in its entirety by reference to the Second A&amp;R 2023 Plan, which is attached hereto as Appendix A. Stockholders are encouraged to read the Second A&amp;R 2023 Plan in its entirety.</w:t>
      </w:r>
    </w:p>
    <w:p>
      <w:pPr>
        <w:spacing w:after="0" w:line="212" w:lineRule="exact"/>
        <w:rPr>
          <w:sz w:val="20"/>
          <w:szCs w:val="20"/>
          <w:color w:val="auto"/>
        </w:rPr>
      </w:pPr>
    </w:p>
    <w:p>
      <w:pPr>
        <w:ind w:left="7"/>
        <w:spacing w:after="0"/>
        <w:rPr>
          <w:sz w:val="20"/>
          <w:szCs w:val="20"/>
          <w:color w:val="auto"/>
        </w:rPr>
      </w:pPr>
      <w:r>
        <w:rPr>
          <w:rFonts w:ascii="Arial" w:cs="Arial" w:eastAsia="Arial" w:hAnsi="Arial"/>
          <w:sz w:val="19"/>
          <w:szCs w:val="19"/>
          <w:b w:val="1"/>
          <w:bCs w:val="1"/>
          <w:color w:val="7CBD3F"/>
        </w:rPr>
        <w:t>Purpose</w:t>
      </w:r>
    </w:p>
    <w:p>
      <w:pPr>
        <w:spacing w:after="0" w:line="212" w:lineRule="exact"/>
        <w:rPr>
          <w:sz w:val="20"/>
          <w:szCs w:val="20"/>
          <w:color w:val="auto"/>
        </w:rPr>
      </w:pPr>
    </w:p>
    <w:p>
      <w:pPr>
        <w:ind w:left="7"/>
        <w:spacing w:after="0"/>
        <w:rPr>
          <w:sz w:val="20"/>
          <w:szCs w:val="20"/>
          <w:color w:val="auto"/>
        </w:rPr>
      </w:pPr>
      <w:r>
        <w:rPr>
          <w:rFonts w:ascii="Arial" w:cs="Arial" w:eastAsia="Arial" w:hAnsi="Arial"/>
          <w:sz w:val="14"/>
          <w:szCs w:val="14"/>
          <w:color w:val="auto"/>
        </w:rPr>
        <w:t>The purpose of the Second A&amp;R 2023 Plan is to advance the Company’s interests by providing for the grant to participants of equity and other incentive awards.</w:t>
      </w:r>
    </w:p>
    <w:p>
      <w:pPr>
        <w:spacing w:after="0" w:line="247" w:lineRule="exact"/>
        <w:rPr>
          <w:sz w:val="20"/>
          <w:szCs w:val="20"/>
          <w:color w:val="auto"/>
        </w:rPr>
      </w:pPr>
    </w:p>
    <w:p>
      <w:pPr>
        <w:ind w:left="7"/>
        <w:spacing w:after="0"/>
        <w:rPr>
          <w:sz w:val="20"/>
          <w:szCs w:val="20"/>
          <w:color w:val="auto"/>
        </w:rPr>
      </w:pPr>
      <w:r>
        <w:rPr>
          <w:rFonts w:ascii="Arial" w:cs="Arial" w:eastAsia="Arial" w:hAnsi="Arial"/>
          <w:sz w:val="19"/>
          <w:szCs w:val="19"/>
          <w:b w:val="1"/>
          <w:bCs w:val="1"/>
          <w:color w:val="7CBD3F"/>
        </w:rPr>
        <w:t>Plan Administration</w:t>
      </w:r>
    </w:p>
    <w:p>
      <w:pPr>
        <w:spacing w:after="0" w:line="212" w:lineRule="exact"/>
        <w:rPr>
          <w:sz w:val="20"/>
          <w:szCs w:val="20"/>
          <w:color w:val="auto"/>
        </w:rPr>
      </w:pPr>
    </w:p>
    <w:p>
      <w:pPr>
        <w:jc w:val="both"/>
        <w:ind w:left="7"/>
        <w:spacing w:after="0" w:line="278" w:lineRule="auto"/>
        <w:rPr>
          <w:sz w:val="20"/>
          <w:szCs w:val="20"/>
          <w:color w:val="auto"/>
        </w:rPr>
      </w:pPr>
      <w:r>
        <w:rPr>
          <w:rFonts w:ascii="Arial" w:cs="Arial" w:eastAsia="Arial" w:hAnsi="Arial"/>
          <w:sz w:val="14"/>
          <w:szCs w:val="14"/>
          <w:color w:val="221E1F"/>
        </w:rPr>
        <w:t>The Compensation Committee serves as the primary administrator of the Second A&amp;R 2023 Plan, except that the Compensation Committee may, subject to applicable law, delegate authority to one or more members of the Board or one or more of our officers or employees (the Compensation Committee or such delegee, the Plan Administrator).</w:t>
      </w:r>
    </w:p>
    <w:p>
      <w:pPr>
        <w:spacing w:after="0" w:line="128" w:lineRule="exact"/>
        <w:rPr>
          <w:sz w:val="20"/>
          <w:szCs w:val="20"/>
          <w:color w:val="auto"/>
        </w:rPr>
      </w:pPr>
    </w:p>
    <w:p>
      <w:pPr>
        <w:jc w:val="both"/>
        <w:ind w:left="7"/>
        <w:spacing w:after="0" w:line="250" w:lineRule="auto"/>
        <w:rPr>
          <w:sz w:val="20"/>
          <w:szCs w:val="20"/>
          <w:color w:val="auto"/>
        </w:rPr>
      </w:pPr>
      <w:r>
        <w:rPr>
          <w:rFonts w:ascii="Arial" w:cs="Arial" w:eastAsia="Arial" w:hAnsi="Arial"/>
          <w:sz w:val="14"/>
          <w:szCs w:val="14"/>
          <w:color w:val="221E1F"/>
        </w:rPr>
        <w:t>The Plan Administrator has the authority to, among other things, (i) interpret and construe the Second A&amp;R 2023 Plan, any rules and regulations under the Second A&amp;R 2023 Plan and the terms and conditions of any award granted under the Second A&amp;R 2023 Plan, (ii) determine eligibility for and grant awards under the Second A&amp;R 2023 Plan, (iii) determine, modify or waive the terms and conditions of awards under the Second A&amp;R 2023 Plan, (iv) prescribe forms, rules and procedures relating to the Second A&amp;R 2023 Plan, (v) establish and verify the extent of satisfaction of any performance goals or other conditions applicable to the grant, issuance, retention, vesting, exercisability or settlement of any award under the Second A&amp;R 2023 Plan, and (vi) otherwise do all things necessary or appropriate to carry out the purposes of the Second A&amp;R 2023 Plan. The Plan Administrator’s determinations under the Second A&amp;R 2023 Plan are conclusive and binding.</w:t>
      </w:r>
    </w:p>
    <w:p>
      <w:pPr>
        <w:spacing w:after="0" w:line="218" w:lineRule="exact"/>
        <w:rPr>
          <w:sz w:val="20"/>
          <w:szCs w:val="20"/>
          <w:color w:val="auto"/>
        </w:rPr>
      </w:pPr>
    </w:p>
    <w:p>
      <w:pPr>
        <w:ind w:left="7"/>
        <w:spacing w:after="0"/>
        <w:rPr>
          <w:sz w:val="20"/>
          <w:szCs w:val="20"/>
          <w:color w:val="auto"/>
        </w:rPr>
      </w:pPr>
      <w:r>
        <w:rPr>
          <w:rFonts w:ascii="Arial" w:cs="Arial" w:eastAsia="Arial" w:hAnsi="Arial"/>
          <w:sz w:val="19"/>
          <w:szCs w:val="19"/>
          <w:b w:val="1"/>
          <w:bCs w:val="1"/>
          <w:color w:val="7CBD3F"/>
        </w:rPr>
        <w:t>Authorized Shares</w:t>
      </w:r>
    </w:p>
    <w:p>
      <w:pPr>
        <w:spacing w:after="0" w:line="212" w:lineRule="exact"/>
        <w:rPr>
          <w:sz w:val="20"/>
          <w:szCs w:val="20"/>
          <w:color w:val="auto"/>
        </w:rPr>
      </w:pPr>
    </w:p>
    <w:p>
      <w:pPr>
        <w:ind w:left="7"/>
        <w:spacing w:after="0"/>
        <w:rPr>
          <w:sz w:val="20"/>
          <w:szCs w:val="20"/>
          <w:color w:val="auto"/>
        </w:rPr>
      </w:pPr>
      <w:r>
        <w:rPr>
          <w:rFonts w:ascii="Arial" w:cs="Arial" w:eastAsia="Arial" w:hAnsi="Arial"/>
          <w:sz w:val="14"/>
          <w:szCs w:val="14"/>
          <w:color w:val="auto"/>
        </w:rPr>
        <w:t>Subject to adjustment as described below, the maximum number of shares of our common stock that may be delivered in satisfaction of awards under the Second A&amp;R 2023 Plan is</w:t>
      </w:r>
    </w:p>
    <w:p>
      <w:pPr>
        <w:spacing w:after="0" w:line="16" w:lineRule="exact"/>
        <w:rPr>
          <w:sz w:val="20"/>
          <w:szCs w:val="20"/>
          <w:color w:val="auto"/>
        </w:rPr>
      </w:pPr>
    </w:p>
    <w:p>
      <w:pPr>
        <w:ind w:left="7" w:right="20" w:hanging="7"/>
        <w:spacing w:after="0" w:line="257" w:lineRule="auto"/>
        <w:tabs>
          <w:tab w:leader="none" w:pos="185" w:val="left"/>
        </w:tabs>
        <w:numPr>
          <w:ilvl w:val="0"/>
          <w:numId w:val="6"/>
        </w:numPr>
        <w:rPr>
          <w:rFonts w:ascii="Arial" w:cs="Arial" w:eastAsia="Arial" w:hAnsi="Arial"/>
          <w:sz w:val="14"/>
          <w:szCs w:val="14"/>
          <w:color w:val="auto"/>
        </w:rPr>
      </w:pPr>
      <w:r>
        <w:rPr>
          <w:rFonts w:ascii="Arial" w:cs="Arial" w:eastAsia="Arial" w:hAnsi="Arial"/>
          <w:sz w:val="14"/>
          <w:szCs w:val="14"/>
          <w:color w:val="auto"/>
        </w:rPr>
        <w:t>11.5 million, plus (ii) the number of shares of common stock subject to any award under a Prior Plan as of June 7, 2023 that become available as a result of the termination, cancellation or forfeiture of such awards under such Prior Plan after June 7, 2023.</w:t>
      </w:r>
    </w:p>
    <w:p>
      <w:pPr>
        <w:spacing w:after="0" w:line="131" w:lineRule="exact"/>
        <w:rPr>
          <w:sz w:val="20"/>
          <w:szCs w:val="20"/>
          <w:color w:val="auto"/>
        </w:rPr>
      </w:pPr>
    </w:p>
    <w:p>
      <w:pPr>
        <w:jc w:val="both"/>
        <w:ind w:left="7" w:right="20"/>
        <w:spacing w:after="0" w:line="260" w:lineRule="auto"/>
        <w:rPr>
          <w:sz w:val="20"/>
          <w:szCs w:val="20"/>
          <w:color w:val="auto"/>
        </w:rPr>
      </w:pPr>
      <w:r>
        <w:rPr>
          <w:rFonts w:ascii="Arial" w:cs="Arial" w:eastAsia="Arial" w:hAnsi="Arial"/>
          <w:sz w:val="14"/>
          <w:szCs w:val="14"/>
          <w:color w:val="auto"/>
        </w:rPr>
        <w:t>Shares of our common stock to be issued under the Second A&amp;R 2023 Plan may be authorized but unissued shares of our common stock or previously issued shares acquired by us. If any shares of our common stock underlying awards that are settled in cash, canceled, forfeited or otherwise expire or lapse without being exercised (to the extent applicable), the shares of common stock allocable to the terminated portion of such award will again be available for issuance under the Second A&amp;R 2023 Plan.</w:t>
      </w:r>
    </w:p>
    <w:p>
      <w:pPr>
        <w:spacing w:after="0" w:line="130" w:lineRule="exact"/>
        <w:rPr>
          <w:sz w:val="20"/>
          <w:szCs w:val="20"/>
          <w:color w:val="auto"/>
        </w:rPr>
      </w:pPr>
    </w:p>
    <w:p>
      <w:pPr>
        <w:jc w:val="both"/>
        <w:ind w:left="7"/>
        <w:spacing w:after="0" w:line="252" w:lineRule="auto"/>
        <w:rPr>
          <w:sz w:val="20"/>
          <w:szCs w:val="20"/>
          <w:color w:val="auto"/>
        </w:rPr>
      </w:pPr>
      <w:r>
        <w:rPr>
          <w:rFonts w:ascii="Arial" w:cs="Arial" w:eastAsia="Arial" w:hAnsi="Arial"/>
          <w:sz w:val="14"/>
          <w:szCs w:val="14"/>
          <w:color w:val="221E1F"/>
        </w:rPr>
        <w:t>However, notwithstanding the foregoing, the following shares of common stock will not be available for issuance under the Plan: (a) shares withheld from an award under the Second A&amp;R 2023 Plan or a Prior Plan to satisfy the tax withholding obligations with respect to such award, (b) shares withheld from an award under the Second A&amp;R 2023 Plan or a Prior Plan in payment of the exercise price of an award requiring exercise, (c) shares repurchased on the open market by us using proceeds from the exercise price paid with respect to awards under the Second A&amp;R 2023 Plan or a Prior Plan, or (d) gross shares subject to an SAR granted under the Second A&amp;R 2023 Plan or a Prior Plan that are not issued in connection with the stock-settlement of such SAR.</w:t>
      </w:r>
    </w:p>
    <w:p>
      <w:pPr>
        <w:spacing w:after="0" w:line="216" w:lineRule="exact"/>
        <w:rPr>
          <w:sz w:val="20"/>
          <w:szCs w:val="20"/>
          <w:color w:val="auto"/>
        </w:rPr>
      </w:pPr>
    </w:p>
    <w:p>
      <w:pPr>
        <w:ind w:left="7"/>
        <w:spacing w:after="0"/>
        <w:rPr>
          <w:sz w:val="20"/>
          <w:szCs w:val="20"/>
          <w:color w:val="auto"/>
        </w:rPr>
      </w:pPr>
      <w:r>
        <w:rPr>
          <w:rFonts w:ascii="Arial" w:cs="Arial" w:eastAsia="Arial" w:hAnsi="Arial"/>
          <w:sz w:val="19"/>
          <w:szCs w:val="19"/>
          <w:b w:val="1"/>
          <w:bCs w:val="1"/>
          <w:color w:val="7CBD3F"/>
        </w:rPr>
        <w:t>Limits on Non-Employee Director Compensation</w:t>
      </w:r>
    </w:p>
    <w:p>
      <w:pPr>
        <w:spacing w:after="0" w:line="212" w:lineRule="exact"/>
        <w:rPr>
          <w:sz w:val="20"/>
          <w:szCs w:val="20"/>
          <w:color w:val="auto"/>
        </w:rPr>
      </w:pPr>
    </w:p>
    <w:p>
      <w:pPr>
        <w:jc w:val="both"/>
        <w:ind w:left="7" w:right="20"/>
        <w:spacing w:after="0" w:line="260" w:lineRule="auto"/>
        <w:rPr>
          <w:sz w:val="20"/>
          <w:szCs w:val="20"/>
          <w:color w:val="auto"/>
        </w:rPr>
      </w:pPr>
      <w:r>
        <w:rPr>
          <w:rFonts w:ascii="Arial" w:cs="Arial" w:eastAsia="Arial" w:hAnsi="Arial"/>
          <w:sz w:val="14"/>
          <w:szCs w:val="14"/>
          <w:color w:val="auto"/>
        </w:rPr>
        <w:t>The aggregate dollar value of equity-based (based on the grant date fair value of equity-based awards determined for financial reporting purposes) and cash compensation granted under the Second A&amp;R 2023 Plan or otherwise to any one non-employee director during any fiscal year will not exceed $900,000, with up to $1,500,000 to be permitted for a non-employee director in the fiscal year he or she first joins our Board or is first designated as Chairman of our Board or Lead Director.</w:t>
      </w:r>
    </w:p>
    <w:p>
      <w:pPr>
        <w:spacing w:after="0" w:line="130"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221E1F"/>
        </w:rPr>
        <w:t xml:space="preserve">ULTRAGENYX PHARMACEUTICAL INC. </w:t>
      </w:r>
      <w:r>
        <w:rPr>
          <w:rFonts w:ascii="Arial" w:cs="Arial" w:eastAsia="Arial" w:hAnsi="Arial"/>
          <w:sz w:val="14"/>
          <w:szCs w:val="14"/>
          <w:color w:val="7BBD3E"/>
        </w:rPr>
        <w:t>•</w:t>
      </w:r>
      <w:r>
        <w:rPr>
          <w:rFonts w:ascii="Arial" w:cs="Arial" w:eastAsia="Arial" w:hAnsi="Arial"/>
          <w:sz w:val="14"/>
          <w:szCs w:val="14"/>
          <w:b w:val="1"/>
          <w:bCs w:val="1"/>
          <w:color w:val="221E1F"/>
        </w:rPr>
        <w:t xml:space="preserve"> </w:t>
      </w:r>
      <w:r>
        <w:rPr>
          <w:rFonts w:ascii="Arial" w:cs="Arial" w:eastAsia="Arial" w:hAnsi="Arial"/>
          <w:sz w:val="14"/>
          <w:szCs w:val="14"/>
          <w:color w:val="221E1F"/>
        </w:rPr>
        <w:t>2025 Proxy Statement</w:t>
      </w:r>
      <w:r>
        <w:rPr>
          <w:rFonts w:ascii="Arial" w:cs="Arial" w:eastAsia="Arial" w:hAnsi="Arial"/>
          <w:sz w:val="14"/>
          <w:szCs w:val="14"/>
          <w:b w:val="1"/>
          <w:bCs w:val="1"/>
          <w:color w:val="221E1F"/>
        </w:rPr>
        <w:tab/>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150735"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0735" cy="29845"/>
                    </a:xfrm>
                    <a:prstGeom prst="rect">
                      <a:avLst/>
                    </a:prstGeom>
                    <a:noFill/>
                  </pic:spPr>
                </pic:pic>
              </a:graphicData>
            </a:graphic>
          </wp:anchor>
        </w:drawing>
      </w:r>
    </w:p>
    <w:p>
      <w:pPr>
        <w:sectPr>
          <w:pgSz w:w="11900" w:h="16838" w:orient="portrait"/>
          <w:cols w:equalWidth="0" w:num="1">
            <w:col w:w="11267"/>
          </w:cols>
          <w:pgMar w:left="313" w:top="225" w:right="319" w:bottom="1440" w:gutter="0" w:footer="0" w:header="0"/>
        </w:sectPr>
      </w:pPr>
    </w:p>
    <w:bookmarkStart w:id="18" w:name="page19"/>
    <w:bookmarkEnd w:id="18"/>
    <w:p>
      <w:pPr>
        <w:spacing w:after="0"/>
        <w:rPr>
          <w:sz w:val="20"/>
          <w:szCs w:val="20"/>
          <w:color w:val="auto"/>
        </w:rPr>
      </w:pPr>
      <w:r>
        <w:rPr>
          <w:rFonts w:ascii="Arial" w:cs="Arial" w:eastAsia="Arial" w:hAnsi="Arial"/>
          <w:sz w:val="12"/>
          <w:szCs w:val="12"/>
          <w:b w:val="1"/>
          <w:bCs w:val="1"/>
          <w:u w:val="single" w:color="auto"/>
          <w:color w:val="0000EE"/>
        </w:rPr>
        <w:t>Back to Contents</w:t>
      </w:r>
    </w:p>
    <w:p>
      <w:pPr>
        <w:spacing w:after="0" w:line="138" w:lineRule="exact"/>
        <w:rPr>
          <w:sz w:val="20"/>
          <w:szCs w:val="20"/>
          <w:color w:val="auto"/>
        </w:rPr>
      </w:pPr>
    </w:p>
    <w:p>
      <w:pPr>
        <w:spacing w:after="0"/>
        <w:rPr>
          <w:sz w:val="20"/>
          <w:szCs w:val="20"/>
          <w:color w:val="auto"/>
        </w:rPr>
      </w:pPr>
      <w:r>
        <w:rPr>
          <w:rFonts w:ascii="Arial" w:cs="Arial" w:eastAsia="Arial" w:hAnsi="Arial"/>
          <w:sz w:val="19"/>
          <w:szCs w:val="19"/>
          <w:b w:val="1"/>
          <w:bCs w:val="1"/>
          <w:color w:val="7CBD3F"/>
        </w:rPr>
        <w:t>Eligibility</w:t>
      </w:r>
    </w:p>
    <w:p>
      <w:pPr>
        <w:spacing w:after="0" w:line="212"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The Plan Administrator will select participants from among our, and our affiliates’, executives, employees in good performance standing, directors, consultants and advisors who are in a position to contribute significantly to our success and the success of our affiliates. Eligibility for options intended to be incentive stock options, or ISOs, is limited to our employees or the employees of certain of our affiliates. As of March 7, 2025, there were approximately 1,279 employees (including eight executive officers) and seven non-employee directors who would be eligible to participate in the Second A&amp;R 2023 Plan. As of March 7, 2025, no consultants or advisors would be eligible to participate in the Second A&amp;R 2023 Plan.</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b w:val="1"/>
          <w:bCs w:val="1"/>
          <w:color w:val="7CBD3F"/>
        </w:rPr>
        <w:t>Awards Under the Second A&amp;R 2023 Plan</w:t>
      </w:r>
    </w:p>
    <w:p>
      <w:pPr>
        <w:spacing w:after="0" w:line="212" w:lineRule="exact"/>
        <w:rPr>
          <w:sz w:val="20"/>
          <w:szCs w:val="20"/>
          <w:color w:val="auto"/>
        </w:rPr>
      </w:pPr>
    </w:p>
    <w:p>
      <w:pPr>
        <w:jc w:val="both"/>
        <w:ind w:right="20"/>
        <w:spacing w:after="0" w:line="255" w:lineRule="auto"/>
        <w:rPr>
          <w:sz w:val="20"/>
          <w:szCs w:val="20"/>
          <w:color w:val="auto"/>
        </w:rPr>
      </w:pPr>
      <w:r>
        <w:rPr>
          <w:rFonts w:ascii="Arial" w:cs="Arial" w:eastAsia="Arial" w:hAnsi="Arial"/>
          <w:sz w:val="14"/>
          <w:szCs w:val="14"/>
          <w:color w:val="221E1F"/>
        </w:rPr>
        <w:t>The Second A&amp;R 2023 Plan provides for grants of stock options, SARs, restricted and unrestricted stock, stock units (including RSUs), performance awards, cash awards and other awards convertible into or otherwise based on shares of our common stock. Dividend equivalents may also be provided in connection with an award under the Second A&amp;R 2023 Plan (other than stock options and SARs), provided that such dividend equivalents will be subject to the same limits or restrictions as the awards to which they relate, and will not be payable until such awards vest.</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Stock Options</w:t>
      </w:r>
    </w:p>
    <w:p>
      <w:pPr>
        <w:spacing w:after="0" w:line="268"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A stock option is an award that entitles the participant to receive, upon exercise, shares of our common stock upon payment of the exercise price. The exercise price of an option may not be less than the fair market value (or, in the case of an ISO granted to a ten percent shareholder, 110% of the fair market value) of a share of our common stock on the date of grant. The Plan Administrator will determine the time or times at which stock options become exercisable and the terms on which they remain exercisable. The maximum term of a stock option is 10 years (or, in the case of an ISO granted to a ten percent shareholder, five years). Reload stock options are prohibited under the Second A&amp;R 2023 Plan.</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SARs</w:t>
      </w:r>
    </w:p>
    <w:p>
      <w:pPr>
        <w:spacing w:after="0" w:line="268" w:lineRule="exact"/>
        <w:rPr>
          <w:sz w:val="20"/>
          <w:szCs w:val="20"/>
          <w:color w:val="auto"/>
        </w:rPr>
      </w:pPr>
    </w:p>
    <w:p>
      <w:pPr>
        <w:jc w:val="both"/>
        <w:ind w:right="20"/>
        <w:spacing w:after="0" w:line="260" w:lineRule="auto"/>
        <w:rPr>
          <w:sz w:val="20"/>
          <w:szCs w:val="20"/>
          <w:color w:val="auto"/>
        </w:rPr>
      </w:pPr>
      <w:r>
        <w:rPr>
          <w:rFonts w:ascii="Arial" w:cs="Arial" w:eastAsia="Arial" w:hAnsi="Arial"/>
          <w:sz w:val="14"/>
          <w:szCs w:val="14"/>
          <w:color w:val="auto"/>
        </w:rPr>
        <w:t>SARs entitle the participant to receive, upon exercise, shares of our common stock or cash equal to the excess of the value of the shares subject to the SAR over the exercise price. The exercise price of an SAR may not be less than the fair market value of a share of our common stock on the date of grant. The Plan Administrator will determine the time or times at which SARs become exercisable and the terms on which they remain exercisable. The maximum term of an SAR is 10 years.</w:t>
      </w:r>
    </w:p>
    <w:p>
      <w:pPr>
        <w:spacing w:after="0" w:line="2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Restricted and Unrestricted Stock</w:t>
      </w:r>
    </w:p>
    <w:p>
      <w:pPr>
        <w:spacing w:after="0" w:line="268"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221E1F"/>
        </w:rPr>
        <w:t>A restricted stock award is an award of our common stock subject to restrictions requiring that it be redelivered or offered for sale to the Company if specified conditions are not satisfied, while an unrestricted stock award is an award of our common stock that is not subject to any restrictions. The Plan Administrator will determine the terms of awards of restricted and unrestricted stock.</w:t>
      </w:r>
    </w:p>
    <w:p>
      <w:pPr>
        <w:spacing w:after="0" w:line="2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Stock Units</w:t>
      </w:r>
    </w:p>
    <w:p>
      <w:pPr>
        <w:spacing w:after="0" w:line="268" w:lineRule="exact"/>
        <w:rPr>
          <w:sz w:val="20"/>
          <w:szCs w:val="20"/>
          <w:color w:val="auto"/>
        </w:rPr>
      </w:pPr>
    </w:p>
    <w:p>
      <w:pPr>
        <w:jc w:val="both"/>
        <w:ind w:right="20"/>
        <w:spacing w:after="0" w:line="260" w:lineRule="auto"/>
        <w:rPr>
          <w:sz w:val="20"/>
          <w:szCs w:val="20"/>
          <w:color w:val="auto"/>
        </w:rPr>
      </w:pPr>
      <w:r>
        <w:rPr>
          <w:rFonts w:ascii="Arial" w:cs="Arial" w:eastAsia="Arial" w:hAnsi="Arial"/>
          <w:sz w:val="14"/>
          <w:szCs w:val="14"/>
          <w:color w:val="auto"/>
        </w:rPr>
        <w:t>A stock unit award is denominated in shares of our common stock and entitles the participant to receive stock or cash measured by the value of the shares in the future. An RSU is a stock unit award that is subject to the satisfaction of performance conditions or other vesting conditions. The Plan Administrator will determine the terms of awards of stock units, including RSUs.</w:t>
      </w:r>
    </w:p>
    <w:p>
      <w:pPr>
        <w:spacing w:after="0" w:line="2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Performance Awards</w:t>
      </w:r>
    </w:p>
    <w:p>
      <w:pPr>
        <w:spacing w:after="0" w:line="268" w:lineRule="exact"/>
        <w:rPr>
          <w:sz w:val="20"/>
          <w:szCs w:val="20"/>
          <w:color w:val="auto"/>
        </w:rPr>
      </w:pPr>
    </w:p>
    <w:p>
      <w:pPr>
        <w:spacing w:after="0"/>
        <w:rPr>
          <w:sz w:val="20"/>
          <w:szCs w:val="20"/>
          <w:color w:val="auto"/>
        </w:rPr>
      </w:pPr>
      <w:r>
        <w:rPr>
          <w:rFonts w:ascii="Arial" w:cs="Arial" w:eastAsia="Arial" w:hAnsi="Arial"/>
          <w:sz w:val="14"/>
          <w:szCs w:val="14"/>
          <w:color w:val="auto"/>
        </w:rPr>
        <w:t>A performance award is an award under the Second A&amp;R 2023 Plan where the vesting, settlement or exercisability is subject to specified performance criteria.</w:t>
      </w:r>
    </w:p>
    <w:p>
      <w:pPr>
        <w:spacing w:after="0" w:line="165"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221E1F"/>
        </w:rPr>
        <w:t xml:space="preserve">ULTRAGENYX PHARMACEUTICAL INC. </w:t>
      </w:r>
      <w:r>
        <w:rPr>
          <w:rFonts w:ascii="Arial" w:cs="Arial" w:eastAsia="Arial" w:hAnsi="Arial"/>
          <w:sz w:val="14"/>
          <w:szCs w:val="14"/>
          <w:color w:val="7BBD3E"/>
        </w:rPr>
        <w:t>•</w:t>
      </w:r>
      <w:r>
        <w:rPr>
          <w:rFonts w:ascii="Arial" w:cs="Arial" w:eastAsia="Arial" w:hAnsi="Arial"/>
          <w:sz w:val="14"/>
          <w:szCs w:val="14"/>
          <w:b w:val="1"/>
          <w:bCs w:val="1"/>
          <w:color w:val="221E1F"/>
        </w:rPr>
        <w:t xml:space="preserve"> </w:t>
      </w:r>
      <w:r>
        <w:rPr>
          <w:rFonts w:ascii="Arial" w:cs="Arial" w:eastAsia="Arial" w:hAnsi="Arial"/>
          <w:sz w:val="14"/>
          <w:szCs w:val="14"/>
          <w:color w:val="221E1F"/>
        </w:rPr>
        <w:t>2025 Proxy Statement</w:t>
      </w:r>
      <w:r>
        <w:rPr>
          <w:rFonts w:ascii="Arial" w:cs="Arial" w:eastAsia="Arial" w:hAnsi="Arial"/>
          <w:sz w:val="14"/>
          <w:szCs w:val="14"/>
          <w:b w:val="1"/>
          <w:bCs w:val="1"/>
          <w:color w:val="221E1F"/>
        </w:rPr>
        <w:tab/>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142240</wp:posOffset>
            </wp:positionV>
            <wp:extent cx="7150735"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0735" cy="29845"/>
                    </a:xfrm>
                    <a:prstGeom prst="rect">
                      <a:avLst/>
                    </a:prstGeom>
                    <a:noFill/>
                  </pic:spPr>
                </pic:pic>
              </a:graphicData>
            </a:graphic>
          </wp:anchor>
        </w:drawing>
      </w:r>
    </w:p>
    <w:p>
      <w:pPr>
        <w:sectPr>
          <w:pgSz w:w="11900" w:h="16838" w:orient="portrait"/>
          <w:cols w:equalWidth="0" w:num="1">
            <w:col w:w="11260"/>
          </w:cols>
          <w:pgMar w:left="320" w:top="225" w:right="319" w:bottom="1440" w:gutter="0" w:footer="0" w:header="0"/>
        </w:sectPr>
      </w:pPr>
    </w:p>
    <w:bookmarkStart w:id="19" w:name="page20"/>
    <w:bookmarkEnd w:id="19"/>
    <w:p>
      <w:pPr>
        <w:spacing w:after="0"/>
        <w:rPr>
          <w:sz w:val="20"/>
          <w:szCs w:val="20"/>
          <w:color w:val="auto"/>
        </w:rPr>
      </w:pPr>
      <w:r>
        <w:rPr>
          <w:rFonts w:ascii="Arial" w:cs="Arial" w:eastAsia="Arial" w:hAnsi="Arial"/>
          <w:sz w:val="12"/>
          <w:szCs w:val="12"/>
          <w:b w:val="1"/>
          <w:bCs w:val="1"/>
          <w:u w:val="single" w:color="auto"/>
          <w:color w:val="0000EE"/>
        </w:rPr>
        <w:t>Back to Contents</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Cash Awards</w:t>
      </w:r>
    </w:p>
    <w:p>
      <w:pPr>
        <w:spacing w:after="0" w:line="268" w:lineRule="exact"/>
        <w:rPr>
          <w:sz w:val="20"/>
          <w:szCs w:val="20"/>
          <w:color w:val="auto"/>
        </w:rPr>
      </w:pPr>
    </w:p>
    <w:p>
      <w:pPr>
        <w:spacing w:after="0"/>
        <w:rPr>
          <w:sz w:val="20"/>
          <w:szCs w:val="20"/>
          <w:color w:val="auto"/>
        </w:rPr>
      </w:pPr>
      <w:r>
        <w:rPr>
          <w:rFonts w:ascii="Arial" w:cs="Arial" w:eastAsia="Arial" w:hAnsi="Arial"/>
          <w:sz w:val="14"/>
          <w:szCs w:val="14"/>
          <w:color w:val="auto"/>
        </w:rPr>
        <w:t>Cash awards are awards under the Second A&amp;R 2023 Plan that are denominated in cash.</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b w:val="1"/>
          <w:bCs w:val="1"/>
          <w:color w:val="7CBD3F"/>
        </w:rPr>
        <w:t>Termination of Employment</w:t>
      </w:r>
    </w:p>
    <w:p>
      <w:pPr>
        <w:spacing w:after="0" w:line="212" w:lineRule="exact"/>
        <w:rPr>
          <w:sz w:val="20"/>
          <w:szCs w:val="20"/>
          <w:color w:val="auto"/>
        </w:rPr>
      </w:pPr>
    </w:p>
    <w:p>
      <w:pPr>
        <w:jc w:val="both"/>
        <w:spacing w:after="0" w:line="250" w:lineRule="auto"/>
        <w:rPr>
          <w:sz w:val="20"/>
          <w:szCs w:val="20"/>
          <w:color w:val="auto"/>
        </w:rPr>
      </w:pPr>
      <w:r>
        <w:rPr>
          <w:rFonts w:ascii="Arial" w:cs="Arial" w:eastAsia="Arial" w:hAnsi="Arial"/>
          <w:sz w:val="14"/>
          <w:szCs w:val="14"/>
          <w:color w:val="221E1F"/>
        </w:rPr>
        <w:t>The Plan Administrator will determine the effect of termination of employment or service on an award under the Second A&amp;R 2023 Plan. Unless otherwise expressly provided by the Plan Administrator, upon a termination of a participant’s employment all unvested options then held by the participant and other awards requiring exercise will terminate and all other unvested awards will be forfeited and all vested stock options and SARs then held by the participant will remain outstanding for three months, or one year in the case of death, or, in each case, until the applicable expiration date, if earlier. All stock options and SARs held by a participant immediately prior to the participant’s termination of employment will immediately terminate upon termination of employment if the termination is for cause or occurs in circumstances that, in the determination of the Plan Administrator, would have constituted grounds for the participant’s employment to be terminated for cause.</w:t>
      </w:r>
    </w:p>
    <w:p>
      <w:pPr>
        <w:spacing w:after="0" w:line="218" w:lineRule="exact"/>
        <w:rPr>
          <w:sz w:val="20"/>
          <w:szCs w:val="20"/>
          <w:color w:val="auto"/>
        </w:rPr>
      </w:pPr>
    </w:p>
    <w:p>
      <w:pPr>
        <w:spacing w:after="0"/>
        <w:rPr>
          <w:sz w:val="20"/>
          <w:szCs w:val="20"/>
          <w:color w:val="auto"/>
        </w:rPr>
      </w:pPr>
      <w:r>
        <w:rPr>
          <w:rFonts w:ascii="Arial" w:cs="Arial" w:eastAsia="Arial" w:hAnsi="Arial"/>
          <w:sz w:val="19"/>
          <w:szCs w:val="19"/>
          <w:b w:val="1"/>
          <w:bCs w:val="1"/>
          <w:color w:val="7CBD3F"/>
        </w:rPr>
        <w:t>Transferability</w:t>
      </w:r>
    </w:p>
    <w:p>
      <w:pPr>
        <w:spacing w:after="0" w:line="212"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Awards under the Second A&amp;R 2023 Plan may not be transferred except by will or by the laws of descent and distribution. For awards other than ISOs, the Plan Administrator may permit the transfer not for value to any transferee eligible to be covered by the provisions of Form S-8.</w:t>
      </w:r>
    </w:p>
    <w:p>
      <w:pPr>
        <w:spacing w:after="0" w:line="199" w:lineRule="exact"/>
        <w:rPr>
          <w:sz w:val="20"/>
          <w:szCs w:val="20"/>
          <w:color w:val="auto"/>
        </w:rPr>
      </w:pPr>
    </w:p>
    <w:p>
      <w:pPr>
        <w:spacing w:after="0"/>
        <w:rPr>
          <w:sz w:val="20"/>
          <w:szCs w:val="20"/>
          <w:color w:val="auto"/>
        </w:rPr>
      </w:pPr>
      <w:r>
        <w:rPr>
          <w:rFonts w:ascii="Arial" w:cs="Arial" w:eastAsia="Arial" w:hAnsi="Arial"/>
          <w:sz w:val="19"/>
          <w:szCs w:val="19"/>
          <w:b w:val="1"/>
          <w:bCs w:val="1"/>
          <w:color w:val="7CBD3F"/>
        </w:rPr>
        <w:t>Clawback; Recovery of Compensation</w:t>
      </w:r>
    </w:p>
    <w:p>
      <w:pPr>
        <w:spacing w:after="0" w:line="212"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Awards granted under the Second A&amp;R 2023 Plan are subject to forfeiture, termination and rescission, and a participant will be obligated to return to us the value received with respect to awards, to the extent provided by the Plan Administrator in an award agreement, pursuant to Company policy relating to the recovery of erroneously-paid incentive compensation (including our Clawback Policy), or as otherwise required by law or applicable stock exchange listing standards.</w:t>
      </w:r>
    </w:p>
    <w:p>
      <w:pPr>
        <w:spacing w:after="0" w:line="212" w:lineRule="exact"/>
        <w:rPr>
          <w:sz w:val="20"/>
          <w:szCs w:val="20"/>
          <w:color w:val="auto"/>
        </w:rPr>
      </w:pPr>
    </w:p>
    <w:p>
      <w:pPr>
        <w:spacing w:after="0"/>
        <w:rPr>
          <w:sz w:val="20"/>
          <w:szCs w:val="20"/>
          <w:color w:val="auto"/>
        </w:rPr>
      </w:pPr>
      <w:r>
        <w:rPr>
          <w:rFonts w:ascii="Arial" w:cs="Arial" w:eastAsia="Arial" w:hAnsi="Arial"/>
          <w:sz w:val="19"/>
          <w:szCs w:val="19"/>
          <w:b w:val="1"/>
          <w:bCs w:val="1"/>
          <w:color w:val="7CBD3F"/>
        </w:rPr>
        <w:t>Covered Transaction</w:t>
      </w:r>
    </w:p>
    <w:p>
      <w:pPr>
        <w:spacing w:after="0" w:line="212" w:lineRule="exact"/>
        <w:rPr>
          <w:sz w:val="20"/>
          <w:szCs w:val="20"/>
          <w:color w:val="auto"/>
        </w:rPr>
      </w:pPr>
    </w:p>
    <w:p>
      <w:pPr>
        <w:jc w:val="both"/>
        <w:spacing w:after="0" w:line="252" w:lineRule="auto"/>
        <w:rPr>
          <w:sz w:val="20"/>
          <w:szCs w:val="20"/>
          <w:color w:val="auto"/>
        </w:rPr>
      </w:pPr>
      <w:r>
        <w:rPr>
          <w:rFonts w:ascii="Arial" w:cs="Arial" w:eastAsia="Arial" w:hAnsi="Arial"/>
          <w:sz w:val="14"/>
          <w:szCs w:val="14"/>
          <w:color w:val="221E1F"/>
        </w:rPr>
        <w:t>In the event of a covered transaction (as defined in the Second A&amp;R 2023 Plan), the Plan Administrator may, among other things, provide for (i) continuation or assumption of outstanding awards, (ii) new grants in substitution of outstanding awards, (iii) the accelerated vesting or delivery of shares under awards or for a cash-out of outstanding awards, in each case on such terms and with such restrictions as it deems appropriate. However, if the award is not continued or assumed or a new grant is not substituted for the award, then stock options and SARs will become fully exercisable and all other awards shall become vested (with any performance based on target or actual performance as determined by the Plan Administrator).</w:t>
      </w:r>
    </w:p>
    <w:p>
      <w:pPr>
        <w:spacing w:after="0" w:line="216" w:lineRule="exact"/>
        <w:rPr>
          <w:sz w:val="20"/>
          <w:szCs w:val="20"/>
          <w:color w:val="auto"/>
        </w:rPr>
      </w:pPr>
    </w:p>
    <w:p>
      <w:pPr>
        <w:spacing w:after="0"/>
        <w:rPr>
          <w:sz w:val="20"/>
          <w:szCs w:val="20"/>
          <w:color w:val="auto"/>
        </w:rPr>
      </w:pPr>
      <w:r>
        <w:rPr>
          <w:rFonts w:ascii="Arial" w:cs="Arial" w:eastAsia="Arial" w:hAnsi="Arial"/>
          <w:sz w:val="19"/>
          <w:szCs w:val="19"/>
          <w:b w:val="1"/>
          <w:bCs w:val="1"/>
          <w:color w:val="7CBD3F"/>
        </w:rPr>
        <w:t>Prohibition Against Repricing</w:t>
      </w:r>
    </w:p>
    <w:p>
      <w:pPr>
        <w:spacing w:after="0" w:line="212" w:lineRule="exact"/>
        <w:rPr>
          <w:sz w:val="20"/>
          <w:szCs w:val="20"/>
          <w:color w:val="auto"/>
        </w:rPr>
      </w:pPr>
    </w:p>
    <w:p>
      <w:pPr>
        <w:jc w:val="both"/>
        <w:ind w:right="20"/>
        <w:spacing w:after="0" w:line="255" w:lineRule="auto"/>
        <w:rPr>
          <w:sz w:val="20"/>
          <w:szCs w:val="20"/>
          <w:color w:val="auto"/>
        </w:rPr>
      </w:pPr>
      <w:r>
        <w:rPr>
          <w:rFonts w:ascii="Arial" w:cs="Arial" w:eastAsia="Arial" w:hAnsi="Arial"/>
          <w:sz w:val="14"/>
          <w:szCs w:val="14"/>
          <w:color w:val="auto"/>
        </w:rPr>
        <w:t>We will not, without stockholder approval (except in the case of a change in our capitalization, as described below), (i) reduce the exercise price of a stock option or SAR, (ii) other than in the case of covered transaction, at any time when the exercise price of a stock option or SAR is above the fair market value of a share of stock, cancel and re-grant or exchange such stock option or SAR for cash or a new award having a lower (or no) exercise price, or (iii) take any other action with respect to an award that would be treated as a repricing under generally accepted accounting principles.</w:t>
      </w:r>
    </w:p>
    <w:p>
      <w:pPr>
        <w:spacing w:after="0" w:line="132"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221E1F"/>
        </w:rPr>
        <w:t xml:space="preserve">ULTRAGENYX PHARMACEUTICAL INC. </w:t>
      </w:r>
      <w:r>
        <w:rPr>
          <w:rFonts w:ascii="Arial" w:cs="Arial" w:eastAsia="Arial" w:hAnsi="Arial"/>
          <w:sz w:val="14"/>
          <w:szCs w:val="14"/>
          <w:color w:val="7BBD3E"/>
        </w:rPr>
        <w:t>•</w:t>
      </w:r>
      <w:r>
        <w:rPr>
          <w:rFonts w:ascii="Arial" w:cs="Arial" w:eastAsia="Arial" w:hAnsi="Arial"/>
          <w:sz w:val="14"/>
          <w:szCs w:val="14"/>
          <w:b w:val="1"/>
          <w:bCs w:val="1"/>
          <w:color w:val="221E1F"/>
        </w:rPr>
        <w:t xml:space="preserve"> </w:t>
      </w:r>
      <w:r>
        <w:rPr>
          <w:rFonts w:ascii="Arial" w:cs="Arial" w:eastAsia="Arial" w:hAnsi="Arial"/>
          <w:sz w:val="14"/>
          <w:szCs w:val="14"/>
          <w:color w:val="221E1F"/>
        </w:rPr>
        <w:t>2025 Proxy Statement</w:t>
      </w:r>
      <w:r>
        <w:rPr>
          <w:rFonts w:ascii="Arial" w:cs="Arial" w:eastAsia="Arial" w:hAnsi="Arial"/>
          <w:sz w:val="14"/>
          <w:szCs w:val="14"/>
          <w:b w:val="1"/>
          <w:bCs w:val="1"/>
          <w:color w:val="221E1F"/>
        </w:rPr>
        <w:tab/>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142240</wp:posOffset>
            </wp:positionV>
            <wp:extent cx="7150735"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0735" cy="29845"/>
                    </a:xfrm>
                    <a:prstGeom prst="rect">
                      <a:avLst/>
                    </a:prstGeom>
                    <a:noFill/>
                  </pic:spPr>
                </pic:pic>
              </a:graphicData>
            </a:graphic>
          </wp:anchor>
        </w:drawing>
      </w:r>
    </w:p>
    <w:p>
      <w:pPr>
        <w:sectPr>
          <w:pgSz w:w="11900" w:h="16838" w:orient="portrait"/>
          <w:cols w:equalWidth="0" w:num="1">
            <w:col w:w="11260"/>
          </w:cols>
          <w:pgMar w:left="320" w:top="225" w:right="319" w:bottom="1440" w:gutter="0" w:footer="0" w:header="0"/>
        </w:sectPr>
      </w:pPr>
    </w:p>
    <w:bookmarkStart w:id="20" w:name="page21"/>
    <w:bookmarkEnd w:id="20"/>
    <w:p>
      <w:pPr>
        <w:spacing w:after="0"/>
        <w:rPr>
          <w:sz w:val="20"/>
          <w:szCs w:val="20"/>
          <w:color w:val="auto"/>
        </w:rPr>
      </w:pPr>
      <w:r>
        <w:rPr>
          <w:rFonts w:ascii="Arial" w:cs="Arial" w:eastAsia="Arial" w:hAnsi="Arial"/>
          <w:sz w:val="12"/>
          <w:szCs w:val="12"/>
          <w:b w:val="1"/>
          <w:bCs w:val="1"/>
          <w:u w:val="single" w:color="auto"/>
          <w:color w:val="0000EE"/>
        </w:rPr>
        <w:t>Back to Contents</w:t>
      </w:r>
    </w:p>
    <w:p>
      <w:pPr>
        <w:spacing w:after="0" w:line="138" w:lineRule="exact"/>
        <w:rPr>
          <w:sz w:val="20"/>
          <w:szCs w:val="20"/>
          <w:color w:val="auto"/>
        </w:rPr>
      </w:pPr>
    </w:p>
    <w:p>
      <w:pPr>
        <w:spacing w:after="0"/>
        <w:rPr>
          <w:sz w:val="20"/>
          <w:szCs w:val="20"/>
          <w:color w:val="auto"/>
        </w:rPr>
      </w:pPr>
      <w:r>
        <w:rPr>
          <w:rFonts w:ascii="Arial" w:cs="Arial" w:eastAsia="Arial" w:hAnsi="Arial"/>
          <w:sz w:val="19"/>
          <w:szCs w:val="19"/>
          <w:b w:val="1"/>
          <w:bCs w:val="1"/>
          <w:color w:val="7CBD3F"/>
        </w:rPr>
        <w:t>Adjustment</w:t>
      </w:r>
    </w:p>
    <w:p>
      <w:pPr>
        <w:spacing w:after="0" w:line="166" w:lineRule="exact"/>
        <w:rPr>
          <w:sz w:val="20"/>
          <w:szCs w:val="20"/>
          <w:color w:val="auto"/>
        </w:rPr>
      </w:pPr>
    </w:p>
    <w:p>
      <w:pPr>
        <w:jc w:val="both"/>
        <w:spacing w:after="0" w:line="250" w:lineRule="auto"/>
        <w:rPr>
          <w:sz w:val="20"/>
          <w:szCs w:val="20"/>
          <w:color w:val="auto"/>
        </w:rPr>
      </w:pPr>
      <w:r>
        <w:rPr>
          <w:rFonts w:ascii="Arial" w:cs="Arial" w:eastAsia="Arial" w:hAnsi="Arial"/>
          <w:sz w:val="14"/>
          <w:szCs w:val="14"/>
          <w:color w:val="auto"/>
        </w:rPr>
        <w:t xml:space="preserve">In the event of a stock dividend, stock split or combination of shares including a reverse stock split, recapitalization or other change in our capital structure that constitutes an equity restructuring within the meaning of the Financial Accounting Standards Board, Accounting Standards Codification Topic 718, </w:t>
      </w:r>
      <w:r>
        <w:rPr>
          <w:rFonts w:ascii="Arial" w:cs="Arial" w:eastAsia="Arial" w:hAnsi="Arial"/>
          <w:sz w:val="14"/>
          <w:szCs w:val="14"/>
          <w:i w:val="1"/>
          <w:iCs w:val="1"/>
          <w:color w:val="auto"/>
        </w:rPr>
        <w:t>Compensation — Stock Compensation,</w:t>
      </w:r>
      <w:r>
        <w:rPr>
          <w:rFonts w:ascii="Arial" w:cs="Arial" w:eastAsia="Arial" w:hAnsi="Arial"/>
          <w:sz w:val="14"/>
          <w:szCs w:val="14"/>
          <w:color w:val="auto"/>
        </w:rPr>
        <w:t xml:space="preserve"> the Plan Administrator will make appropriate adjustments to the maximum number of shares that may be delivered under the Second A&amp;R 2023 Plan, and will also make appropriate adjustments to the number and kind of shares of stock or securities subject to awards, the exercise prices of such awards or any other terms of awards affected by such change. The Plan Administrator will also make the types of adjustments described above to take into account distributions and other events other than those listed above if it determines that such adjustments are appropriate to avoid distortion and preserve the value of awards.</w:t>
      </w:r>
    </w:p>
    <w:p>
      <w:pPr>
        <w:spacing w:after="0" w:line="218" w:lineRule="exact"/>
        <w:rPr>
          <w:sz w:val="20"/>
          <w:szCs w:val="20"/>
          <w:color w:val="auto"/>
        </w:rPr>
      </w:pPr>
    </w:p>
    <w:p>
      <w:pPr>
        <w:spacing w:after="0"/>
        <w:rPr>
          <w:sz w:val="20"/>
          <w:szCs w:val="20"/>
          <w:color w:val="auto"/>
        </w:rPr>
      </w:pPr>
      <w:r>
        <w:rPr>
          <w:rFonts w:ascii="Arial" w:cs="Arial" w:eastAsia="Arial" w:hAnsi="Arial"/>
          <w:sz w:val="19"/>
          <w:szCs w:val="19"/>
          <w:b w:val="1"/>
          <w:bCs w:val="1"/>
          <w:color w:val="7CBD3F"/>
        </w:rPr>
        <w:t>Amendment and Termination</w:t>
      </w:r>
    </w:p>
    <w:p>
      <w:pPr>
        <w:spacing w:after="0" w:line="166" w:lineRule="exact"/>
        <w:rPr>
          <w:sz w:val="20"/>
          <w:szCs w:val="20"/>
          <w:color w:val="auto"/>
        </w:rPr>
      </w:pPr>
    </w:p>
    <w:p>
      <w:pPr>
        <w:jc w:val="both"/>
        <w:spacing w:after="0" w:line="250" w:lineRule="auto"/>
        <w:rPr>
          <w:sz w:val="20"/>
          <w:szCs w:val="20"/>
          <w:color w:val="auto"/>
        </w:rPr>
      </w:pPr>
      <w:r>
        <w:rPr>
          <w:rFonts w:ascii="Arial" w:cs="Arial" w:eastAsia="Arial" w:hAnsi="Arial"/>
          <w:sz w:val="14"/>
          <w:szCs w:val="14"/>
          <w:color w:val="auto"/>
        </w:rPr>
        <w:t>The Plan Administrator will be able to amend the Second A&amp;R 2023 Plan or outstanding awards for any purpose which may at the time be permitted by law, or terminate the Second A&amp;R 2023 Plan as to future grants of awards, except that the Plan Administrator will not be able to alter the terms of an award if it would affect materially and adversely a participant’s rights under the award without the participant’s consent (unless expressly provided in the Second A&amp;R 2023 Plan or the right to alter the terms of an award was expressly reserved by the Plan Administrator at the time the award was granted). Stockholder approval will be required for any amendment to the Second A&amp;R 2023 Plan to the extent such approval is required by law, including the Internal Revenue Code of 1986, as amended (the “Code”), or applicable stock exchange requirements. No awards may be made under the Second A&amp;R 2023 Plan after 10 years from June 7, 2023.</w:t>
      </w:r>
    </w:p>
    <w:p>
      <w:pPr>
        <w:spacing w:after="0" w:line="218" w:lineRule="exact"/>
        <w:rPr>
          <w:sz w:val="20"/>
          <w:szCs w:val="20"/>
          <w:color w:val="auto"/>
        </w:rPr>
      </w:pPr>
    </w:p>
    <w:p>
      <w:pPr>
        <w:spacing w:after="0"/>
        <w:rPr>
          <w:sz w:val="20"/>
          <w:szCs w:val="20"/>
          <w:color w:val="auto"/>
        </w:rPr>
      </w:pPr>
      <w:r>
        <w:rPr>
          <w:rFonts w:ascii="Arial" w:cs="Arial" w:eastAsia="Arial" w:hAnsi="Arial"/>
          <w:sz w:val="19"/>
          <w:szCs w:val="19"/>
          <w:b w:val="1"/>
          <w:bCs w:val="1"/>
          <w:color w:val="7CBD3F"/>
        </w:rPr>
        <w:t>New Plan Benefits</w:t>
      </w:r>
    </w:p>
    <w:p>
      <w:pPr>
        <w:spacing w:after="0" w:line="166" w:lineRule="exact"/>
        <w:rPr>
          <w:sz w:val="20"/>
          <w:szCs w:val="20"/>
          <w:color w:val="auto"/>
        </w:rPr>
      </w:pPr>
    </w:p>
    <w:p>
      <w:pPr>
        <w:jc w:val="both"/>
        <w:ind w:right="20"/>
        <w:spacing w:after="0" w:line="260" w:lineRule="auto"/>
        <w:rPr>
          <w:sz w:val="20"/>
          <w:szCs w:val="20"/>
          <w:color w:val="auto"/>
        </w:rPr>
      </w:pPr>
      <w:r>
        <w:rPr>
          <w:rFonts w:ascii="Arial" w:cs="Arial" w:eastAsia="Arial" w:hAnsi="Arial"/>
          <w:sz w:val="14"/>
          <w:szCs w:val="14"/>
          <w:color w:val="auto"/>
        </w:rPr>
        <w:t>As described above, the selection of participants who will receive awards under the Second A&amp;R 2023 Plan and the size and types of awards will be determined by the Plan Administrator in its discretion. Therefore, the amount of any future awards under the Second A&amp;R 2023 Plan is not yet determinable and it is not possible to predict the benefits or amounts that will be received by, or allocated to, particular individuals or groups of employees.</w:t>
      </w:r>
    </w:p>
    <w:p>
      <w:pPr>
        <w:spacing w:after="0" w:line="2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Awards Granted Under the 2023 Plan</w:t>
      </w:r>
    </w:p>
    <w:p>
      <w:pPr>
        <w:spacing w:after="0" w:line="222"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No awards granted under the 2023 Plan prior to the date of the Annual Meeting were subject to stockholder approval of the Second A&amp;R 2023 Plan. Pursuant to the SEC rules, the following table sets forth information with respect to awards that have been granted under the 2023 Plan to the groups named below as of March 7, 2025, with PSUs based on achievement of target performance. No associate of any director, executive officer or director nominee has received awards under the 2023 Plan, and no person has received more than 5% of all awards under the 2023 Plan.</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7560" w:type="dxa"/>
            <w:vAlign w:val="bottom"/>
          </w:tcPr>
          <w:p>
            <w:pPr>
              <w:spacing w:after="0"/>
              <w:rPr>
                <w:sz w:val="14"/>
                <w:szCs w:val="14"/>
                <w:color w:val="auto"/>
              </w:rPr>
            </w:pPr>
          </w:p>
        </w:tc>
        <w:tc>
          <w:tcPr>
            <w:tcW w:w="2420" w:type="dxa"/>
            <w:vAlign w:val="bottom"/>
          </w:tcPr>
          <w:p>
            <w:pPr>
              <w:jc w:val="right"/>
              <w:ind w:right="110"/>
              <w:spacing w:after="0"/>
              <w:rPr>
                <w:sz w:val="20"/>
                <w:szCs w:val="20"/>
                <w:color w:val="auto"/>
              </w:rPr>
            </w:pPr>
            <w:r>
              <w:rPr>
                <w:rFonts w:ascii="Arial" w:cs="Arial" w:eastAsia="Arial" w:hAnsi="Arial"/>
                <w:sz w:val="14"/>
                <w:szCs w:val="14"/>
                <w:b w:val="1"/>
                <w:bCs w:val="1"/>
                <w:color w:val="auto"/>
              </w:rPr>
              <w:t>Stock Options</w:t>
            </w: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RSUs and PSUs</w:t>
            </w:r>
          </w:p>
        </w:tc>
      </w:tr>
      <w:tr>
        <w:trPr>
          <w:trHeight w:val="179"/>
        </w:trPr>
        <w:tc>
          <w:tcPr>
            <w:tcW w:w="7560" w:type="dxa"/>
            <w:vAlign w:val="bottom"/>
            <w:tcBorders>
              <w:bottom w:val="single" w:sz="8" w:color="7CBD3F"/>
            </w:tcBorders>
          </w:tcPr>
          <w:p>
            <w:pPr>
              <w:ind w:left="40"/>
              <w:spacing w:after="0"/>
              <w:rPr>
                <w:sz w:val="20"/>
                <w:szCs w:val="20"/>
                <w:color w:val="auto"/>
              </w:rPr>
            </w:pPr>
            <w:r>
              <w:rPr>
                <w:rFonts w:ascii="Arial" w:cs="Arial" w:eastAsia="Arial" w:hAnsi="Arial"/>
                <w:sz w:val="14"/>
                <w:szCs w:val="14"/>
                <w:b w:val="1"/>
                <w:bCs w:val="1"/>
                <w:color w:val="auto"/>
              </w:rPr>
              <w:t>Name and Position</w:t>
            </w:r>
          </w:p>
        </w:tc>
        <w:tc>
          <w:tcPr>
            <w:tcW w:w="2420" w:type="dxa"/>
            <w:vAlign w:val="bottom"/>
            <w:tcBorders>
              <w:bottom w:val="single" w:sz="8" w:color="7CBD3F"/>
            </w:tcBorders>
          </w:tcPr>
          <w:p>
            <w:pPr>
              <w:jc w:val="right"/>
              <w:ind w:right="110"/>
              <w:spacing w:after="0"/>
              <w:rPr>
                <w:sz w:val="20"/>
                <w:szCs w:val="20"/>
                <w:color w:val="auto"/>
              </w:rPr>
            </w:pPr>
            <w:r>
              <w:rPr>
                <w:rFonts w:ascii="Arial" w:cs="Arial" w:eastAsia="Arial" w:hAnsi="Arial"/>
                <w:sz w:val="14"/>
                <w:szCs w:val="14"/>
                <w:b w:val="1"/>
                <w:bCs w:val="1"/>
                <w:color w:val="auto"/>
              </w:rPr>
              <w:t>Granted</w:t>
            </w:r>
          </w:p>
        </w:tc>
        <w:tc>
          <w:tcPr>
            <w:tcW w:w="1280" w:type="dxa"/>
            <w:vAlign w:val="bottom"/>
            <w:tcBorders>
              <w:bottom w:val="single" w:sz="8" w:color="7CBD3F"/>
            </w:tcBorders>
          </w:tcPr>
          <w:p>
            <w:pPr>
              <w:jc w:val="right"/>
              <w:spacing w:after="0"/>
              <w:rPr>
                <w:sz w:val="20"/>
                <w:szCs w:val="20"/>
                <w:color w:val="auto"/>
              </w:rPr>
            </w:pPr>
            <w:r>
              <w:rPr>
                <w:rFonts w:ascii="Arial" w:cs="Arial" w:eastAsia="Arial" w:hAnsi="Arial"/>
                <w:sz w:val="14"/>
                <w:szCs w:val="14"/>
                <w:b w:val="1"/>
                <w:bCs w:val="1"/>
                <w:color w:val="auto"/>
              </w:rPr>
              <w:t>Granted</w:t>
            </w:r>
          </w:p>
        </w:tc>
      </w:tr>
      <w:tr>
        <w:trPr>
          <w:trHeight w:val="163"/>
        </w:trPr>
        <w:tc>
          <w:tcPr>
            <w:tcW w:w="7560" w:type="dxa"/>
            <w:vAlign w:val="bottom"/>
          </w:tcPr>
          <w:p>
            <w:pPr>
              <w:ind w:left="40"/>
              <w:spacing w:after="0"/>
              <w:rPr>
                <w:sz w:val="20"/>
                <w:szCs w:val="20"/>
                <w:color w:val="auto"/>
              </w:rPr>
            </w:pPr>
            <w:r>
              <w:rPr>
                <w:rFonts w:ascii="Arial" w:cs="Arial" w:eastAsia="Arial" w:hAnsi="Arial"/>
                <w:sz w:val="14"/>
                <w:szCs w:val="14"/>
                <w:b w:val="1"/>
                <w:bCs w:val="1"/>
                <w:color w:val="auto"/>
              </w:rPr>
              <w:t xml:space="preserve">Emil D. Kakkis, M.D., Ph.D., </w:t>
            </w:r>
            <w:r>
              <w:rPr>
                <w:rFonts w:ascii="Arial" w:cs="Arial" w:eastAsia="Arial" w:hAnsi="Arial"/>
                <w:sz w:val="14"/>
                <w:szCs w:val="14"/>
                <w:color w:val="auto"/>
              </w:rPr>
              <w:t>President and Chief Executive Officer</w:t>
            </w:r>
          </w:p>
        </w:tc>
        <w:tc>
          <w:tcPr>
            <w:tcW w:w="2420" w:type="dxa"/>
            <w:vAlign w:val="bottom"/>
          </w:tcPr>
          <w:p>
            <w:pPr>
              <w:jc w:val="right"/>
              <w:ind w:right="110"/>
              <w:spacing w:after="0"/>
              <w:rPr>
                <w:sz w:val="20"/>
                <w:szCs w:val="20"/>
                <w:color w:val="auto"/>
              </w:rPr>
            </w:pPr>
            <w:r>
              <w:rPr>
                <w:rFonts w:ascii="Arial" w:cs="Arial" w:eastAsia="Arial" w:hAnsi="Arial"/>
                <w:sz w:val="14"/>
                <w:szCs w:val="14"/>
                <w:color w:val="auto"/>
              </w:rPr>
              <w:t>148,542</w:t>
            </w:r>
          </w:p>
        </w:tc>
        <w:tc>
          <w:tcPr>
            <w:tcW w:w="1280" w:type="dxa"/>
            <w:vAlign w:val="bottom"/>
          </w:tcPr>
          <w:p>
            <w:pPr>
              <w:jc w:val="right"/>
              <w:spacing w:after="0"/>
              <w:rPr>
                <w:sz w:val="20"/>
                <w:szCs w:val="20"/>
                <w:color w:val="auto"/>
              </w:rPr>
            </w:pPr>
            <w:r>
              <w:rPr>
                <w:rFonts w:ascii="Arial" w:cs="Arial" w:eastAsia="Arial" w:hAnsi="Arial"/>
                <w:sz w:val="14"/>
                <w:szCs w:val="14"/>
                <w:color w:val="auto"/>
              </w:rPr>
              <w:t>326,783</w:t>
            </w:r>
          </w:p>
        </w:tc>
      </w:tr>
      <w:tr>
        <w:trPr>
          <w:trHeight w:val="163"/>
        </w:trPr>
        <w:tc>
          <w:tcPr>
            <w:tcW w:w="7560" w:type="dxa"/>
            <w:vAlign w:val="bottom"/>
            <w:shd w:val="clear" w:color="auto" w:fill="F0F7E7"/>
          </w:tcPr>
          <w:p>
            <w:pPr>
              <w:ind w:left="40"/>
              <w:spacing w:after="0"/>
              <w:rPr>
                <w:sz w:val="20"/>
                <w:szCs w:val="20"/>
                <w:color w:val="auto"/>
              </w:rPr>
            </w:pPr>
            <w:r>
              <w:rPr>
                <w:rFonts w:ascii="Arial" w:cs="Arial" w:eastAsia="Arial" w:hAnsi="Arial"/>
                <w:sz w:val="14"/>
                <w:szCs w:val="14"/>
                <w:b w:val="1"/>
                <w:bCs w:val="1"/>
                <w:color w:val="auto"/>
              </w:rPr>
              <w:t xml:space="preserve">Howard Horn, </w:t>
            </w:r>
            <w:r>
              <w:rPr>
                <w:rFonts w:ascii="Arial" w:cs="Arial" w:eastAsia="Arial" w:hAnsi="Arial"/>
                <w:sz w:val="14"/>
                <w:szCs w:val="14"/>
                <w:color w:val="auto"/>
              </w:rPr>
              <w:t>Chief Financial Officer and Executive Vice President, Corporate Strategy</w:t>
            </w:r>
          </w:p>
        </w:tc>
        <w:tc>
          <w:tcPr>
            <w:tcW w:w="2420" w:type="dxa"/>
            <w:vAlign w:val="bottom"/>
            <w:shd w:val="clear" w:color="auto" w:fill="F0F7E7"/>
          </w:tcPr>
          <w:p>
            <w:pPr>
              <w:jc w:val="right"/>
              <w:ind w:right="110"/>
              <w:spacing w:after="0"/>
              <w:rPr>
                <w:sz w:val="20"/>
                <w:szCs w:val="20"/>
                <w:color w:val="auto"/>
              </w:rPr>
            </w:pPr>
            <w:r>
              <w:rPr>
                <w:rFonts w:ascii="Arial" w:cs="Arial" w:eastAsia="Arial" w:hAnsi="Arial"/>
                <w:sz w:val="14"/>
                <w:szCs w:val="14"/>
                <w:color w:val="auto"/>
              </w:rPr>
              <w:t>62,360</w:t>
            </w:r>
          </w:p>
        </w:tc>
        <w:tc>
          <w:tcPr>
            <w:tcW w:w="1280" w:type="dxa"/>
            <w:vAlign w:val="bottom"/>
            <w:shd w:val="clear" w:color="auto" w:fill="F0F7E7"/>
          </w:tcPr>
          <w:p>
            <w:pPr>
              <w:jc w:val="right"/>
              <w:spacing w:after="0"/>
              <w:rPr>
                <w:sz w:val="20"/>
                <w:szCs w:val="20"/>
                <w:color w:val="auto"/>
              </w:rPr>
            </w:pPr>
            <w:r>
              <w:rPr>
                <w:rFonts w:ascii="Arial" w:cs="Arial" w:eastAsia="Arial" w:hAnsi="Arial"/>
                <w:sz w:val="14"/>
                <w:szCs w:val="14"/>
                <w:color w:val="auto"/>
              </w:rPr>
              <w:t>85,760</w:t>
            </w:r>
          </w:p>
        </w:tc>
      </w:tr>
      <w:tr>
        <w:trPr>
          <w:trHeight w:val="163"/>
        </w:trPr>
        <w:tc>
          <w:tcPr>
            <w:tcW w:w="7560" w:type="dxa"/>
            <w:vAlign w:val="bottom"/>
          </w:tcPr>
          <w:p>
            <w:pPr>
              <w:ind w:left="40"/>
              <w:spacing w:after="0"/>
              <w:rPr>
                <w:sz w:val="20"/>
                <w:szCs w:val="20"/>
                <w:color w:val="auto"/>
              </w:rPr>
            </w:pPr>
            <w:r>
              <w:rPr>
                <w:rFonts w:ascii="Arial" w:cs="Arial" w:eastAsia="Arial" w:hAnsi="Arial"/>
                <w:sz w:val="14"/>
                <w:szCs w:val="14"/>
                <w:b w:val="1"/>
                <w:bCs w:val="1"/>
                <w:color w:val="auto"/>
              </w:rPr>
              <w:t xml:space="preserve">Erik Harris, </w:t>
            </w:r>
            <w:r>
              <w:rPr>
                <w:rFonts w:ascii="Arial" w:cs="Arial" w:eastAsia="Arial" w:hAnsi="Arial"/>
                <w:sz w:val="14"/>
                <w:szCs w:val="14"/>
                <w:color w:val="auto"/>
              </w:rPr>
              <w:t>Chief Commercial Officer and Executive Vice President</w:t>
            </w:r>
          </w:p>
        </w:tc>
        <w:tc>
          <w:tcPr>
            <w:tcW w:w="2420" w:type="dxa"/>
            <w:vAlign w:val="bottom"/>
          </w:tcPr>
          <w:p>
            <w:pPr>
              <w:jc w:val="right"/>
              <w:ind w:right="110"/>
              <w:spacing w:after="0"/>
              <w:rPr>
                <w:sz w:val="20"/>
                <w:szCs w:val="20"/>
                <w:color w:val="auto"/>
              </w:rPr>
            </w:pPr>
            <w:r>
              <w:rPr>
                <w:rFonts w:ascii="Arial" w:cs="Arial" w:eastAsia="Arial" w:hAnsi="Arial"/>
                <w:sz w:val="14"/>
                <w:szCs w:val="14"/>
                <w:color w:val="auto"/>
              </w:rPr>
              <w:t>64,446</w:t>
            </w:r>
          </w:p>
        </w:tc>
        <w:tc>
          <w:tcPr>
            <w:tcW w:w="1280" w:type="dxa"/>
            <w:vAlign w:val="bottom"/>
          </w:tcPr>
          <w:p>
            <w:pPr>
              <w:jc w:val="right"/>
              <w:spacing w:after="0"/>
              <w:rPr>
                <w:sz w:val="20"/>
                <w:szCs w:val="20"/>
                <w:color w:val="auto"/>
              </w:rPr>
            </w:pPr>
            <w:r>
              <w:rPr>
                <w:rFonts w:ascii="Arial" w:cs="Arial" w:eastAsia="Arial" w:hAnsi="Arial"/>
                <w:sz w:val="14"/>
                <w:szCs w:val="14"/>
                <w:color w:val="auto"/>
              </w:rPr>
              <w:t>89,240</w:t>
            </w:r>
          </w:p>
        </w:tc>
      </w:tr>
      <w:tr>
        <w:trPr>
          <w:trHeight w:val="163"/>
        </w:trPr>
        <w:tc>
          <w:tcPr>
            <w:tcW w:w="7560" w:type="dxa"/>
            <w:vAlign w:val="bottom"/>
            <w:shd w:val="clear" w:color="auto" w:fill="F0F7E7"/>
          </w:tcPr>
          <w:p>
            <w:pPr>
              <w:ind w:left="40"/>
              <w:spacing w:after="0"/>
              <w:rPr>
                <w:sz w:val="20"/>
                <w:szCs w:val="20"/>
                <w:color w:val="auto"/>
              </w:rPr>
            </w:pPr>
            <w:r>
              <w:rPr>
                <w:rFonts w:ascii="Arial" w:cs="Arial" w:eastAsia="Arial" w:hAnsi="Arial"/>
                <w:sz w:val="14"/>
                <w:szCs w:val="14"/>
                <w:b w:val="1"/>
                <w:bCs w:val="1"/>
                <w:color w:val="auto"/>
              </w:rPr>
              <w:t xml:space="preserve">Eric Crombez, M.D., </w:t>
            </w:r>
            <w:r>
              <w:rPr>
                <w:rFonts w:ascii="Arial" w:cs="Arial" w:eastAsia="Arial" w:hAnsi="Arial"/>
                <w:sz w:val="14"/>
                <w:szCs w:val="14"/>
                <w:color w:val="auto"/>
              </w:rPr>
              <w:t>Chief Medical Officer and Executive Vice President</w:t>
            </w:r>
          </w:p>
        </w:tc>
        <w:tc>
          <w:tcPr>
            <w:tcW w:w="2420" w:type="dxa"/>
            <w:vAlign w:val="bottom"/>
            <w:shd w:val="clear" w:color="auto" w:fill="F0F7E7"/>
          </w:tcPr>
          <w:p>
            <w:pPr>
              <w:jc w:val="right"/>
              <w:ind w:right="110"/>
              <w:spacing w:after="0"/>
              <w:rPr>
                <w:sz w:val="20"/>
                <w:szCs w:val="20"/>
                <w:color w:val="auto"/>
              </w:rPr>
            </w:pPr>
            <w:r>
              <w:rPr>
                <w:rFonts w:ascii="Arial" w:cs="Arial" w:eastAsia="Arial" w:hAnsi="Arial"/>
                <w:sz w:val="14"/>
                <w:szCs w:val="14"/>
                <w:color w:val="auto"/>
              </w:rPr>
              <w:t>64,446</w:t>
            </w:r>
          </w:p>
        </w:tc>
        <w:tc>
          <w:tcPr>
            <w:tcW w:w="1280" w:type="dxa"/>
            <w:vAlign w:val="bottom"/>
            <w:shd w:val="clear" w:color="auto" w:fill="F0F7E7"/>
          </w:tcPr>
          <w:p>
            <w:pPr>
              <w:jc w:val="right"/>
              <w:spacing w:after="0"/>
              <w:rPr>
                <w:sz w:val="20"/>
                <w:szCs w:val="20"/>
                <w:color w:val="auto"/>
              </w:rPr>
            </w:pPr>
            <w:r>
              <w:rPr>
                <w:rFonts w:ascii="Arial" w:cs="Arial" w:eastAsia="Arial" w:hAnsi="Arial"/>
                <w:sz w:val="14"/>
                <w:szCs w:val="14"/>
                <w:color w:val="auto"/>
              </w:rPr>
              <w:t>89,240</w:t>
            </w:r>
          </w:p>
        </w:tc>
      </w:tr>
      <w:tr>
        <w:trPr>
          <w:trHeight w:val="163"/>
        </w:trPr>
        <w:tc>
          <w:tcPr>
            <w:tcW w:w="7560" w:type="dxa"/>
            <w:vAlign w:val="bottom"/>
          </w:tcPr>
          <w:p>
            <w:pPr>
              <w:ind w:left="40"/>
              <w:spacing w:after="0"/>
              <w:rPr>
                <w:sz w:val="20"/>
                <w:szCs w:val="20"/>
                <w:color w:val="auto"/>
              </w:rPr>
            </w:pPr>
            <w:r>
              <w:rPr>
                <w:rFonts w:ascii="Arial" w:cs="Arial" w:eastAsia="Arial" w:hAnsi="Arial"/>
                <w:sz w:val="14"/>
                <w:szCs w:val="14"/>
                <w:b w:val="1"/>
                <w:bCs w:val="1"/>
                <w:color w:val="auto"/>
              </w:rPr>
              <w:t xml:space="preserve">John R. Pinion II, </w:t>
            </w:r>
            <w:r>
              <w:rPr>
                <w:rFonts w:ascii="Arial" w:cs="Arial" w:eastAsia="Arial" w:hAnsi="Arial"/>
                <w:sz w:val="14"/>
                <w:szCs w:val="14"/>
                <w:color w:val="auto"/>
              </w:rPr>
              <w:t>Chief Quality Officer and Executive Vice President, Translational Sciences</w:t>
            </w:r>
          </w:p>
        </w:tc>
        <w:tc>
          <w:tcPr>
            <w:tcW w:w="2420" w:type="dxa"/>
            <w:vAlign w:val="bottom"/>
          </w:tcPr>
          <w:p>
            <w:pPr>
              <w:jc w:val="right"/>
              <w:ind w:right="110"/>
              <w:spacing w:after="0"/>
              <w:rPr>
                <w:sz w:val="20"/>
                <w:szCs w:val="20"/>
                <w:color w:val="auto"/>
              </w:rPr>
            </w:pPr>
            <w:r>
              <w:rPr>
                <w:rFonts w:ascii="Arial" w:cs="Arial" w:eastAsia="Arial" w:hAnsi="Arial"/>
                <w:sz w:val="14"/>
                <w:szCs w:val="14"/>
                <w:color w:val="auto"/>
              </w:rPr>
              <w:t>57,474</w:t>
            </w:r>
          </w:p>
        </w:tc>
        <w:tc>
          <w:tcPr>
            <w:tcW w:w="1280" w:type="dxa"/>
            <w:vAlign w:val="bottom"/>
          </w:tcPr>
          <w:p>
            <w:pPr>
              <w:jc w:val="right"/>
              <w:spacing w:after="0"/>
              <w:rPr>
                <w:sz w:val="20"/>
                <w:szCs w:val="20"/>
                <w:color w:val="auto"/>
              </w:rPr>
            </w:pPr>
            <w:r>
              <w:rPr>
                <w:rFonts w:ascii="Arial" w:cs="Arial" w:eastAsia="Arial" w:hAnsi="Arial"/>
                <w:sz w:val="14"/>
                <w:szCs w:val="14"/>
                <w:color w:val="auto"/>
              </w:rPr>
              <w:t>79,082</w:t>
            </w:r>
          </w:p>
        </w:tc>
      </w:tr>
      <w:tr>
        <w:trPr>
          <w:trHeight w:val="163"/>
        </w:trPr>
        <w:tc>
          <w:tcPr>
            <w:tcW w:w="7560" w:type="dxa"/>
            <w:vAlign w:val="bottom"/>
            <w:shd w:val="clear" w:color="auto" w:fill="F0F7E7"/>
          </w:tcPr>
          <w:p>
            <w:pPr>
              <w:ind w:left="40"/>
              <w:spacing w:after="0"/>
              <w:rPr>
                <w:sz w:val="20"/>
                <w:szCs w:val="20"/>
                <w:color w:val="auto"/>
              </w:rPr>
            </w:pPr>
            <w:r>
              <w:rPr>
                <w:rFonts w:ascii="Arial" w:cs="Arial" w:eastAsia="Arial" w:hAnsi="Arial"/>
                <w:sz w:val="14"/>
                <w:szCs w:val="14"/>
                <w:color w:val="auto"/>
              </w:rPr>
              <w:t>All current executive officers as a group (8)</w:t>
            </w:r>
          </w:p>
        </w:tc>
        <w:tc>
          <w:tcPr>
            <w:tcW w:w="2420" w:type="dxa"/>
            <w:vAlign w:val="bottom"/>
            <w:shd w:val="clear" w:color="auto" w:fill="F0F7E7"/>
          </w:tcPr>
          <w:p>
            <w:pPr>
              <w:jc w:val="right"/>
              <w:ind w:right="110"/>
              <w:spacing w:after="0"/>
              <w:rPr>
                <w:sz w:val="20"/>
                <w:szCs w:val="20"/>
                <w:color w:val="auto"/>
              </w:rPr>
            </w:pPr>
            <w:r>
              <w:rPr>
                <w:rFonts w:ascii="Arial" w:cs="Arial" w:eastAsia="Arial" w:hAnsi="Arial"/>
                <w:sz w:val="14"/>
                <w:szCs w:val="14"/>
                <w:color w:val="auto"/>
              </w:rPr>
              <w:t>543,616</w:t>
            </w:r>
          </w:p>
        </w:tc>
        <w:tc>
          <w:tcPr>
            <w:tcW w:w="1280" w:type="dxa"/>
            <w:vAlign w:val="bottom"/>
            <w:shd w:val="clear" w:color="auto" w:fill="F0F7E7"/>
          </w:tcPr>
          <w:p>
            <w:pPr>
              <w:jc w:val="right"/>
              <w:spacing w:after="0"/>
              <w:rPr>
                <w:sz w:val="20"/>
                <w:szCs w:val="20"/>
                <w:color w:val="auto"/>
              </w:rPr>
            </w:pPr>
            <w:r>
              <w:rPr>
                <w:rFonts w:ascii="Arial" w:cs="Arial" w:eastAsia="Arial" w:hAnsi="Arial"/>
                <w:sz w:val="14"/>
                <w:szCs w:val="14"/>
                <w:color w:val="auto"/>
              </w:rPr>
              <w:t>863,869</w:t>
            </w:r>
          </w:p>
        </w:tc>
      </w:tr>
      <w:tr>
        <w:trPr>
          <w:trHeight w:val="163"/>
        </w:trPr>
        <w:tc>
          <w:tcPr>
            <w:tcW w:w="7560" w:type="dxa"/>
            <w:vAlign w:val="bottom"/>
          </w:tcPr>
          <w:p>
            <w:pPr>
              <w:ind w:left="40"/>
              <w:spacing w:after="0"/>
              <w:rPr>
                <w:sz w:val="20"/>
                <w:szCs w:val="20"/>
                <w:color w:val="auto"/>
              </w:rPr>
            </w:pPr>
            <w:r>
              <w:rPr>
                <w:rFonts w:ascii="Arial" w:cs="Arial" w:eastAsia="Arial" w:hAnsi="Arial"/>
                <w:sz w:val="14"/>
                <w:szCs w:val="14"/>
                <w:color w:val="auto"/>
              </w:rPr>
              <w:t>All current directors who are not executive officers as a group (7)</w:t>
            </w:r>
          </w:p>
        </w:tc>
        <w:tc>
          <w:tcPr>
            <w:tcW w:w="2420" w:type="dxa"/>
            <w:vAlign w:val="bottom"/>
          </w:tcPr>
          <w:p>
            <w:pPr>
              <w:jc w:val="right"/>
              <w:ind w:right="110"/>
              <w:spacing w:after="0"/>
              <w:rPr>
                <w:sz w:val="20"/>
                <w:szCs w:val="20"/>
                <w:color w:val="auto"/>
              </w:rPr>
            </w:pPr>
            <w:r>
              <w:rPr>
                <w:rFonts w:ascii="Arial" w:cs="Arial" w:eastAsia="Arial" w:hAnsi="Arial"/>
                <w:sz w:val="14"/>
                <w:szCs w:val="14"/>
                <w:color w:val="auto"/>
              </w:rPr>
              <w:t>69,300</w:t>
            </w:r>
          </w:p>
        </w:tc>
        <w:tc>
          <w:tcPr>
            <w:tcW w:w="1280" w:type="dxa"/>
            <w:vAlign w:val="bottom"/>
          </w:tcPr>
          <w:p>
            <w:pPr>
              <w:jc w:val="right"/>
              <w:spacing w:after="0"/>
              <w:rPr>
                <w:sz w:val="20"/>
                <w:szCs w:val="20"/>
                <w:color w:val="auto"/>
              </w:rPr>
            </w:pPr>
            <w:r>
              <w:rPr>
                <w:rFonts w:ascii="Arial" w:cs="Arial" w:eastAsia="Arial" w:hAnsi="Arial"/>
                <w:sz w:val="14"/>
                <w:szCs w:val="14"/>
                <w:color w:val="auto"/>
              </w:rPr>
              <w:t>37,415</w:t>
            </w:r>
          </w:p>
        </w:tc>
      </w:tr>
      <w:tr>
        <w:trPr>
          <w:trHeight w:val="163"/>
        </w:trPr>
        <w:tc>
          <w:tcPr>
            <w:tcW w:w="7560" w:type="dxa"/>
            <w:vAlign w:val="bottom"/>
            <w:shd w:val="clear" w:color="auto" w:fill="F0F7E7"/>
          </w:tcPr>
          <w:p>
            <w:pPr>
              <w:ind w:left="40"/>
              <w:spacing w:after="0"/>
              <w:rPr>
                <w:sz w:val="20"/>
                <w:szCs w:val="20"/>
                <w:color w:val="auto"/>
              </w:rPr>
            </w:pPr>
            <w:r>
              <w:rPr>
                <w:rFonts w:ascii="Arial" w:cs="Arial" w:eastAsia="Arial" w:hAnsi="Arial"/>
                <w:sz w:val="14"/>
                <w:szCs w:val="14"/>
                <w:color w:val="auto"/>
              </w:rPr>
              <w:t>Matthew K. Fust</w:t>
            </w:r>
          </w:p>
        </w:tc>
        <w:tc>
          <w:tcPr>
            <w:tcW w:w="2420" w:type="dxa"/>
            <w:vAlign w:val="bottom"/>
            <w:shd w:val="clear" w:color="auto" w:fill="F0F7E7"/>
          </w:tcPr>
          <w:p>
            <w:pPr>
              <w:jc w:val="right"/>
              <w:ind w:right="110"/>
              <w:spacing w:after="0"/>
              <w:rPr>
                <w:sz w:val="20"/>
                <w:szCs w:val="20"/>
                <w:color w:val="auto"/>
              </w:rPr>
            </w:pPr>
            <w:r>
              <w:rPr>
                <w:rFonts w:ascii="Arial" w:cs="Arial" w:eastAsia="Arial" w:hAnsi="Arial"/>
                <w:sz w:val="14"/>
                <w:szCs w:val="14"/>
                <w:color w:val="auto"/>
              </w:rPr>
              <w:t>9,900</w:t>
            </w:r>
          </w:p>
        </w:tc>
        <w:tc>
          <w:tcPr>
            <w:tcW w:w="1280" w:type="dxa"/>
            <w:vAlign w:val="bottom"/>
            <w:shd w:val="clear" w:color="auto" w:fill="F0F7E7"/>
          </w:tcPr>
          <w:p>
            <w:pPr>
              <w:jc w:val="right"/>
              <w:spacing w:after="0"/>
              <w:rPr>
                <w:sz w:val="20"/>
                <w:szCs w:val="20"/>
                <w:color w:val="auto"/>
              </w:rPr>
            </w:pPr>
            <w:r>
              <w:rPr>
                <w:rFonts w:ascii="Arial" w:cs="Arial" w:eastAsia="Arial" w:hAnsi="Arial"/>
                <w:sz w:val="14"/>
                <w:szCs w:val="14"/>
                <w:color w:val="auto"/>
              </w:rPr>
              <w:t>5,345</w:t>
            </w:r>
          </w:p>
        </w:tc>
      </w:tr>
      <w:tr>
        <w:trPr>
          <w:trHeight w:val="163"/>
        </w:trPr>
        <w:tc>
          <w:tcPr>
            <w:tcW w:w="7560" w:type="dxa"/>
            <w:vAlign w:val="bottom"/>
          </w:tcPr>
          <w:p>
            <w:pPr>
              <w:ind w:left="40"/>
              <w:spacing w:after="0"/>
              <w:rPr>
                <w:sz w:val="20"/>
                <w:szCs w:val="20"/>
                <w:color w:val="auto"/>
              </w:rPr>
            </w:pPr>
            <w:r>
              <w:rPr>
                <w:rFonts w:ascii="Arial" w:cs="Arial" w:eastAsia="Arial" w:hAnsi="Arial"/>
                <w:sz w:val="14"/>
                <w:szCs w:val="14"/>
                <w:color w:val="auto"/>
              </w:rPr>
              <w:t>Amrit Ray, M.D.</w:t>
            </w:r>
          </w:p>
        </w:tc>
        <w:tc>
          <w:tcPr>
            <w:tcW w:w="2420" w:type="dxa"/>
            <w:vAlign w:val="bottom"/>
          </w:tcPr>
          <w:p>
            <w:pPr>
              <w:jc w:val="right"/>
              <w:ind w:right="110"/>
              <w:spacing w:after="0"/>
              <w:rPr>
                <w:sz w:val="20"/>
                <w:szCs w:val="20"/>
                <w:color w:val="auto"/>
              </w:rPr>
            </w:pPr>
            <w:r>
              <w:rPr>
                <w:rFonts w:ascii="Arial" w:cs="Arial" w:eastAsia="Arial" w:hAnsi="Arial"/>
                <w:sz w:val="14"/>
                <w:szCs w:val="14"/>
                <w:color w:val="auto"/>
              </w:rPr>
              <w:t>9,900</w:t>
            </w:r>
          </w:p>
        </w:tc>
        <w:tc>
          <w:tcPr>
            <w:tcW w:w="1280" w:type="dxa"/>
            <w:vAlign w:val="bottom"/>
          </w:tcPr>
          <w:p>
            <w:pPr>
              <w:jc w:val="right"/>
              <w:spacing w:after="0"/>
              <w:rPr>
                <w:sz w:val="20"/>
                <w:szCs w:val="20"/>
                <w:color w:val="auto"/>
              </w:rPr>
            </w:pPr>
            <w:r>
              <w:rPr>
                <w:rFonts w:ascii="Arial" w:cs="Arial" w:eastAsia="Arial" w:hAnsi="Arial"/>
                <w:sz w:val="14"/>
                <w:szCs w:val="14"/>
                <w:color w:val="auto"/>
              </w:rPr>
              <w:t>5,345</w:t>
            </w:r>
          </w:p>
        </w:tc>
      </w:tr>
      <w:tr>
        <w:trPr>
          <w:trHeight w:val="167"/>
        </w:trPr>
        <w:tc>
          <w:tcPr>
            <w:tcW w:w="7560" w:type="dxa"/>
            <w:vAlign w:val="bottom"/>
            <w:tcBorders>
              <w:bottom w:val="single" w:sz="8" w:color="7CBD3F"/>
            </w:tcBorders>
            <w:shd w:val="clear" w:color="auto" w:fill="F0F7E7"/>
          </w:tcPr>
          <w:p>
            <w:pPr>
              <w:ind w:left="40"/>
              <w:spacing w:after="0"/>
              <w:rPr>
                <w:sz w:val="20"/>
                <w:szCs w:val="20"/>
                <w:color w:val="auto"/>
              </w:rPr>
            </w:pPr>
            <w:r>
              <w:rPr>
                <w:rFonts w:ascii="Arial" w:cs="Arial" w:eastAsia="Arial" w:hAnsi="Arial"/>
                <w:sz w:val="14"/>
                <w:szCs w:val="14"/>
                <w:color w:val="auto"/>
              </w:rPr>
              <w:t>All current employees, including all current officers who are not executive officers, as a group (1,221)</w:t>
            </w:r>
          </w:p>
        </w:tc>
        <w:tc>
          <w:tcPr>
            <w:tcW w:w="2420" w:type="dxa"/>
            <w:vAlign w:val="bottom"/>
            <w:tcBorders>
              <w:bottom w:val="single" w:sz="8" w:color="7CBD3F"/>
            </w:tcBorders>
            <w:shd w:val="clear" w:color="auto" w:fill="F0F7E7"/>
          </w:tcPr>
          <w:p>
            <w:pPr>
              <w:jc w:val="right"/>
              <w:ind w:right="110"/>
              <w:spacing w:after="0"/>
              <w:rPr>
                <w:sz w:val="20"/>
                <w:szCs w:val="20"/>
                <w:color w:val="auto"/>
              </w:rPr>
            </w:pPr>
            <w:r>
              <w:rPr>
                <w:rFonts w:ascii="Arial" w:cs="Arial" w:eastAsia="Arial" w:hAnsi="Arial"/>
                <w:sz w:val="14"/>
                <w:szCs w:val="14"/>
                <w:color w:val="auto"/>
              </w:rPr>
              <w:t>1,899,221</w:t>
            </w:r>
          </w:p>
        </w:tc>
        <w:tc>
          <w:tcPr>
            <w:tcW w:w="1280" w:type="dxa"/>
            <w:vAlign w:val="bottom"/>
            <w:tcBorders>
              <w:bottom w:val="single" w:sz="8" w:color="7CBD3F"/>
            </w:tcBorders>
            <w:shd w:val="clear" w:color="auto" w:fill="F0F7E7"/>
          </w:tcPr>
          <w:p>
            <w:pPr>
              <w:jc w:val="right"/>
              <w:spacing w:after="0"/>
              <w:rPr>
                <w:sz w:val="20"/>
                <w:szCs w:val="20"/>
                <w:color w:val="auto"/>
              </w:rPr>
            </w:pPr>
            <w:r>
              <w:rPr>
                <w:rFonts w:ascii="Arial" w:cs="Arial" w:eastAsia="Arial" w:hAnsi="Arial"/>
                <w:sz w:val="14"/>
                <w:szCs w:val="14"/>
                <w:color w:val="auto"/>
              </w:rPr>
              <w:t>4,893,071</w:t>
            </w:r>
          </w:p>
        </w:tc>
      </w:tr>
    </w:tbl>
    <w:p>
      <w:pPr>
        <w:spacing w:after="0" w:line="151"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auto"/>
        </w:rPr>
        <w:t xml:space="preserve">ULTRAGENYX PHARMACEUTICAL INC. </w:t>
      </w:r>
      <w:r>
        <w:rPr>
          <w:rFonts w:ascii="Arial" w:cs="Arial" w:eastAsia="Arial" w:hAnsi="Arial"/>
          <w:sz w:val="14"/>
          <w:szCs w:val="14"/>
          <w:color w:val="7CBD3F"/>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2025 Proxy Statement</w:t>
      </w:r>
      <w:r>
        <w:rPr>
          <w:rFonts w:ascii="Arial" w:cs="Arial" w:eastAsia="Arial" w:hAnsi="Arial"/>
          <w:sz w:val="14"/>
          <w:szCs w:val="14"/>
          <w:b w:val="1"/>
          <w:bCs w:val="1"/>
          <w:color w:val="auto"/>
        </w:rPr>
        <w:tab/>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142240</wp:posOffset>
            </wp:positionV>
            <wp:extent cx="7150735"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0735" cy="29845"/>
                    </a:xfrm>
                    <a:prstGeom prst="rect">
                      <a:avLst/>
                    </a:prstGeom>
                    <a:noFill/>
                  </pic:spPr>
                </pic:pic>
              </a:graphicData>
            </a:graphic>
          </wp:anchor>
        </w:drawing>
      </w:r>
    </w:p>
    <w:p>
      <w:pPr>
        <w:sectPr>
          <w:pgSz w:w="11900" w:h="16838" w:orient="portrait"/>
          <w:cols w:equalWidth="0" w:num="1">
            <w:col w:w="11260"/>
          </w:cols>
          <w:pgMar w:left="320" w:top="225" w:right="319" w:bottom="1440" w:gutter="0" w:footer="0" w:header="0"/>
        </w:sectPr>
      </w:pPr>
    </w:p>
    <w:bookmarkStart w:id="21" w:name="page22"/>
    <w:bookmarkEnd w:id="21"/>
    <w:p>
      <w:pPr>
        <w:spacing w:after="0"/>
        <w:rPr>
          <w:sz w:val="20"/>
          <w:szCs w:val="20"/>
          <w:color w:val="auto"/>
        </w:rPr>
      </w:pPr>
      <w:r>
        <w:rPr>
          <w:rFonts w:ascii="Arial" w:cs="Arial" w:eastAsia="Arial" w:hAnsi="Arial"/>
          <w:sz w:val="12"/>
          <w:szCs w:val="12"/>
          <w:b w:val="1"/>
          <w:bCs w:val="1"/>
          <w:u w:val="single" w:color="auto"/>
          <w:color w:val="0000EE"/>
        </w:rPr>
        <w:t>Back to Contents</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U.S. Federal Income Tax Consequences</w:t>
      </w:r>
    </w:p>
    <w:p>
      <w:pPr>
        <w:spacing w:after="0" w:line="175" w:lineRule="exact"/>
        <w:rPr>
          <w:sz w:val="20"/>
          <w:szCs w:val="20"/>
          <w:color w:val="auto"/>
        </w:rPr>
      </w:pPr>
    </w:p>
    <w:p>
      <w:pPr>
        <w:jc w:val="both"/>
        <w:spacing w:after="0" w:line="252" w:lineRule="auto"/>
        <w:rPr>
          <w:sz w:val="20"/>
          <w:szCs w:val="20"/>
          <w:color w:val="auto"/>
        </w:rPr>
      </w:pPr>
      <w:r>
        <w:rPr>
          <w:rFonts w:ascii="Arial" w:cs="Arial" w:eastAsia="Arial" w:hAnsi="Arial"/>
          <w:sz w:val="14"/>
          <w:szCs w:val="14"/>
          <w:color w:val="auto"/>
        </w:rPr>
        <w:t>The following is a summary of the U.S. federal income tax treatment applicable to us and the participants who receive awards under the Second A&amp;R 2023 Plan based on the federal income tax laws in effect on the date of this Proxy Statement. This summary is not intended to be exhaustive and does not address all matters relevant to a particular participant based on their specific circumstances. The summary expressly does not discuss the income tax laws of any state, municipality, or non-U.S. taxing jurisdiction, or the gift, estate, excise (including the rules applicable to deferred compensation under Section 409A of the Code), or other tax laws other than U.S. federal income tax law. Because individual circumstances may vary, we recommend that all participants consult their own tax advisor concerning the tax implications of awards granted under the Second A&amp;R 2023 Plan.</w:t>
      </w:r>
    </w:p>
    <w:p>
      <w:pPr>
        <w:spacing w:after="0" w:line="2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Stock Option Grants</w:t>
      </w:r>
    </w:p>
    <w:p>
      <w:pPr>
        <w:spacing w:after="0" w:line="175"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Stock options granted under the Second A&amp;R 2023 Plan may be either ISOs, which satisfy the requirements of Section 422 of the Code, or non-statutory stock options (NSOs), which are not intended to meet such requirements. The U.S. federal income tax treatment for the two types of options differs as follows:</w:t>
      </w:r>
    </w:p>
    <w:p>
      <w:pPr>
        <w:spacing w:after="0" w:line="2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Incentive Stock Options</w:t>
      </w:r>
    </w:p>
    <w:p>
      <w:pPr>
        <w:spacing w:after="0" w:line="175" w:lineRule="exact"/>
        <w:rPr>
          <w:sz w:val="20"/>
          <w:szCs w:val="20"/>
          <w:color w:val="auto"/>
        </w:rPr>
      </w:pPr>
    </w:p>
    <w:p>
      <w:pPr>
        <w:jc w:val="both"/>
        <w:ind w:right="20"/>
        <w:spacing w:after="0" w:line="255" w:lineRule="auto"/>
        <w:rPr>
          <w:sz w:val="20"/>
          <w:szCs w:val="20"/>
          <w:color w:val="auto"/>
        </w:rPr>
      </w:pPr>
      <w:r>
        <w:rPr>
          <w:rFonts w:ascii="Arial" w:cs="Arial" w:eastAsia="Arial" w:hAnsi="Arial"/>
          <w:sz w:val="14"/>
          <w:szCs w:val="14"/>
          <w:color w:val="auto"/>
        </w:rPr>
        <w:t>No taxable income is recognized by the participant at the time of the grant of an ISO, and no taxable income is recognized for ordinary income tax purposes at the time the ISO is exercised, although taxable income may arise at that time for alternative minimum tax purposes. Unless there is a disqualifying disposition, as described below, the participant will recognize long-term capital gain in an amount equal to the excess of (i) the amount realized upon the sale or other disposition of the purchased shares over (ii) the exercise price paid for the shares.</w:t>
      </w:r>
    </w:p>
    <w:p>
      <w:pPr>
        <w:spacing w:after="0" w:line="132"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A disqualifying disposition occurs if the disposition is less than two years after the date of grant or less than one year after the exercise date. If there is a disqualifying disposition of the shares, then the excess of (i) the fair market value of those shares on the exercise date or (if less) the amount realized upon such sale or disposition over (ii) the exercise price paid for the shares will be taxable as ordinary income to the participant. Any additional gain or loss recognized upon the disposition will be a capital gain or loss.</w:t>
      </w:r>
    </w:p>
    <w:p>
      <w:pPr>
        <w:spacing w:after="0" w:line="130"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If the participant makes a disqualifying disposition of the purchased shares, then we will be entitled to an income tax deduction, for the taxable year in which such disposition occurs, equal to the amount of ordinary income recognized by the participant as a result of the disposition. We will not be entitled to any income tax deduction if the participant makes a qualifying disposition of the shares.</w:t>
      </w:r>
    </w:p>
    <w:p>
      <w:pPr>
        <w:spacing w:after="0" w:line="2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Non-Statutory Stock Options</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No taxable income is recognized by a participant upon the grant of an NSO. The participant in general will recognize ordinary income, in the year in which the NSO is exercised, equal to the excess of the fair market value of the purchased shares on the exercise date over the exercise price paid for the shares, and the participant will be required to satisfy the tax withholding requirements applicable to such income. We will be entitled to an income tax deduction equal to the amount of ordinary income recognized by the participant with respect to the exercised NSO.</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SARs</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No taxable income is recognized upon receipt of an SAR. The holder will recognize ordinary income in the year in which the SAR is exercised, in an amount equal to the excess of (i) the fair market value of the underlying shares of common stock on the exercise date over (ii) the base price in effect for the exercised right, and the holder will be required to satisfy the tax withholding requirements applicable to such income. We will be entitled to an income tax deduction equal to the amount of ordinary income recognized by the holder in connection with the exercise of the SAR.</w:t>
      </w:r>
    </w:p>
    <w:p>
      <w:pPr>
        <w:spacing w:after="0" w:line="132"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auto"/>
        </w:rPr>
        <w:t xml:space="preserve">ULTRAGENYX PHARMACEUTICAL INC. </w:t>
      </w:r>
      <w:r>
        <w:rPr>
          <w:rFonts w:ascii="Arial" w:cs="Arial" w:eastAsia="Arial" w:hAnsi="Arial"/>
          <w:sz w:val="14"/>
          <w:szCs w:val="14"/>
          <w:color w:val="7CBD3F"/>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2025 Proxy Statement</w:t>
      </w:r>
      <w:r>
        <w:rPr>
          <w:rFonts w:ascii="Arial" w:cs="Arial" w:eastAsia="Arial" w:hAnsi="Arial"/>
          <w:sz w:val="14"/>
          <w:szCs w:val="14"/>
          <w:b w:val="1"/>
          <w:bCs w:val="1"/>
          <w:color w:val="auto"/>
        </w:rPr>
        <w:tab/>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142240</wp:posOffset>
            </wp:positionV>
            <wp:extent cx="7150735"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0735" cy="29845"/>
                    </a:xfrm>
                    <a:prstGeom prst="rect">
                      <a:avLst/>
                    </a:prstGeom>
                    <a:noFill/>
                  </pic:spPr>
                </pic:pic>
              </a:graphicData>
            </a:graphic>
          </wp:anchor>
        </w:drawing>
      </w:r>
    </w:p>
    <w:p>
      <w:pPr>
        <w:sectPr>
          <w:pgSz w:w="11900" w:h="16838" w:orient="portrait"/>
          <w:cols w:equalWidth="0" w:num="1">
            <w:col w:w="11260"/>
          </w:cols>
          <w:pgMar w:left="320" w:top="225" w:right="319" w:bottom="1440" w:gutter="0" w:footer="0" w:header="0"/>
        </w:sectPr>
      </w:pPr>
    </w:p>
    <w:bookmarkStart w:id="22" w:name="page23"/>
    <w:bookmarkEnd w:id="22"/>
    <w:p>
      <w:pPr>
        <w:spacing w:after="0"/>
        <w:rPr>
          <w:sz w:val="20"/>
          <w:szCs w:val="20"/>
          <w:color w:val="auto"/>
        </w:rPr>
      </w:pPr>
      <w:r>
        <w:rPr>
          <w:rFonts w:ascii="Arial" w:cs="Arial" w:eastAsia="Arial" w:hAnsi="Arial"/>
          <w:sz w:val="12"/>
          <w:szCs w:val="12"/>
          <w:b w:val="1"/>
          <w:bCs w:val="1"/>
          <w:u w:val="single" w:color="auto"/>
          <w:color w:val="0000EE"/>
        </w:rPr>
        <w:t>Back to Contents</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Stock Awards</w:t>
      </w:r>
    </w:p>
    <w:p>
      <w:pPr>
        <w:spacing w:after="0" w:line="175" w:lineRule="exact"/>
        <w:rPr>
          <w:sz w:val="20"/>
          <w:szCs w:val="20"/>
          <w:color w:val="auto"/>
        </w:rPr>
      </w:pPr>
    </w:p>
    <w:p>
      <w:pPr>
        <w:jc w:val="both"/>
        <w:ind w:right="20"/>
        <w:spacing w:after="0" w:line="278" w:lineRule="auto"/>
        <w:rPr>
          <w:sz w:val="20"/>
          <w:szCs w:val="20"/>
          <w:color w:val="auto"/>
        </w:rPr>
      </w:pPr>
      <w:r>
        <w:rPr>
          <w:rFonts w:ascii="Arial" w:cs="Arial" w:eastAsia="Arial" w:hAnsi="Arial"/>
          <w:sz w:val="14"/>
          <w:szCs w:val="14"/>
          <w:color w:val="auto"/>
        </w:rPr>
        <w:t>Participants will recognize ordinary income at the time unrestricted stock awards are granted in an amount equal to the excess of (i) the fair market value of the shares on the grant date over (ii) the cash consideration (if any) paid for the shares. The holder will be required to satisfy the tax withholding requirements applicable to the income.</w:t>
      </w:r>
    </w:p>
    <w:p>
      <w:pPr>
        <w:spacing w:after="0" w:line="117" w:lineRule="exact"/>
        <w:rPr>
          <w:sz w:val="20"/>
          <w:szCs w:val="20"/>
          <w:color w:val="auto"/>
        </w:rPr>
      </w:pPr>
    </w:p>
    <w:p>
      <w:pPr>
        <w:jc w:val="both"/>
        <w:spacing w:after="0" w:line="252" w:lineRule="auto"/>
        <w:rPr>
          <w:sz w:val="20"/>
          <w:szCs w:val="20"/>
          <w:color w:val="auto"/>
        </w:rPr>
      </w:pPr>
      <w:r>
        <w:rPr>
          <w:rFonts w:ascii="Arial" w:cs="Arial" w:eastAsia="Arial" w:hAnsi="Arial"/>
          <w:sz w:val="14"/>
          <w:szCs w:val="14"/>
          <w:color w:val="auto"/>
        </w:rPr>
        <w:t>No taxable income is recognized at the time restricted stock awards are issued, but the participant will have to report as ordinary income, as and when those shares subsequently vest, an amount equal to the excess of (i) the fair market value of the shares on the vesting date over (ii) the cash consideration (if any) paid for the shares. The participant may, however, elect under Section 83(b) of the Code to include as ordinary income in the year the unvested shares are issued an amount equal to the excess of (a) the fair market value of those shares on the issue date over (b) the cash consideration (if any) paid for such shares. If the Section 83(b) election is made, the participant will not recognize any additional income as and when the shares subsequently vest.</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We will be entitled to an income tax deduction equal to the amount of ordinary income recognized by the participant at the time such ordinary income is recognized by the participant.</w:t>
      </w:r>
    </w:p>
    <w:p>
      <w:pPr>
        <w:spacing w:after="0" w:line="3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Awards</w:t>
      </w:r>
    </w:p>
    <w:p>
      <w:pPr>
        <w:spacing w:after="0" w:line="175" w:lineRule="exact"/>
        <w:rPr>
          <w:sz w:val="20"/>
          <w:szCs w:val="20"/>
          <w:color w:val="auto"/>
        </w:rPr>
      </w:pPr>
    </w:p>
    <w:p>
      <w:pPr>
        <w:jc w:val="both"/>
        <w:ind w:right="20"/>
        <w:spacing w:after="0" w:line="255" w:lineRule="auto"/>
        <w:rPr>
          <w:sz w:val="20"/>
          <w:szCs w:val="20"/>
          <w:color w:val="auto"/>
        </w:rPr>
      </w:pPr>
      <w:r>
        <w:rPr>
          <w:rFonts w:ascii="Arial" w:cs="Arial" w:eastAsia="Arial" w:hAnsi="Arial"/>
          <w:sz w:val="14"/>
          <w:szCs w:val="14"/>
          <w:color w:val="auto"/>
        </w:rPr>
        <w:t>Generally, no taxable income is recognized upon receipt of stock units (including RSUs), performance awards or cash awards. The holder will recognize ordinary income in the year in which the shares subject to the award are actually issued or in the year in which the award is settled in cash. The amount of that income will be equal to the fair market value of the shares on the date of issuance or the amount of the cash paid in settlement of the award, and the holder will be required to satisfy the tax withholding requirements applicable to the income.</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color w:val="auto"/>
        </w:rPr>
        <w:t>We will be entitled to an income tax deduction equal to the amount of ordinary income recognized by the holder at the time the shares are issued or the cash amount is paid.</w:t>
      </w:r>
    </w:p>
    <w:p>
      <w:pPr>
        <w:spacing w:after="0" w:line="3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Deductibility of Executive Compensation</w:t>
      </w:r>
    </w:p>
    <w:p>
      <w:pPr>
        <w:spacing w:after="0" w:line="175" w:lineRule="exact"/>
        <w:rPr>
          <w:sz w:val="20"/>
          <w:szCs w:val="20"/>
          <w:color w:val="auto"/>
        </w:rPr>
      </w:pPr>
    </w:p>
    <w:p>
      <w:pPr>
        <w:jc w:val="both"/>
        <w:spacing w:after="0" w:line="252" w:lineRule="auto"/>
        <w:rPr>
          <w:sz w:val="20"/>
          <w:szCs w:val="20"/>
          <w:color w:val="auto"/>
        </w:rPr>
      </w:pPr>
      <w:r>
        <w:rPr>
          <w:rFonts w:ascii="Arial" w:cs="Arial" w:eastAsia="Arial" w:hAnsi="Arial"/>
          <w:sz w:val="14"/>
          <w:szCs w:val="14"/>
          <w:color w:val="auto"/>
        </w:rPr>
        <w:t>Section 162(m) of the Code limits the deductibility for federal income tax purposes of certain compensation paid to any “covered employee” in excess of $1 million. For purposes of Section 162(m), the term “covered employee” includes any individual who serves as chief executive officer, chief financial officer or one of the other three most highly compensated executive officers for 2017 or any subsequent calendar year (and beginning in 2027, also including the next five highest-compensated employees for the applicable year). It is expected that compensation deductions for any covered employee with respect to awards under the Second A&amp;R 2023 Plan will be subject to the $1 million annual deduction limitation.</w:t>
      </w:r>
    </w:p>
    <w:p>
      <w:pPr>
        <w:spacing w:after="0" w:line="2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Vote Required</w:t>
      </w:r>
    </w:p>
    <w:p>
      <w:pPr>
        <w:spacing w:after="0" w:line="175" w:lineRule="exact"/>
        <w:rPr>
          <w:sz w:val="20"/>
          <w:szCs w:val="20"/>
          <w:color w:val="auto"/>
        </w:rPr>
      </w:pPr>
    </w:p>
    <w:p>
      <w:pPr>
        <w:jc w:val="both"/>
        <w:ind w:right="20"/>
        <w:spacing w:after="0" w:line="278" w:lineRule="auto"/>
        <w:rPr>
          <w:sz w:val="20"/>
          <w:szCs w:val="20"/>
          <w:color w:val="auto"/>
        </w:rPr>
      </w:pPr>
      <w:r>
        <w:rPr>
          <w:rFonts w:ascii="Arial" w:cs="Arial" w:eastAsia="Arial" w:hAnsi="Arial"/>
          <w:sz w:val="14"/>
          <w:szCs w:val="14"/>
          <w:color w:val="auto"/>
        </w:rPr>
        <w:t>Approval of the Second A&amp;R 2023 Plan requires the affirmative vote of a majority of the votes cast on this proposal. Because abstentions and broker non-votes, if any, are not counted as votes cast for or against this resolution, they will have no effect on the outcome of the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50735" cy="24447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0735" cy="244475"/>
                    </a:xfrm>
                    <a:prstGeom prst="rect">
                      <a:avLst/>
                    </a:prstGeom>
                    <a:noFill/>
                  </pic:spPr>
                </pic:pic>
              </a:graphicData>
            </a:graphic>
          </wp:anchor>
        </w:drawing>
      </w:r>
    </w:p>
    <w:p>
      <w:pPr>
        <w:spacing w:after="0" w:line="149" w:lineRule="exact"/>
        <w:rPr>
          <w:sz w:val="20"/>
          <w:szCs w:val="20"/>
          <w:color w:val="auto"/>
        </w:rPr>
      </w:pPr>
    </w:p>
    <w:p>
      <w:pPr>
        <w:ind w:left="120"/>
        <w:spacing w:after="0"/>
        <w:rPr>
          <w:sz w:val="20"/>
          <w:szCs w:val="20"/>
          <w:color w:val="auto"/>
        </w:rPr>
      </w:pPr>
      <w:r>
        <w:rPr>
          <w:sz w:val="1"/>
          <w:szCs w:val="1"/>
          <w:color w:val="auto"/>
        </w:rPr>
        <w:drawing>
          <wp:inline distT="0" distB="0" distL="0" distR="0">
            <wp:extent cx="147955" cy="155575"/>
            <wp:effectExtent l="0" t="0" r="0" b="0"/>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47955" cy="155575"/>
                    </a:xfrm>
                    <a:prstGeom prst="rect">
                      <a:avLst/>
                    </a:prstGeom>
                    <a:noFill/>
                    <a:ln>
                      <a:noFill/>
                    </a:ln>
                  </pic:spPr>
                </pic:pic>
              </a:graphicData>
            </a:graphic>
          </wp:inline>
        </w:drawing>
      </w:r>
      <w:r>
        <w:rPr>
          <w:rFonts w:ascii="Arial" w:cs="Arial" w:eastAsia="Arial" w:hAnsi="Arial"/>
          <w:sz w:val="14"/>
          <w:szCs w:val="14"/>
          <w:b w:val="1"/>
          <w:bCs w:val="1"/>
          <w:color w:val="auto"/>
        </w:rPr>
        <w:t xml:space="preserve"> THE BOARD OF DIRECTORS RECOMMENDS A VOTE “</w:t>
      </w:r>
      <w:r>
        <w:rPr>
          <w:rFonts w:ascii="Arial" w:cs="Arial" w:eastAsia="Arial" w:hAnsi="Arial"/>
          <w:sz w:val="14"/>
          <w:szCs w:val="14"/>
          <w:b w:val="1"/>
          <w:bCs w:val="1"/>
          <w:color w:val="7CBD3F"/>
        </w:rPr>
        <w:t>FOR</w:t>
      </w:r>
      <w:r>
        <w:rPr>
          <w:rFonts w:ascii="Arial" w:cs="Arial" w:eastAsia="Arial" w:hAnsi="Arial"/>
          <w:sz w:val="14"/>
          <w:szCs w:val="14"/>
          <w:b w:val="1"/>
          <w:bCs w:val="1"/>
          <w:color w:val="auto"/>
        </w:rPr>
        <w:t>” PROPOSAL NO. 2.</w:t>
      </w:r>
    </w:p>
    <w:p>
      <w:pPr>
        <w:spacing w:after="0" w:line="221"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auto"/>
        </w:rPr>
        <w:t xml:space="preserve">ULTRAGENYX PHARMACEUTICAL INC. </w:t>
      </w:r>
      <w:r>
        <w:rPr>
          <w:rFonts w:ascii="Arial" w:cs="Arial" w:eastAsia="Arial" w:hAnsi="Arial"/>
          <w:sz w:val="14"/>
          <w:szCs w:val="14"/>
          <w:color w:val="7CBD3F"/>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2025 Proxy Statement</w:t>
      </w:r>
      <w:r>
        <w:rPr>
          <w:rFonts w:ascii="Arial" w:cs="Arial" w:eastAsia="Arial" w:hAnsi="Arial"/>
          <w:sz w:val="14"/>
          <w:szCs w:val="14"/>
          <w:b w:val="1"/>
          <w:bCs w:val="1"/>
          <w:color w:val="auto"/>
        </w:rPr>
        <w:tab/>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142240</wp:posOffset>
            </wp:positionV>
            <wp:extent cx="7150735"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0735" cy="29845"/>
                    </a:xfrm>
                    <a:prstGeom prst="rect">
                      <a:avLst/>
                    </a:prstGeom>
                    <a:noFill/>
                  </pic:spPr>
                </pic:pic>
              </a:graphicData>
            </a:graphic>
          </wp:anchor>
        </w:drawing>
      </w:r>
    </w:p>
    <w:p>
      <w:pPr>
        <w:sectPr>
          <w:pgSz w:w="11900" w:h="16838" w:orient="portrait"/>
          <w:cols w:equalWidth="0" w:num="1">
            <w:col w:w="11260"/>
          </w:cols>
          <w:pgMar w:left="320" w:top="225" w:right="319" w:bottom="1440" w:gutter="0" w:footer="0" w:header="0"/>
        </w:sectPr>
      </w:pPr>
    </w:p>
    <w:bookmarkStart w:id="23" w:name="page24"/>
    <w:bookmarkEnd w:id="23"/>
    <w:p>
      <w:pPr>
        <w:ind w:left="7"/>
        <w:spacing w:after="0"/>
        <w:rPr>
          <w:sz w:val="20"/>
          <w:szCs w:val="20"/>
          <w:color w:val="auto"/>
        </w:rPr>
      </w:pPr>
      <w:r>
        <w:rPr>
          <w:rFonts w:ascii="Arial" w:cs="Arial" w:eastAsia="Arial" w:hAnsi="Arial"/>
          <w:sz w:val="12"/>
          <w:szCs w:val="12"/>
          <w:b w:val="1"/>
          <w:bCs w:val="1"/>
          <w:u w:val="single" w:color="auto"/>
          <w:color w:val="0000EE"/>
        </w:rPr>
        <w:t>Back to Contents</w:t>
      </w:r>
    </w:p>
    <w:p>
      <w:pPr>
        <w:spacing w:after="0" w:line="141" w:lineRule="exact"/>
        <w:rPr>
          <w:sz w:val="20"/>
          <w:szCs w:val="20"/>
          <w:color w:val="auto"/>
        </w:rPr>
      </w:pPr>
    </w:p>
    <w:p>
      <w:pPr>
        <w:ind w:left="7"/>
        <w:spacing w:after="0"/>
        <w:rPr>
          <w:sz w:val="20"/>
          <w:szCs w:val="20"/>
          <w:color w:val="auto"/>
        </w:rPr>
      </w:pPr>
      <w:r>
        <w:rPr>
          <w:rFonts w:ascii="Arial" w:cs="Arial" w:eastAsia="Arial" w:hAnsi="Arial"/>
          <w:sz w:val="22"/>
          <w:szCs w:val="22"/>
          <w:b w:val="1"/>
          <w:bCs w:val="1"/>
          <w:color w:val="743E79"/>
        </w:rPr>
        <w:t>PROPOSAL 3</w:t>
      </w:r>
    </w:p>
    <w:p>
      <w:pPr>
        <w:spacing w:after="0" w:line="23" w:lineRule="exact"/>
        <w:rPr>
          <w:sz w:val="20"/>
          <w:szCs w:val="20"/>
          <w:color w:val="auto"/>
        </w:rPr>
      </w:pPr>
    </w:p>
    <w:p>
      <w:pPr>
        <w:ind w:left="7" w:right="360"/>
        <w:spacing w:after="0" w:line="270" w:lineRule="auto"/>
        <w:rPr>
          <w:sz w:val="20"/>
          <w:szCs w:val="20"/>
          <w:color w:val="auto"/>
        </w:rPr>
      </w:pPr>
      <w:r>
        <w:rPr>
          <w:rFonts w:ascii="Arial" w:cs="Arial" w:eastAsia="Arial" w:hAnsi="Arial"/>
          <w:sz w:val="31"/>
          <w:szCs w:val="31"/>
          <w:b w:val="1"/>
          <w:bCs w:val="1"/>
          <w:color w:val="7CBD3F"/>
        </w:rPr>
        <w:t>Ratification of the Selection of Independent Registered Public Accounting Firm</w:t>
      </w:r>
    </w:p>
    <w:p>
      <w:pPr>
        <w:spacing w:after="0" w:line="236" w:lineRule="exact"/>
        <w:rPr>
          <w:sz w:val="20"/>
          <w:szCs w:val="20"/>
          <w:color w:val="auto"/>
        </w:rPr>
      </w:pPr>
    </w:p>
    <w:p>
      <w:pPr>
        <w:jc w:val="both"/>
        <w:ind w:left="7" w:right="20"/>
        <w:spacing w:after="0" w:line="278" w:lineRule="auto"/>
        <w:rPr>
          <w:sz w:val="20"/>
          <w:szCs w:val="20"/>
          <w:color w:val="auto"/>
        </w:rPr>
      </w:pPr>
      <w:r>
        <w:rPr>
          <w:rFonts w:ascii="Arial" w:cs="Arial" w:eastAsia="Arial" w:hAnsi="Arial"/>
          <w:sz w:val="14"/>
          <w:szCs w:val="14"/>
          <w:color w:val="auto"/>
        </w:rPr>
        <w:t>Our Audit Committee has selected Ernst &amp; Young LLP as our independent registered public accounting firm for the fiscal year ending December 31, 2025, and has further directed that we submit the selection of Ernst &amp; Young LLP for ratification by our stockholders at the Annual Meeting.</w:t>
      </w:r>
    </w:p>
    <w:p>
      <w:pPr>
        <w:spacing w:after="0" w:line="117" w:lineRule="exact"/>
        <w:rPr>
          <w:sz w:val="20"/>
          <w:szCs w:val="20"/>
          <w:color w:val="auto"/>
        </w:rPr>
      </w:pPr>
    </w:p>
    <w:p>
      <w:pPr>
        <w:jc w:val="both"/>
        <w:ind w:left="7"/>
        <w:spacing w:after="0" w:line="255" w:lineRule="auto"/>
        <w:rPr>
          <w:sz w:val="20"/>
          <w:szCs w:val="20"/>
          <w:color w:val="auto"/>
        </w:rPr>
      </w:pPr>
      <w:r>
        <w:rPr>
          <w:rFonts w:ascii="Arial" w:cs="Arial" w:eastAsia="Arial" w:hAnsi="Arial"/>
          <w:sz w:val="14"/>
          <w:szCs w:val="14"/>
          <w:color w:val="auto"/>
        </w:rPr>
        <w:t>We are not required to submit the selection of our independent registered public accounting firm for stockholder approval, but are submitting our selection of Ernst &amp; Young LLP for stockholder ratification as a matter of good corporate governance. If the stockholders do not ratify this selection, the Audit Committee will reconsider its selection of Ernst &amp; Young LLP. Even if the selection is ratified, our Audit Committee may direct the appointment of a different independent registered public accounting firm at any time during the year if the Audit Committee determines that the change would be in our best interests.</w:t>
      </w:r>
    </w:p>
    <w:p>
      <w:pPr>
        <w:spacing w:after="0" w:line="132" w:lineRule="exact"/>
        <w:rPr>
          <w:sz w:val="20"/>
          <w:szCs w:val="20"/>
          <w:color w:val="auto"/>
        </w:rPr>
      </w:pPr>
    </w:p>
    <w:p>
      <w:pPr>
        <w:jc w:val="both"/>
        <w:ind w:left="7"/>
        <w:spacing w:after="0" w:line="246" w:lineRule="auto"/>
        <w:rPr>
          <w:sz w:val="20"/>
          <w:szCs w:val="20"/>
          <w:color w:val="auto"/>
        </w:rPr>
      </w:pPr>
      <w:r>
        <w:rPr>
          <w:rFonts w:ascii="Arial" w:cs="Arial" w:eastAsia="Arial" w:hAnsi="Arial"/>
          <w:sz w:val="14"/>
          <w:szCs w:val="14"/>
          <w:color w:val="auto"/>
        </w:rPr>
        <w:t>The Audit Committee reviews and pre-approves all audit and non-audit services performed by our independent registered public accounting firm. The Audit Committee may delegate its pre-approval authority to one or more of its members and has delegated such authority to the Chairman of the Audit Committee; any pre-approval decisions made by the Chairman are reported to the Audit Committee at the next scheduled committee meeting. The Audit Committee may pre-approve specified audit-related services (assurance and related services that are reasonably related to the performance of the audit or review of our financial statements and that are traditionally performed by the independent auditor) as well as specified tax services that the Audit Committee believes would not impair the independence of the independent auditor, and that are consistent with rules on auditor independence established by the SEC and the Public Company Accounting Oversight Board (PCAOB). The Audit Committee may also pre-approve those permissible non-audit services classified as “all other services” that it believes are routine and recurring services and would not impair the independence of the independent auditor and are consistent with SEC and PCAOB rules on auditor independence. All requests or applications for services to be provided by the independent auditor will be submitted to the Chief Financial Officer and must include a detailed description of the services to be rendered. The Chief Financial Officer or the Principal Accounting Officer, as the case may be, will authorize those services that have been pre-approved by the Audit Committee. If there is any question as to whether a proposed service fits within the pre-approved categories of services, the Chairman of the Audit Committee is to be consulted for a determination. For services that have not been pre-approved by the Audit Committee, requests or applications to provide services will be submitted to the Audit Committee by both the independent auditor and the Chief Financial Officer, and must include a joint oral or written statement as to whether, in their view, the request or application is consistent with the SEC’s and PCAOB’s rules on auditor independence.</w:t>
      </w:r>
    </w:p>
    <w:p>
      <w:pPr>
        <w:spacing w:after="0" w:line="140" w:lineRule="exact"/>
        <w:rPr>
          <w:sz w:val="20"/>
          <w:szCs w:val="20"/>
          <w:color w:val="auto"/>
        </w:rPr>
      </w:pPr>
    </w:p>
    <w:p>
      <w:pPr>
        <w:jc w:val="both"/>
        <w:ind w:left="7"/>
        <w:spacing w:after="0" w:line="252" w:lineRule="auto"/>
        <w:rPr>
          <w:sz w:val="20"/>
          <w:szCs w:val="20"/>
          <w:color w:val="auto"/>
        </w:rPr>
      </w:pPr>
      <w:r>
        <w:rPr>
          <w:rFonts w:ascii="Arial" w:cs="Arial" w:eastAsia="Arial" w:hAnsi="Arial"/>
          <w:sz w:val="14"/>
          <w:szCs w:val="14"/>
          <w:color w:val="auto"/>
        </w:rPr>
        <w:t>All services rendered by Ernst &amp; Young LLP in fiscal 2024 were approved in accordance with these policies. In its review of non-audit services, the Audit Committee considers, among other things, the possible impact of the performance of such services on the independent registered public accounting firm’s independence. The Audit Committee has determined that the non-audit services performed by Ernst &amp; Young LLP in the fiscal year ended December 31, 2024 were compatible with maintaining the independent registered public accounting firm’s independence. Additional information concerning the Audit Committee and its activities can be found in the following sections of this Proxy Statement: “Board of Directors and Committees—Board Committees” and “Report of the Audit Committee.”</w:t>
      </w:r>
    </w:p>
    <w:p>
      <w:pPr>
        <w:spacing w:after="0" w:line="134" w:lineRule="exact"/>
        <w:rPr>
          <w:sz w:val="20"/>
          <w:szCs w:val="20"/>
          <w:color w:val="auto"/>
        </w:rPr>
      </w:pPr>
    </w:p>
    <w:p>
      <w:pPr>
        <w:jc w:val="both"/>
        <w:ind w:left="7" w:right="20"/>
        <w:spacing w:after="0" w:line="278" w:lineRule="auto"/>
        <w:rPr>
          <w:sz w:val="20"/>
          <w:szCs w:val="20"/>
          <w:color w:val="auto"/>
        </w:rPr>
      </w:pPr>
      <w:r>
        <w:rPr>
          <w:rFonts w:ascii="Arial" w:cs="Arial" w:eastAsia="Arial" w:hAnsi="Arial"/>
          <w:sz w:val="14"/>
          <w:szCs w:val="14"/>
          <w:color w:val="auto"/>
        </w:rPr>
        <w:t>Ernst &amp; Young LLP has audited our financial statements since our inception. Representatives of Ernst &amp; Young LLP are expected to be present at the Annual Meeting, will have the opportunity to make a statement if they desire to do so, and are expected to be available to respond to appropriate stockholder questions.</w:t>
      </w:r>
    </w:p>
    <w:p>
      <w:pPr>
        <w:spacing w:after="0" w:line="202" w:lineRule="exact"/>
        <w:rPr>
          <w:sz w:val="20"/>
          <w:szCs w:val="20"/>
          <w:color w:val="auto"/>
        </w:rPr>
      </w:pPr>
    </w:p>
    <w:p>
      <w:pPr>
        <w:ind w:left="7"/>
        <w:spacing w:after="0"/>
        <w:rPr>
          <w:sz w:val="20"/>
          <w:szCs w:val="20"/>
          <w:color w:val="auto"/>
        </w:rPr>
      </w:pPr>
      <w:r>
        <w:rPr>
          <w:rFonts w:ascii="Arial" w:cs="Arial" w:eastAsia="Arial" w:hAnsi="Arial"/>
          <w:sz w:val="22"/>
          <w:szCs w:val="22"/>
          <w:b w:val="1"/>
          <w:bCs w:val="1"/>
          <w:color w:val="auto"/>
        </w:rPr>
        <w:t>Fees for Independent Registered Public Accounting Firm</w:t>
      </w:r>
    </w:p>
    <w:p>
      <w:pPr>
        <w:spacing w:after="0" w:line="175" w:lineRule="exact"/>
        <w:rPr>
          <w:sz w:val="20"/>
          <w:szCs w:val="20"/>
          <w:color w:val="auto"/>
        </w:rPr>
      </w:pPr>
    </w:p>
    <w:p>
      <w:pPr>
        <w:jc w:val="both"/>
        <w:ind w:left="7"/>
        <w:spacing w:after="0" w:line="278" w:lineRule="auto"/>
        <w:rPr>
          <w:sz w:val="20"/>
          <w:szCs w:val="20"/>
          <w:color w:val="auto"/>
        </w:rPr>
      </w:pPr>
      <w:r>
        <w:rPr>
          <w:rFonts w:ascii="Arial" w:cs="Arial" w:eastAsia="Arial" w:hAnsi="Arial"/>
          <w:sz w:val="14"/>
          <w:szCs w:val="14"/>
          <w:color w:val="auto"/>
        </w:rPr>
        <w:t>The following is a summary of the aggregate audit fees billed or expected to be billed by Ernst &amp; Young LLP for the indicated fiscal years and the fees billed by Ernst &amp; Young LLP for all other services rendered during the indicated fiscal years.</w:t>
      </w:r>
    </w:p>
    <w:p>
      <w:pPr>
        <w:spacing w:after="0" w:line="117" w:lineRule="exact"/>
        <w:rPr>
          <w:sz w:val="20"/>
          <w:szCs w:val="20"/>
          <w:color w:val="auto"/>
        </w:rPr>
      </w:pPr>
    </w:p>
    <w:tbl>
      <w:tblPr>
        <w:tblLayout w:type="fixed"/>
        <w:tblInd w:w="7" w:type="dxa"/>
        <w:tblCellMar>
          <w:top w:w="0" w:type="dxa"/>
          <w:left w:w="0" w:type="dxa"/>
          <w:bottom w:w="0" w:type="dxa"/>
          <w:right w:w="0" w:type="dxa"/>
        </w:tblCellMar>
      </w:tblPr>
      <w:tr>
        <w:trPr>
          <w:trHeight w:val="179"/>
        </w:trPr>
        <w:tc>
          <w:tcPr>
            <w:tcW w:w="4840" w:type="dxa"/>
            <w:vAlign w:val="bottom"/>
            <w:tcBorders>
              <w:bottom w:val="single" w:sz="8" w:color="7CBD3F"/>
            </w:tcBorders>
          </w:tcPr>
          <w:p>
            <w:pPr>
              <w:spacing w:after="0"/>
              <w:rPr>
                <w:sz w:val="15"/>
                <w:szCs w:val="15"/>
                <w:color w:val="auto"/>
              </w:rPr>
            </w:pPr>
          </w:p>
        </w:tc>
        <w:tc>
          <w:tcPr>
            <w:tcW w:w="3960" w:type="dxa"/>
            <w:vAlign w:val="bottom"/>
            <w:tcBorders>
              <w:bottom w:val="single" w:sz="8" w:color="7CBD3F"/>
            </w:tcBorders>
          </w:tcPr>
          <w:p>
            <w:pPr>
              <w:spacing w:after="0"/>
              <w:rPr>
                <w:sz w:val="15"/>
                <w:szCs w:val="15"/>
                <w:color w:val="auto"/>
              </w:rPr>
            </w:pPr>
          </w:p>
        </w:tc>
        <w:tc>
          <w:tcPr>
            <w:tcW w:w="1060" w:type="dxa"/>
            <w:vAlign w:val="bottom"/>
            <w:tcBorders>
              <w:bottom w:val="single" w:sz="8" w:color="7CBD3F"/>
            </w:tcBorders>
          </w:tcPr>
          <w:p>
            <w:pPr>
              <w:jc w:val="right"/>
              <w:ind w:right="210"/>
              <w:spacing w:after="0"/>
              <w:rPr>
                <w:sz w:val="20"/>
                <w:szCs w:val="20"/>
                <w:color w:val="auto"/>
              </w:rPr>
            </w:pPr>
            <w:r>
              <w:rPr>
                <w:rFonts w:ascii="Arial" w:cs="Arial" w:eastAsia="Arial" w:hAnsi="Arial"/>
                <w:sz w:val="14"/>
                <w:szCs w:val="14"/>
                <w:b w:val="1"/>
                <w:bCs w:val="1"/>
                <w:color w:val="auto"/>
              </w:rPr>
              <w:t>2024</w:t>
            </w:r>
          </w:p>
        </w:tc>
        <w:tc>
          <w:tcPr>
            <w:tcW w:w="520" w:type="dxa"/>
            <w:vAlign w:val="bottom"/>
            <w:tcBorders>
              <w:bottom w:val="single" w:sz="8" w:color="7CBD3F"/>
            </w:tcBorders>
          </w:tcPr>
          <w:p>
            <w:pPr>
              <w:spacing w:after="0"/>
              <w:rPr>
                <w:sz w:val="15"/>
                <w:szCs w:val="15"/>
                <w:color w:val="auto"/>
              </w:rPr>
            </w:pPr>
          </w:p>
        </w:tc>
        <w:tc>
          <w:tcPr>
            <w:tcW w:w="880" w:type="dxa"/>
            <w:vAlign w:val="bottom"/>
            <w:tcBorders>
              <w:bottom w:val="single" w:sz="8" w:color="7CBD3F"/>
            </w:tcBorders>
          </w:tcPr>
          <w:p>
            <w:pPr>
              <w:jc w:val="right"/>
              <w:ind w:right="50"/>
              <w:spacing w:after="0"/>
              <w:rPr>
                <w:sz w:val="20"/>
                <w:szCs w:val="20"/>
                <w:color w:val="auto"/>
              </w:rPr>
            </w:pPr>
            <w:r>
              <w:rPr>
                <w:rFonts w:ascii="Arial" w:cs="Arial" w:eastAsia="Arial" w:hAnsi="Arial"/>
                <w:sz w:val="14"/>
                <w:szCs w:val="14"/>
                <w:b w:val="1"/>
                <w:bCs w:val="1"/>
                <w:color w:val="auto"/>
              </w:rPr>
              <w:t>2023</w:t>
            </w:r>
          </w:p>
        </w:tc>
      </w:tr>
      <w:tr>
        <w:trPr>
          <w:trHeight w:val="198"/>
        </w:trPr>
        <w:tc>
          <w:tcPr>
            <w:tcW w:w="4840" w:type="dxa"/>
            <w:vAlign w:val="bottom"/>
          </w:tcPr>
          <w:p>
            <w:pPr>
              <w:ind w:left="40"/>
              <w:spacing w:after="0" w:line="199" w:lineRule="exact"/>
              <w:rPr>
                <w:sz w:val="20"/>
                <w:szCs w:val="20"/>
                <w:color w:val="auto"/>
              </w:rPr>
            </w:pPr>
            <w:r>
              <w:rPr>
                <w:rFonts w:ascii="Arial" w:cs="Arial" w:eastAsia="Arial" w:hAnsi="Arial"/>
                <w:sz w:val="13"/>
                <w:szCs w:val="13"/>
                <w:color w:val="auto"/>
              </w:rPr>
              <w:t>Audit fees</w:t>
            </w:r>
            <w:r>
              <w:rPr>
                <w:rFonts w:ascii="Arial" w:cs="Arial" w:eastAsia="Arial" w:hAnsi="Arial"/>
                <w:sz w:val="22"/>
                <w:szCs w:val="22"/>
                <w:color w:val="auto"/>
                <w:vertAlign w:val="superscript"/>
              </w:rPr>
              <w:t>(1)</w:t>
            </w:r>
          </w:p>
        </w:tc>
        <w:tc>
          <w:tcPr>
            <w:tcW w:w="396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10"/>
              <w:spacing w:after="0"/>
              <w:rPr>
                <w:sz w:val="20"/>
                <w:szCs w:val="20"/>
                <w:color w:val="auto"/>
              </w:rPr>
            </w:pPr>
            <w:r>
              <w:rPr>
                <w:rFonts w:ascii="Arial" w:cs="Arial" w:eastAsia="Arial" w:hAnsi="Arial"/>
                <w:sz w:val="14"/>
                <w:szCs w:val="14"/>
                <w:color w:val="auto"/>
              </w:rPr>
              <w:t>2,820,000</w:t>
            </w:r>
          </w:p>
        </w:tc>
        <w:tc>
          <w:tcPr>
            <w:tcW w:w="52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50"/>
              <w:spacing w:after="0"/>
              <w:rPr>
                <w:sz w:val="20"/>
                <w:szCs w:val="20"/>
                <w:color w:val="auto"/>
              </w:rPr>
            </w:pPr>
            <w:r>
              <w:rPr>
                <w:rFonts w:ascii="Arial" w:cs="Arial" w:eastAsia="Arial" w:hAnsi="Arial"/>
                <w:sz w:val="14"/>
                <w:szCs w:val="14"/>
                <w:color w:val="auto"/>
              </w:rPr>
              <w:t>2,240,000</w:t>
            </w:r>
          </w:p>
        </w:tc>
      </w:tr>
      <w:tr>
        <w:trPr>
          <w:trHeight w:val="163"/>
        </w:trPr>
        <w:tc>
          <w:tcPr>
            <w:tcW w:w="4840" w:type="dxa"/>
            <w:vAlign w:val="bottom"/>
            <w:shd w:val="clear" w:color="auto" w:fill="F0F7E7"/>
          </w:tcPr>
          <w:p>
            <w:pPr>
              <w:ind w:left="40"/>
              <w:spacing w:after="0"/>
              <w:rPr>
                <w:sz w:val="20"/>
                <w:szCs w:val="20"/>
                <w:color w:val="auto"/>
              </w:rPr>
            </w:pPr>
            <w:r>
              <w:rPr>
                <w:rFonts w:ascii="Arial" w:cs="Arial" w:eastAsia="Arial" w:hAnsi="Arial"/>
                <w:sz w:val="14"/>
                <w:szCs w:val="14"/>
                <w:color w:val="auto"/>
              </w:rPr>
              <w:t>Audit-related fees</w:t>
            </w:r>
          </w:p>
        </w:tc>
        <w:tc>
          <w:tcPr>
            <w:tcW w:w="3960" w:type="dxa"/>
            <w:vAlign w:val="bottom"/>
            <w:shd w:val="clear" w:color="auto" w:fill="F0F7E7"/>
          </w:tcPr>
          <w:p>
            <w:pPr>
              <w:spacing w:after="0"/>
              <w:rPr>
                <w:sz w:val="14"/>
                <w:szCs w:val="14"/>
                <w:color w:val="auto"/>
              </w:rPr>
            </w:pPr>
          </w:p>
        </w:tc>
        <w:tc>
          <w:tcPr>
            <w:tcW w:w="1060" w:type="dxa"/>
            <w:vAlign w:val="bottom"/>
            <w:shd w:val="clear" w:color="auto" w:fill="F0F7E7"/>
          </w:tcPr>
          <w:p>
            <w:pPr>
              <w:jc w:val="right"/>
              <w:ind w:right="210"/>
              <w:spacing w:after="0"/>
              <w:rPr>
                <w:sz w:val="20"/>
                <w:szCs w:val="20"/>
                <w:color w:val="auto"/>
              </w:rPr>
            </w:pPr>
            <w:r>
              <w:rPr>
                <w:rFonts w:ascii="Arial" w:cs="Arial" w:eastAsia="Arial" w:hAnsi="Arial"/>
                <w:sz w:val="14"/>
                <w:szCs w:val="14"/>
                <w:color w:val="auto"/>
              </w:rPr>
              <w:t>—</w:t>
            </w:r>
          </w:p>
        </w:tc>
        <w:tc>
          <w:tcPr>
            <w:tcW w:w="520" w:type="dxa"/>
            <w:vAlign w:val="bottom"/>
            <w:shd w:val="clear" w:color="auto" w:fill="F0F7E7"/>
          </w:tcPr>
          <w:p>
            <w:pPr>
              <w:spacing w:after="0"/>
              <w:rPr>
                <w:sz w:val="14"/>
                <w:szCs w:val="14"/>
                <w:color w:val="auto"/>
              </w:rPr>
            </w:pPr>
          </w:p>
        </w:tc>
        <w:tc>
          <w:tcPr>
            <w:tcW w:w="880" w:type="dxa"/>
            <w:vAlign w:val="bottom"/>
            <w:shd w:val="clear" w:color="auto" w:fill="F0F7E7"/>
          </w:tcPr>
          <w:p>
            <w:pPr>
              <w:jc w:val="right"/>
              <w:ind w:right="50"/>
              <w:spacing w:after="0"/>
              <w:rPr>
                <w:sz w:val="20"/>
                <w:szCs w:val="20"/>
                <w:color w:val="auto"/>
              </w:rPr>
            </w:pPr>
            <w:r>
              <w:rPr>
                <w:rFonts w:ascii="Arial" w:cs="Arial" w:eastAsia="Arial" w:hAnsi="Arial"/>
                <w:sz w:val="14"/>
                <w:szCs w:val="14"/>
                <w:color w:val="auto"/>
              </w:rPr>
              <w:t>—</w:t>
            </w:r>
          </w:p>
        </w:tc>
      </w:tr>
      <w:tr>
        <w:trPr>
          <w:trHeight w:val="198"/>
        </w:trPr>
        <w:tc>
          <w:tcPr>
            <w:tcW w:w="4840" w:type="dxa"/>
            <w:vAlign w:val="bottom"/>
          </w:tcPr>
          <w:p>
            <w:pPr>
              <w:ind w:left="40"/>
              <w:spacing w:after="0" w:line="199" w:lineRule="exact"/>
              <w:rPr>
                <w:sz w:val="20"/>
                <w:szCs w:val="20"/>
                <w:color w:val="auto"/>
              </w:rPr>
            </w:pPr>
            <w:r>
              <w:rPr>
                <w:rFonts w:ascii="Arial" w:cs="Arial" w:eastAsia="Arial" w:hAnsi="Arial"/>
                <w:sz w:val="13"/>
                <w:szCs w:val="13"/>
                <w:color w:val="auto"/>
              </w:rPr>
              <w:t>Tax fees</w:t>
            </w:r>
            <w:r>
              <w:rPr>
                <w:rFonts w:ascii="Arial" w:cs="Arial" w:eastAsia="Arial" w:hAnsi="Arial"/>
                <w:sz w:val="22"/>
                <w:szCs w:val="22"/>
                <w:color w:val="auto"/>
                <w:vertAlign w:val="superscript"/>
              </w:rPr>
              <w:t>(2)</w:t>
            </w:r>
          </w:p>
        </w:tc>
        <w:tc>
          <w:tcPr>
            <w:tcW w:w="3960" w:type="dxa"/>
            <w:vAlign w:val="bottom"/>
          </w:tcPr>
          <w:p>
            <w:pPr>
              <w:spacing w:after="0"/>
              <w:rPr>
                <w:sz w:val="17"/>
                <w:szCs w:val="17"/>
                <w:color w:val="auto"/>
              </w:rPr>
            </w:pPr>
          </w:p>
        </w:tc>
        <w:tc>
          <w:tcPr>
            <w:tcW w:w="1060" w:type="dxa"/>
            <w:vAlign w:val="bottom"/>
          </w:tcPr>
          <w:p>
            <w:pPr>
              <w:jc w:val="right"/>
              <w:ind w:right="210"/>
              <w:spacing w:after="0"/>
              <w:rPr>
                <w:sz w:val="20"/>
                <w:szCs w:val="20"/>
                <w:color w:val="auto"/>
              </w:rPr>
            </w:pPr>
            <w:r>
              <w:rPr>
                <w:rFonts w:ascii="Arial" w:cs="Arial" w:eastAsia="Arial" w:hAnsi="Arial"/>
                <w:sz w:val="14"/>
                <w:szCs w:val="14"/>
                <w:color w:val="auto"/>
              </w:rPr>
              <w:t>93,000</w:t>
            </w:r>
          </w:p>
        </w:tc>
        <w:tc>
          <w:tcPr>
            <w:tcW w:w="520" w:type="dxa"/>
            <w:vAlign w:val="bottom"/>
          </w:tcPr>
          <w:p>
            <w:pPr>
              <w:spacing w:after="0"/>
              <w:rPr>
                <w:sz w:val="17"/>
                <w:szCs w:val="17"/>
                <w:color w:val="auto"/>
              </w:rPr>
            </w:pPr>
          </w:p>
        </w:tc>
        <w:tc>
          <w:tcPr>
            <w:tcW w:w="880" w:type="dxa"/>
            <w:vAlign w:val="bottom"/>
          </w:tcPr>
          <w:p>
            <w:pPr>
              <w:jc w:val="right"/>
              <w:ind w:right="50"/>
              <w:spacing w:after="0"/>
              <w:rPr>
                <w:sz w:val="20"/>
                <w:szCs w:val="20"/>
                <w:color w:val="auto"/>
              </w:rPr>
            </w:pPr>
            <w:r>
              <w:rPr>
                <w:rFonts w:ascii="Arial" w:cs="Arial" w:eastAsia="Arial" w:hAnsi="Arial"/>
                <w:sz w:val="14"/>
                <w:szCs w:val="14"/>
                <w:color w:val="auto"/>
              </w:rPr>
              <w:t>77,000</w:t>
            </w:r>
          </w:p>
        </w:tc>
      </w:tr>
      <w:tr>
        <w:trPr>
          <w:trHeight w:val="163"/>
        </w:trPr>
        <w:tc>
          <w:tcPr>
            <w:tcW w:w="4840" w:type="dxa"/>
            <w:vAlign w:val="bottom"/>
            <w:tcBorders>
              <w:bottom w:val="single" w:sz="8" w:color="7CBD3F"/>
            </w:tcBorders>
            <w:shd w:val="clear" w:color="auto" w:fill="F0F7E7"/>
          </w:tcPr>
          <w:p>
            <w:pPr>
              <w:ind w:left="40"/>
              <w:spacing w:after="0"/>
              <w:rPr>
                <w:sz w:val="20"/>
                <w:szCs w:val="20"/>
                <w:color w:val="auto"/>
              </w:rPr>
            </w:pPr>
            <w:r>
              <w:rPr>
                <w:rFonts w:ascii="Arial" w:cs="Arial" w:eastAsia="Arial" w:hAnsi="Arial"/>
                <w:sz w:val="14"/>
                <w:szCs w:val="14"/>
                <w:color w:val="auto"/>
              </w:rPr>
              <w:t>All other fees</w:t>
            </w:r>
          </w:p>
        </w:tc>
        <w:tc>
          <w:tcPr>
            <w:tcW w:w="3960" w:type="dxa"/>
            <w:vAlign w:val="bottom"/>
            <w:tcBorders>
              <w:bottom w:val="single" w:sz="8" w:color="7CBD3F"/>
            </w:tcBorders>
            <w:shd w:val="clear" w:color="auto" w:fill="F0F7E7"/>
          </w:tcPr>
          <w:p>
            <w:pPr>
              <w:spacing w:after="0"/>
              <w:rPr>
                <w:sz w:val="14"/>
                <w:szCs w:val="14"/>
                <w:color w:val="auto"/>
              </w:rPr>
            </w:pPr>
          </w:p>
        </w:tc>
        <w:tc>
          <w:tcPr>
            <w:tcW w:w="1060" w:type="dxa"/>
            <w:vAlign w:val="bottom"/>
            <w:tcBorders>
              <w:bottom w:val="single" w:sz="8" w:color="7CBD3F"/>
            </w:tcBorders>
            <w:shd w:val="clear" w:color="auto" w:fill="F0F7E7"/>
          </w:tcPr>
          <w:p>
            <w:pPr>
              <w:jc w:val="right"/>
              <w:ind w:right="210"/>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7CBD3F"/>
            </w:tcBorders>
            <w:shd w:val="clear" w:color="auto" w:fill="F0F7E7"/>
          </w:tcPr>
          <w:p>
            <w:pPr>
              <w:spacing w:after="0"/>
              <w:rPr>
                <w:sz w:val="14"/>
                <w:szCs w:val="14"/>
                <w:color w:val="auto"/>
              </w:rPr>
            </w:pPr>
          </w:p>
        </w:tc>
        <w:tc>
          <w:tcPr>
            <w:tcW w:w="880" w:type="dxa"/>
            <w:vAlign w:val="bottom"/>
            <w:tcBorders>
              <w:bottom w:val="single" w:sz="8" w:color="7CBD3F"/>
            </w:tcBorders>
            <w:shd w:val="clear" w:color="auto" w:fill="F0F7E7"/>
          </w:tcPr>
          <w:p>
            <w:pPr>
              <w:jc w:val="right"/>
              <w:ind w:right="50"/>
              <w:spacing w:after="0"/>
              <w:rPr>
                <w:sz w:val="20"/>
                <w:szCs w:val="20"/>
                <w:color w:val="auto"/>
              </w:rPr>
            </w:pPr>
            <w:r>
              <w:rPr>
                <w:rFonts w:ascii="Arial" w:cs="Arial" w:eastAsia="Arial" w:hAnsi="Arial"/>
                <w:sz w:val="14"/>
                <w:szCs w:val="14"/>
                <w:color w:val="auto"/>
              </w:rPr>
              <w:t>—</w:t>
            </w:r>
          </w:p>
        </w:tc>
      </w:tr>
      <w:tr>
        <w:trPr>
          <w:trHeight w:val="158"/>
        </w:trPr>
        <w:tc>
          <w:tcPr>
            <w:tcW w:w="4840" w:type="dxa"/>
            <w:vAlign w:val="bottom"/>
            <w:tcBorders>
              <w:bottom w:val="single" w:sz="8" w:color="7CBD3F"/>
            </w:tcBorders>
          </w:tcPr>
          <w:p>
            <w:pPr>
              <w:ind w:left="40"/>
              <w:spacing w:after="0" w:line="155" w:lineRule="exact"/>
              <w:rPr>
                <w:sz w:val="20"/>
                <w:szCs w:val="20"/>
                <w:color w:val="auto"/>
              </w:rPr>
            </w:pPr>
            <w:r>
              <w:rPr>
                <w:rFonts w:ascii="Arial" w:cs="Arial" w:eastAsia="Arial" w:hAnsi="Arial"/>
                <w:sz w:val="14"/>
                <w:szCs w:val="14"/>
                <w:b w:val="1"/>
                <w:bCs w:val="1"/>
                <w:color w:val="7CBD3F"/>
              </w:rPr>
              <w:t>TOTAL</w:t>
            </w:r>
          </w:p>
        </w:tc>
        <w:tc>
          <w:tcPr>
            <w:tcW w:w="3960" w:type="dxa"/>
            <w:vAlign w:val="bottom"/>
            <w:tcBorders>
              <w:bottom w:val="single" w:sz="8" w:color="7CBD3F"/>
            </w:tcBorders>
          </w:tcPr>
          <w:p>
            <w:pPr>
              <w:jc w:val="right"/>
              <w:ind w:right="90"/>
              <w:spacing w:after="0" w:line="155" w:lineRule="exact"/>
              <w:rPr>
                <w:sz w:val="20"/>
                <w:szCs w:val="20"/>
                <w:color w:val="auto"/>
              </w:rPr>
            </w:pPr>
            <w:r>
              <w:rPr>
                <w:rFonts w:ascii="Arial" w:cs="Arial" w:eastAsia="Arial" w:hAnsi="Arial"/>
                <w:sz w:val="14"/>
                <w:szCs w:val="14"/>
                <w:b w:val="1"/>
                <w:bCs w:val="1"/>
                <w:color w:val="7CBD3F"/>
              </w:rPr>
              <w:t>$</w:t>
            </w:r>
          </w:p>
        </w:tc>
        <w:tc>
          <w:tcPr>
            <w:tcW w:w="1060" w:type="dxa"/>
            <w:vAlign w:val="bottom"/>
            <w:tcBorders>
              <w:bottom w:val="single" w:sz="8" w:color="7CBD3F"/>
            </w:tcBorders>
          </w:tcPr>
          <w:p>
            <w:pPr>
              <w:jc w:val="right"/>
              <w:ind w:right="210"/>
              <w:spacing w:after="0" w:line="155" w:lineRule="exact"/>
              <w:rPr>
                <w:sz w:val="20"/>
                <w:szCs w:val="20"/>
                <w:color w:val="auto"/>
              </w:rPr>
            </w:pPr>
            <w:r>
              <w:rPr>
                <w:rFonts w:ascii="Arial" w:cs="Arial" w:eastAsia="Arial" w:hAnsi="Arial"/>
                <w:sz w:val="14"/>
                <w:szCs w:val="14"/>
                <w:b w:val="1"/>
                <w:bCs w:val="1"/>
                <w:color w:val="7CBD3F"/>
              </w:rPr>
              <w:t>2,913,000</w:t>
            </w:r>
          </w:p>
        </w:tc>
        <w:tc>
          <w:tcPr>
            <w:tcW w:w="520" w:type="dxa"/>
            <w:vAlign w:val="bottom"/>
            <w:tcBorders>
              <w:bottom w:val="single" w:sz="8" w:color="7CBD3F"/>
            </w:tcBorders>
          </w:tcPr>
          <w:p>
            <w:pPr>
              <w:jc w:val="right"/>
              <w:ind w:right="90"/>
              <w:spacing w:after="0" w:line="155" w:lineRule="exact"/>
              <w:rPr>
                <w:sz w:val="20"/>
                <w:szCs w:val="20"/>
                <w:color w:val="auto"/>
              </w:rPr>
            </w:pPr>
            <w:r>
              <w:rPr>
                <w:rFonts w:ascii="Arial" w:cs="Arial" w:eastAsia="Arial" w:hAnsi="Arial"/>
                <w:sz w:val="14"/>
                <w:szCs w:val="14"/>
                <w:b w:val="1"/>
                <w:bCs w:val="1"/>
                <w:color w:val="7CBD3F"/>
              </w:rPr>
              <w:t>$</w:t>
            </w:r>
          </w:p>
        </w:tc>
        <w:tc>
          <w:tcPr>
            <w:tcW w:w="880" w:type="dxa"/>
            <w:vAlign w:val="bottom"/>
            <w:tcBorders>
              <w:bottom w:val="single" w:sz="8" w:color="7CBD3F"/>
            </w:tcBorders>
          </w:tcPr>
          <w:p>
            <w:pPr>
              <w:jc w:val="right"/>
              <w:ind w:right="50"/>
              <w:spacing w:after="0" w:line="155" w:lineRule="exact"/>
              <w:rPr>
                <w:sz w:val="20"/>
                <w:szCs w:val="20"/>
                <w:color w:val="auto"/>
              </w:rPr>
            </w:pPr>
            <w:r>
              <w:rPr>
                <w:rFonts w:ascii="Arial" w:cs="Arial" w:eastAsia="Arial" w:hAnsi="Arial"/>
                <w:sz w:val="14"/>
                <w:szCs w:val="14"/>
                <w:b w:val="1"/>
                <w:bCs w:val="1"/>
                <w:color w:val="7CBD3F"/>
              </w:rPr>
              <w:t>2,317,000</w:t>
            </w:r>
          </w:p>
        </w:tc>
      </w:tr>
    </w:tbl>
    <w:p>
      <w:pPr>
        <w:spacing w:after="0" w:line="39" w:lineRule="exact"/>
        <w:rPr>
          <w:sz w:val="20"/>
          <w:szCs w:val="20"/>
          <w:color w:val="auto"/>
        </w:rPr>
      </w:pPr>
    </w:p>
    <w:p>
      <w:pPr>
        <w:jc w:val="both"/>
        <w:ind w:left="287" w:right="20" w:hanging="287"/>
        <w:spacing w:after="0" w:line="266" w:lineRule="auto"/>
        <w:tabs>
          <w:tab w:leader="none" w:pos="287" w:val="left"/>
        </w:tabs>
        <w:numPr>
          <w:ilvl w:val="0"/>
          <w:numId w:val="7"/>
        </w:numPr>
        <w:rPr>
          <w:rFonts w:ascii="Arial" w:cs="Arial" w:eastAsia="Arial" w:hAnsi="Arial"/>
          <w:sz w:val="12"/>
          <w:szCs w:val="12"/>
          <w:color w:val="auto"/>
        </w:rPr>
      </w:pPr>
      <w:r>
        <w:rPr>
          <w:rFonts w:ascii="Arial" w:cs="Arial" w:eastAsia="Arial" w:hAnsi="Arial"/>
          <w:sz w:val="12"/>
          <w:szCs w:val="12"/>
          <w:color w:val="auto"/>
        </w:rPr>
        <w:t>Audit fees consist of the aggregate fees billed for professional services rendered for the audit of our annual financial statements included in our annual reports on Form 10-K; the review of our interim financial statements included in our quarterly reports on Form 10-Q; consultation on technical accounting matters; assistance with registration statements filed with the SEC; and the issuance of comfort letters and consents.</w:t>
      </w:r>
    </w:p>
    <w:p>
      <w:pPr>
        <w:spacing w:after="0" w:line="7" w:lineRule="exact"/>
        <w:rPr>
          <w:rFonts w:ascii="Arial" w:cs="Arial" w:eastAsia="Arial" w:hAnsi="Arial"/>
          <w:sz w:val="12"/>
          <w:szCs w:val="12"/>
          <w:color w:val="auto"/>
        </w:rPr>
      </w:pPr>
    </w:p>
    <w:p>
      <w:pPr>
        <w:ind w:left="287" w:hanging="287"/>
        <w:spacing w:after="0"/>
        <w:tabs>
          <w:tab w:leader="none" w:pos="287" w:val="left"/>
        </w:tabs>
        <w:numPr>
          <w:ilvl w:val="0"/>
          <w:numId w:val="7"/>
        </w:numPr>
        <w:rPr>
          <w:rFonts w:ascii="Arial" w:cs="Arial" w:eastAsia="Arial" w:hAnsi="Arial"/>
          <w:sz w:val="12"/>
          <w:szCs w:val="12"/>
          <w:color w:val="auto"/>
        </w:rPr>
      </w:pPr>
      <w:r>
        <w:rPr>
          <w:rFonts w:ascii="Arial" w:cs="Arial" w:eastAsia="Arial" w:hAnsi="Arial"/>
          <w:sz w:val="12"/>
          <w:szCs w:val="12"/>
          <w:color w:val="auto"/>
        </w:rPr>
        <w:t>Tax fees principally include fees for tax compliance and tax advice.</w:t>
      </w:r>
    </w:p>
    <w:p>
      <w:pPr>
        <w:spacing w:after="0" w:line="161"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auto"/>
        </w:rPr>
        <w:t xml:space="preserve">ULTRAGENYX PHARMACEUTICAL INC. </w:t>
      </w:r>
      <w:r>
        <w:rPr>
          <w:rFonts w:ascii="Arial" w:cs="Arial" w:eastAsia="Arial" w:hAnsi="Arial"/>
          <w:sz w:val="14"/>
          <w:szCs w:val="14"/>
          <w:color w:val="7CBD3F"/>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2025 Proxy Statement</w:t>
      </w:r>
      <w:r>
        <w:rPr>
          <w:rFonts w:ascii="Arial" w:cs="Arial" w:eastAsia="Arial" w:hAnsi="Arial"/>
          <w:sz w:val="14"/>
          <w:szCs w:val="14"/>
          <w:b w:val="1"/>
          <w:bCs w:val="1"/>
          <w:color w:val="auto"/>
        </w:rPr>
        <w:tab/>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150735"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0735" cy="29845"/>
                    </a:xfrm>
                    <a:prstGeom prst="rect">
                      <a:avLst/>
                    </a:prstGeom>
                    <a:noFill/>
                  </pic:spPr>
                </pic:pic>
              </a:graphicData>
            </a:graphic>
          </wp:anchor>
        </w:drawing>
      </w:r>
    </w:p>
    <w:p>
      <w:pPr>
        <w:sectPr>
          <w:pgSz w:w="11900" w:h="16838" w:orient="portrait"/>
          <w:cols w:equalWidth="0" w:num="1">
            <w:col w:w="11267"/>
          </w:cols>
          <w:pgMar w:left="313" w:top="225" w:right="319" w:bottom="1440" w:gutter="0" w:footer="0" w:header="0"/>
        </w:sectPr>
      </w:pPr>
    </w:p>
    <w:bookmarkStart w:id="24" w:name="page25"/>
    <w:bookmarkEnd w:id="24"/>
    <w:p>
      <w:pPr>
        <w:spacing w:after="0"/>
        <w:rPr>
          <w:sz w:val="20"/>
          <w:szCs w:val="20"/>
          <w:color w:val="auto"/>
        </w:rPr>
      </w:pPr>
      <w:r>
        <w:rPr>
          <w:rFonts w:ascii="Arial" w:cs="Arial" w:eastAsia="Arial" w:hAnsi="Arial"/>
          <w:sz w:val="12"/>
          <w:szCs w:val="12"/>
          <w:b w:val="1"/>
          <w:bCs w:val="1"/>
          <w:u w:val="single" w:color="auto"/>
          <w:color w:val="0000EE"/>
        </w:rPr>
        <w:t>Back to Contents</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Vote Required</w:t>
      </w:r>
    </w:p>
    <w:p>
      <w:pPr>
        <w:spacing w:after="0" w:line="222" w:lineRule="exact"/>
        <w:rPr>
          <w:sz w:val="20"/>
          <w:szCs w:val="20"/>
          <w:color w:val="auto"/>
        </w:rPr>
      </w:pPr>
    </w:p>
    <w:p>
      <w:pPr>
        <w:spacing w:after="0" w:line="278" w:lineRule="auto"/>
        <w:rPr>
          <w:sz w:val="20"/>
          <w:szCs w:val="20"/>
          <w:color w:val="auto"/>
        </w:rPr>
      </w:pPr>
      <w:r>
        <w:rPr>
          <w:rFonts w:ascii="Arial" w:cs="Arial" w:eastAsia="Arial" w:hAnsi="Arial"/>
          <w:sz w:val="14"/>
          <w:szCs w:val="14"/>
          <w:color w:val="auto"/>
        </w:rPr>
        <w:t>Ratification of the selection of the independent registered public accounting firm requires the affirmative vote of a majority of the votes cast. Because abstentions and broker non-votes, if any, are not counted as votes cast for or against this proposal, they will have no effect on the outcome of the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50735" cy="24447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0735" cy="244475"/>
                    </a:xfrm>
                    <a:prstGeom prst="rect">
                      <a:avLst/>
                    </a:prstGeom>
                    <a:noFill/>
                  </pic:spPr>
                </pic:pic>
              </a:graphicData>
            </a:graphic>
          </wp:anchor>
        </w:drawing>
      </w:r>
    </w:p>
    <w:p>
      <w:pPr>
        <w:spacing w:after="0" w:line="149" w:lineRule="exact"/>
        <w:rPr>
          <w:sz w:val="20"/>
          <w:szCs w:val="20"/>
          <w:color w:val="auto"/>
        </w:rPr>
      </w:pPr>
    </w:p>
    <w:p>
      <w:pPr>
        <w:ind w:left="120"/>
        <w:spacing w:after="0"/>
        <w:rPr>
          <w:sz w:val="20"/>
          <w:szCs w:val="20"/>
          <w:color w:val="auto"/>
        </w:rPr>
      </w:pPr>
      <w:r>
        <w:rPr>
          <w:sz w:val="1"/>
          <w:szCs w:val="1"/>
          <w:color w:val="auto"/>
        </w:rPr>
        <w:drawing>
          <wp:inline distT="0" distB="0" distL="0" distR="0">
            <wp:extent cx="147955" cy="155575"/>
            <wp:effectExtent l="0" t="0" r="0" b="0"/>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47955" cy="155575"/>
                    </a:xfrm>
                    <a:prstGeom prst="rect">
                      <a:avLst/>
                    </a:prstGeom>
                    <a:noFill/>
                    <a:ln>
                      <a:noFill/>
                    </a:ln>
                  </pic:spPr>
                </pic:pic>
              </a:graphicData>
            </a:graphic>
          </wp:inline>
        </w:drawing>
      </w:r>
      <w:r>
        <w:rPr>
          <w:rFonts w:ascii="Arial" w:cs="Arial" w:eastAsia="Arial" w:hAnsi="Arial"/>
          <w:sz w:val="14"/>
          <w:szCs w:val="14"/>
          <w:b w:val="1"/>
          <w:bCs w:val="1"/>
          <w:color w:val="auto"/>
        </w:rPr>
        <w:t xml:space="preserve"> THE BOARD OF DIRECTORS RECOMMENDS A VOTE “</w:t>
      </w:r>
      <w:r>
        <w:rPr>
          <w:rFonts w:ascii="Arial" w:cs="Arial" w:eastAsia="Arial" w:hAnsi="Arial"/>
          <w:sz w:val="14"/>
          <w:szCs w:val="14"/>
          <w:b w:val="1"/>
          <w:bCs w:val="1"/>
          <w:color w:val="7CBD3F"/>
        </w:rPr>
        <w:t>FOR</w:t>
      </w:r>
      <w:r>
        <w:rPr>
          <w:rFonts w:ascii="Arial" w:cs="Arial" w:eastAsia="Arial" w:hAnsi="Arial"/>
          <w:sz w:val="14"/>
          <w:szCs w:val="14"/>
          <w:b w:val="1"/>
          <w:bCs w:val="1"/>
          <w:color w:val="auto"/>
        </w:rPr>
        <w:t>” PROPOSAL NO. 3.</w:t>
      </w:r>
    </w:p>
    <w:p>
      <w:pPr>
        <w:spacing w:after="0" w:line="221"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auto"/>
        </w:rPr>
        <w:t xml:space="preserve">ULTRAGENYX PHARMACEUTICAL INC. </w:t>
      </w:r>
      <w:r>
        <w:rPr>
          <w:rFonts w:ascii="Arial" w:cs="Arial" w:eastAsia="Arial" w:hAnsi="Arial"/>
          <w:sz w:val="14"/>
          <w:szCs w:val="14"/>
          <w:color w:val="7CBD3F"/>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2025 Proxy Statement</w:t>
      </w:r>
      <w:r>
        <w:rPr>
          <w:rFonts w:ascii="Arial" w:cs="Arial" w:eastAsia="Arial" w:hAnsi="Arial"/>
          <w:sz w:val="14"/>
          <w:szCs w:val="14"/>
          <w:b w:val="1"/>
          <w:bCs w:val="1"/>
          <w:color w:val="auto"/>
        </w:rPr>
        <w:tab/>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142240</wp:posOffset>
            </wp:positionV>
            <wp:extent cx="7150735"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0735" cy="29845"/>
                    </a:xfrm>
                    <a:prstGeom prst="rect">
                      <a:avLst/>
                    </a:prstGeom>
                    <a:noFill/>
                  </pic:spPr>
                </pic:pic>
              </a:graphicData>
            </a:graphic>
          </wp:anchor>
        </w:drawing>
      </w:r>
    </w:p>
    <w:p>
      <w:pPr>
        <w:sectPr>
          <w:pgSz w:w="11900" w:h="16838" w:orient="portrait"/>
          <w:cols w:equalWidth="0" w:num="1">
            <w:col w:w="11260"/>
          </w:cols>
          <w:pgMar w:left="320" w:top="225" w:right="319" w:bottom="1440" w:gutter="0" w:footer="0" w:header="0"/>
        </w:sectPr>
      </w:pPr>
    </w:p>
    <w:bookmarkStart w:id="25" w:name="page26"/>
    <w:bookmarkEnd w:id="25"/>
    <w:p>
      <w:pPr>
        <w:spacing w:after="0"/>
        <w:rPr>
          <w:sz w:val="20"/>
          <w:szCs w:val="20"/>
          <w:color w:val="auto"/>
        </w:rPr>
      </w:pPr>
      <w:r>
        <w:rPr>
          <w:rFonts w:ascii="Arial" w:cs="Arial" w:eastAsia="Arial" w:hAnsi="Arial"/>
          <w:sz w:val="12"/>
          <w:szCs w:val="12"/>
          <w:b w:val="1"/>
          <w:bCs w:val="1"/>
          <w:u w:val="single" w:color="auto"/>
          <w:color w:val="0000EE"/>
        </w:rPr>
        <w:t>Back to Contents</w:t>
      </w:r>
    </w:p>
    <w:p>
      <w:pPr>
        <w:spacing w:after="0" w:line="128" w:lineRule="exact"/>
        <w:rPr>
          <w:sz w:val="20"/>
          <w:szCs w:val="20"/>
          <w:color w:val="auto"/>
        </w:rPr>
      </w:pPr>
    </w:p>
    <w:p>
      <w:pPr>
        <w:spacing w:after="0"/>
        <w:rPr>
          <w:sz w:val="20"/>
          <w:szCs w:val="20"/>
          <w:color w:val="auto"/>
        </w:rPr>
      </w:pPr>
      <w:r>
        <w:rPr>
          <w:rFonts w:ascii="Arial" w:cs="Arial" w:eastAsia="Arial" w:hAnsi="Arial"/>
          <w:sz w:val="31"/>
          <w:szCs w:val="31"/>
          <w:b w:val="1"/>
          <w:bCs w:val="1"/>
          <w:color w:val="7CBD3F"/>
        </w:rPr>
        <w:t>Report of the Audit Committee</w:t>
      </w:r>
    </w:p>
    <w:p>
      <w:pPr>
        <w:spacing w:after="0" w:line="352"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 xml:space="preserve">The Audit Committee evaluates auditor performance, manages relations with our independent registered public accounting firm, and evaluates policies and procedures relating to internal control systems. The Audit Committee operates under a written Audit Committee Charter that has been adopted by the Board, a copy of which is available on our website at </w:t>
      </w:r>
      <w:r>
        <w:rPr>
          <w:rFonts w:ascii="Arial" w:cs="Arial" w:eastAsia="Arial" w:hAnsi="Arial"/>
          <w:sz w:val="14"/>
          <w:szCs w:val="14"/>
          <w:i w:val="1"/>
          <w:iCs w:val="1"/>
          <w:color w:val="auto"/>
        </w:rPr>
        <w:t>www.ultragenyx.com.</w:t>
      </w:r>
      <w:r>
        <w:rPr>
          <w:rFonts w:ascii="Arial" w:cs="Arial" w:eastAsia="Arial" w:hAnsi="Arial"/>
          <w:sz w:val="14"/>
          <w:szCs w:val="14"/>
          <w:color w:val="auto"/>
        </w:rPr>
        <w:t xml:space="preserve"> All members of the Audit Committee currently meet the independence and qualification standards for Audit Committee membership set forth in the listing standards and rules of Nasdaq and the SEC.</w:t>
      </w:r>
    </w:p>
    <w:p>
      <w:pPr>
        <w:spacing w:after="0" w:line="132"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No member of the Audit Committee is a professional accountant or auditor. The members’ functions are not intended to duplicate or to certify the activities of management and the independent registered public accounting firm. The Audit Committee serves a board-level oversight role in which it provides advice, counsel, and direction to management and the auditors on the basis of the information it receives, discussions with management and the auditors, and the experience of the Audit Committee’s members in business, financial, and accounting matters.</w:t>
      </w:r>
    </w:p>
    <w:p>
      <w:pPr>
        <w:spacing w:after="0" w:line="132"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The Audit Committee oversees our financial reporting process on behalf of the Board. Our management has the primary responsibility for the financial statements and reporting process, including our system of internal controls over financial reporting. In fulfilling its oversight responsibilities, the Audit Committee reviewed and discussed with management the audited financial statements included in the Annual Report on Form 10-K for the fiscal year ended December 31, 2024. This review included a discussion of the quality and the acceptability of our financial reporting, including the nature and extent of disclosures in the financial statements and the accompanying notes.</w:t>
      </w:r>
    </w:p>
    <w:p>
      <w:pPr>
        <w:spacing w:after="0" w:line="132" w:lineRule="exact"/>
        <w:rPr>
          <w:sz w:val="20"/>
          <w:szCs w:val="20"/>
          <w:color w:val="auto"/>
        </w:rPr>
      </w:pPr>
    </w:p>
    <w:p>
      <w:pPr>
        <w:jc w:val="both"/>
        <w:spacing w:after="0" w:line="252" w:lineRule="auto"/>
        <w:rPr>
          <w:sz w:val="20"/>
          <w:szCs w:val="20"/>
          <w:color w:val="auto"/>
        </w:rPr>
      </w:pPr>
      <w:r>
        <w:rPr>
          <w:rFonts w:ascii="Arial" w:cs="Arial" w:eastAsia="Arial" w:hAnsi="Arial"/>
          <w:sz w:val="14"/>
          <w:szCs w:val="14"/>
          <w:color w:val="auto"/>
        </w:rPr>
        <w:t>The Audit Committee discussed with our independent registered public accounting firm, which is responsible for expressing an opinion on the conformity of the audited financial statements with generally accepted accounting principles in the U.S., their judgments as to the quality and the acceptability of our financial reporting and such other matters as are required to be discussed with the Committee pursuant to applicable rules of the PCAOB and the SEC. The Audit Committee has received the written disclosures and the letter from the independent registered public accounting firm required by the applicable rules of the PCAOB regarding the independent accountant’s communications with the Audit Committee concerning independence. The Audit Committee discussed with the independent registered public accounting firm their independence.</w:t>
      </w:r>
    </w:p>
    <w:p>
      <w:pPr>
        <w:spacing w:after="0" w:line="134"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In addition to the matters specified above, the Audit Committee discussed with our independent registered public accounting firm the overall scope, plans, and estimated costs of their audit. The Audit Committee met with the independent registered public accounting firm periodically, with and without management present, to discuss the results of the independent registered public accounting firm’s examinations, the overall quality of our financial reporting, and the independent registered public accounting firm’s reviews of the quarterly financial statements and drafts of the quarterly and annual reports.</w:t>
      </w:r>
    </w:p>
    <w:p>
      <w:pPr>
        <w:spacing w:after="0" w:line="132"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Based on the reviews and discussions referred to above, the Audit Committee recommended to the Board that our audited financial statements should be included in our Annual Report on Form 10-K for the fiscal year ended December 31, 2024.</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Submitted by the Audit Committee of the Board of Directors</w:t>
      </w:r>
    </w:p>
    <w:p>
      <w:pPr>
        <w:spacing w:after="0" w:line="16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Matthew K. Fust, Chairperson</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Michael Narachi</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Corsee D. Sanders, Ph.D.</w:t>
      </w:r>
    </w:p>
    <w:p>
      <w:pPr>
        <w:spacing w:after="0" w:line="151"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auto"/>
        </w:rPr>
        <w:t xml:space="preserve">ULTRAGENYX PHARMACEUTICAL INC. </w:t>
      </w:r>
      <w:r>
        <w:rPr>
          <w:rFonts w:ascii="Arial" w:cs="Arial" w:eastAsia="Arial" w:hAnsi="Arial"/>
          <w:sz w:val="14"/>
          <w:szCs w:val="14"/>
          <w:color w:val="7CBD3F"/>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2025 Proxy Statement</w:t>
      </w:r>
      <w:r>
        <w:rPr>
          <w:rFonts w:ascii="Arial" w:cs="Arial" w:eastAsia="Arial" w:hAnsi="Arial"/>
          <w:sz w:val="14"/>
          <w:szCs w:val="14"/>
          <w:b w:val="1"/>
          <w:bCs w:val="1"/>
          <w:color w:val="auto"/>
        </w:rPr>
        <w:tab/>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142240</wp:posOffset>
            </wp:positionV>
            <wp:extent cx="7150735"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0735" cy="29845"/>
                    </a:xfrm>
                    <a:prstGeom prst="rect">
                      <a:avLst/>
                    </a:prstGeom>
                    <a:noFill/>
                  </pic:spPr>
                </pic:pic>
              </a:graphicData>
            </a:graphic>
          </wp:anchor>
        </w:drawing>
      </w:r>
    </w:p>
    <w:p>
      <w:pPr>
        <w:sectPr>
          <w:pgSz w:w="11900" w:h="16838" w:orient="portrait"/>
          <w:cols w:equalWidth="0" w:num="1">
            <w:col w:w="11260"/>
          </w:cols>
          <w:pgMar w:left="320" w:top="225" w:right="319" w:bottom="1440" w:gutter="0" w:footer="0" w:header="0"/>
        </w:sectPr>
      </w:pPr>
    </w:p>
    <w:bookmarkStart w:id="26" w:name="page27"/>
    <w:bookmarkEnd w:id="26"/>
    <w:p>
      <w:pPr>
        <w:spacing w:after="0"/>
        <w:rPr>
          <w:sz w:val="20"/>
          <w:szCs w:val="20"/>
          <w:color w:val="auto"/>
        </w:rPr>
      </w:pPr>
      <w:r>
        <w:rPr>
          <w:rFonts w:ascii="Arial" w:cs="Arial" w:eastAsia="Arial" w:hAnsi="Arial"/>
          <w:sz w:val="12"/>
          <w:szCs w:val="12"/>
          <w:b w:val="1"/>
          <w:bCs w:val="1"/>
          <w:u w:val="single" w:color="auto"/>
          <w:color w:val="0000EE"/>
        </w:rPr>
        <w:t>Back to Contents</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733E79"/>
        </w:rPr>
        <w:t>PROPOSAL 4</w:t>
      </w:r>
    </w:p>
    <w:p>
      <w:pPr>
        <w:spacing w:after="0" w:line="23" w:lineRule="exact"/>
        <w:rPr>
          <w:sz w:val="20"/>
          <w:szCs w:val="20"/>
          <w:color w:val="auto"/>
        </w:rPr>
      </w:pPr>
    </w:p>
    <w:p>
      <w:pPr>
        <w:ind w:right="1560"/>
        <w:spacing w:after="0" w:line="270" w:lineRule="auto"/>
        <w:rPr>
          <w:sz w:val="20"/>
          <w:szCs w:val="20"/>
          <w:color w:val="auto"/>
        </w:rPr>
      </w:pPr>
      <w:r>
        <w:rPr>
          <w:rFonts w:ascii="Arial" w:cs="Arial" w:eastAsia="Arial" w:hAnsi="Arial"/>
          <w:sz w:val="31"/>
          <w:szCs w:val="31"/>
          <w:b w:val="1"/>
          <w:bCs w:val="1"/>
          <w:color w:val="7CBD3F"/>
        </w:rPr>
        <w:t>Advisory (Non-Binding) Vote to Approve the Compensation of our Named Executive Officers</w:t>
      </w:r>
    </w:p>
    <w:p>
      <w:pPr>
        <w:spacing w:after="0" w:line="3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Background</w:t>
      </w:r>
    </w:p>
    <w:p>
      <w:pPr>
        <w:spacing w:after="0" w:line="222" w:lineRule="exact"/>
        <w:rPr>
          <w:sz w:val="20"/>
          <w:szCs w:val="20"/>
          <w:color w:val="auto"/>
        </w:rPr>
      </w:pPr>
    </w:p>
    <w:p>
      <w:pPr>
        <w:jc w:val="both"/>
        <w:ind w:right="20"/>
        <w:spacing w:after="0" w:line="278" w:lineRule="auto"/>
        <w:rPr>
          <w:sz w:val="20"/>
          <w:szCs w:val="20"/>
          <w:color w:val="auto"/>
        </w:rPr>
      </w:pPr>
      <w:r>
        <w:rPr>
          <w:rFonts w:ascii="Arial" w:cs="Arial" w:eastAsia="Arial" w:hAnsi="Arial"/>
          <w:sz w:val="14"/>
          <w:szCs w:val="14"/>
          <w:color w:val="auto"/>
        </w:rPr>
        <w:t>Section 14A of the Exchange Act, as adopted pursuant to the Dodd-Frank Wall Street Reform and Consumer Protection Act (Dodd-Frank Act) requires that stockholders have the opportunity to cast an advisory (non-binding) vote to approve the compensation of our named executive officers (say-on-pay vote).</w:t>
      </w:r>
    </w:p>
    <w:p>
      <w:pPr>
        <w:spacing w:after="0" w:line="117"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The say-on-pay vote is a non-binding vote on the compensation of our “named executive officers,” as described in the Compensation Discussion and Analysis section, the tabular disclosure regarding such compensation, and the accompanying narrative disclosure, set forth in this Proxy Statement. The say-on-pay vote is not a vote on our general compensation policies, compensation of our Board, our compensation policies as they relate to risk management, or our pay ratio.</w:t>
      </w:r>
    </w:p>
    <w:p>
      <w:pPr>
        <w:spacing w:after="0" w:line="130" w:lineRule="exact"/>
        <w:rPr>
          <w:sz w:val="20"/>
          <w:szCs w:val="20"/>
          <w:color w:val="auto"/>
        </w:rPr>
      </w:pPr>
    </w:p>
    <w:p>
      <w:pPr>
        <w:jc w:val="both"/>
        <w:spacing w:after="0" w:line="252" w:lineRule="auto"/>
        <w:rPr>
          <w:sz w:val="20"/>
          <w:szCs w:val="20"/>
          <w:color w:val="auto"/>
        </w:rPr>
      </w:pPr>
      <w:r>
        <w:rPr>
          <w:rFonts w:ascii="Arial" w:cs="Arial" w:eastAsia="Arial" w:hAnsi="Arial"/>
          <w:sz w:val="14"/>
          <w:szCs w:val="14"/>
          <w:color w:val="auto"/>
        </w:rPr>
        <w:t>Our philosophy in setting compensation policies for executive officers has two fundamental objectives: (1) to attract and retain a highly-skilled team of talented executives and (2) to align our executives’ interests with those of our stockholders by rewarding short-term and long -term performance and tying compensation to increases in stockholder value. The Compensation Committee believes that executive compensation should be directly linked to performance, including continuous improvements in corporate performance and accomplishments of our strategic plan that are expected to increase stockholder value. The Compensation Discussion and Analysis section starting on page 37 provides a more detailed discussion of the executive compensation program and compensation philosophy.</w:t>
      </w:r>
    </w:p>
    <w:p>
      <w:pPr>
        <w:spacing w:after="0" w:line="134"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The vote under this Proposal No. 4 is advisory and therefore not binding on us, the Board, or our Compensation Committee. However, our Board, including our Compensation Committee, values the opinions of our stockholders and, to the extent there is any significant vote against this proposal, we will consider our stockholders’ concerns and evaluate what actions may be appropriate to address those concerns. The Dodd-Frank Act requires us to hold the say-on-pay vote at least once every three years, and we have determined to hold a say-on-pay vote every year. Unless the Board modifies its policy on the frequency of holding say-on-pay advisory votes, the next say-on-pay vote will occur in 2026.</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color w:val="auto"/>
        </w:rPr>
        <w:t>Stockholders will be asked at the Annual Meeting to approve the following resolution pursuant to this Proposal No. 4:</w:t>
      </w:r>
    </w:p>
    <w:p>
      <w:pPr>
        <w:spacing w:after="0" w:line="165"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RESOLVED, that the stockholders of Ultragenyx Pharmaceutical Inc. approve, on an advisory basis, the compensation of the Company’s “named executive officers” (as defined in the Company’s definitive proxy statement for the 2025 Annual Meeting of Stockholders (the “Proxy Statement”)), as such compensation is described in the Compensation Discussion and Analysis section, the tabular disclosure regarding such compensation, and the accompanying narrative disclosure, set forth in the Company’s Proxy Statement.</w:t>
      </w:r>
    </w:p>
    <w:p>
      <w:pPr>
        <w:spacing w:after="0" w:line="2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Vote Required</w:t>
      </w:r>
    </w:p>
    <w:p>
      <w:pPr>
        <w:spacing w:after="0" w:line="222" w:lineRule="exact"/>
        <w:rPr>
          <w:sz w:val="20"/>
          <w:szCs w:val="20"/>
          <w:color w:val="auto"/>
        </w:rPr>
      </w:pPr>
    </w:p>
    <w:p>
      <w:pPr>
        <w:jc w:val="both"/>
        <w:ind w:right="20"/>
        <w:spacing w:after="0" w:line="278" w:lineRule="auto"/>
        <w:rPr>
          <w:sz w:val="20"/>
          <w:szCs w:val="20"/>
          <w:color w:val="auto"/>
        </w:rPr>
      </w:pPr>
      <w:r>
        <w:rPr>
          <w:rFonts w:ascii="Arial" w:cs="Arial" w:eastAsia="Arial" w:hAnsi="Arial"/>
          <w:sz w:val="14"/>
          <w:szCs w:val="14"/>
          <w:color w:val="auto"/>
        </w:rPr>
        <w:t>Approval of this resolution requires the affirmative vote of a majority of the votes cast on this proposal. Because abstentions and broker non-votes, if any, are not counted as votes cast for or against this resolution, they will have no effect on the outcome of the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7150735" cy="24447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0735" cy="244475"/>
                    </a:xfrm>
                    <a:prstGeom prst="rect">
                      <a:avLst/>
                    </a:prstGeom>
                    <a:noFill/>
                  </pic:spPr>
                </pic:pic>
              </a:graphicData>
            </a:graphic>
          </wp:anchor>
        </w:drawing>
      </w:r>
    </w:p>
    <w:p>
      <w:pPr>
        <w:spacing w:after="0" w:line="149" w:lineRule="exact"/>
        <w:rPr>
          <w:sz w:val="20"/>
          <w:szCs w:val="20"/>
          <w:color w:val="auto"/>
        </w:rPr>
      </w:pPr>
    </w:p>
    <w:p>
      <w:pPr>
        <w:ind w:left="120"/>
        <w:spacing w:after="0"/>
        <w:rPr>
          <w:sz w:val="20"/>
          <w:szCs w:val="20"/>
          <w:color w:val="auto"/>
        </w:rPr>
      </w:pPr>
      <w:r>
        <w:rPr>
          <w:sz w:val="1"/>
          <w:szCs w:val="1"/>
          <w:color w:val="auto"/>
        </w:rPr>
        <w:drawing>
          <wp:inline distT="0" distB="0" distL="0" distR="0">
            <wp:extent cx="147955" cy="155575"/>
            <wp:effectExtent l="0" t="0" r="0" b="0"/>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47955" cy="155575"/>
                    </a:xfrm>
                    <a:prstGeom prst="rect">
                      <a:avLst/>
                    </a:prstGeom>
                    <a:noFill/>
                    <a:ln>
                      <a:noFill/>
                    </a:ln>
                  </pic:spPr>
                </pic:pic>
              </a:graphicData>
            </a:graphic>
          </wp:inline>
        </w:drawing>
      </w:r>
      <w:r>
        <w:rPr>
          <w:rFonts w:ascii="Arial" w:cs="Arial" w:eastAsia="Arial" w:hAnsi="Arial"/>
          <w:sz w:val="14"/>
          <w:szCs w:val="14"/>
          <w:b w:val="1"/>
          <w:bCs w:val="1"/>
          <w:color w:val="auto"/>
        </w:rPr>
        <w:t xml:space="preserve"> THE BOARD OF DIRECTORS RECOMMENDS A VOTE “</w:t>
      </w:r>
      <w:r>
        <w:rPr>
          <w:rFonts w:ascii="Arial" w:cs="Arial" w:eastAsia="Arial" w:hAnsi="Arial"/>
          <w:sz w:val="14"/>
          <w:szCs w:val="14"/>
          <w:b w:val="1"/>
          <w:bCs w:val="1"/>
          <w:color w:val="7CBD3F"/>
        </w:rPr>
        <w:t>FOR</w:t>
      </w:r>
      <w:r>
        <w:rPr>
          <w:rFonts w:ascii="Arial" w:cs="Arial" w:eastAsia="Arial" w:hAnsi="Arial"/>
          <w:sz w:val="14"/>
          <w:szCs w:val="14"/>
          <w:b w:val="1"/>
          <w:bCs w:val="1"/>
          <w:color w:val="auto"/>
        </w:rPr>
        <w:t>” PROPOSAL NO. 4.</w:t>
      </w:r>
    </w:p>
    <w:p>
      <w:pPr>
        <w:spacing w:after="0" w:line="221"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auto"/>
        </w:rPr>
        <w:t xml:space="preserve">ULTRAGENYX PHARMACEUTICAL INC. </w:t>
      </w:r>
      <w:r>
        <w:rPr>
          <w:rFonts w:ascii="Arial" w:cs="Arial" w:eastAsia="Arial" w:hAnsi="Arial"/>
          <w:sz w:val="14"/>
          <w:szCs w:val="14"/>
          <w:color w:val="7CBD3F"/>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2025 Proxy Statement</w:t>
      </w:r>
      <w:r>
        <w:rPr>
          <w:rFonts w:ascii="Arial" w:cs="Arial" w:eastAsia="Arial" w:hAnsi="Arial"/>
          <w:sz w:val="14"/>
          <w:szCs w:val="14"/>
          <w:b w:val="1"/>
          <w:bCs w:val="1"/>
          <w:color w:val="auto"/>
        </w:rPr>
        <w:tab/>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142240</wp:posOffset>
            </wp:positionV>
            <wp:extent cx="7150735"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0735" cy="29845"/>
                    </a:xfrm>
                    <a:prstGeom prst="rect">
                      <a:avLst/>
                    </a:prstGeom>
                    <a:noFill/>
                  </pic:spPr>
                </pic:pic>
              </a:graphicData>
            </a:graphic>
          </wp:anchor>
        </w:drawing>
      </w:r>
    </w:p>
    <w:p>
      <w:pPr>
        <w:sectPr>
          <w:pgSz w:w="11900" w:h="16838" w:orient="portrait"/>
          <w:cols w:equalWidth="0" w:num="1">
            <w:col w:w="11260"/>
          </w:cols>
          <w:pgMar w:left="320" w:top="225" w:right="319" w:bottom="1440" w:gutter="0" w:footer="0" w:header="0"/>
        </w:sectPr>
      </w:pPr>
    </w:p>
    <w:bookmarkStart w:id="27" w:name="page28"/>
    <w:bookmarkEnd w:id="27"/>
    <w:p>
      <w:pPr>
        <w:ind w:left="7"/>
        <w:spacing w:after="0"/>
        <w:rPr>
          <w:sz w:val="20"/>
          <w:szCs w:val="20"/>
          <w:color w:val="auto"/>
        </w:rPr>
      </w:pPr>
      <w:r>
        <w:rPr>
          <w:rFonts w:ascii="Arial" w:cs="Arial" w:eastAsia="Arial" w:hAnsi="Arial"/>
          <w:sz w:val="12"/>
          <w:szCs w:val="12"/>
          <w:b w:val="1"/>
          <w:bCs w:val="1"/>
          <w:u w:val="single" w:color="auto"/>
          <w:color w:val="0000EE"/>
        </w:rPr>
        <w:t>Back to Contents</w:t>
      </w:r>
    </w:p>
    <w:p>
      <w:pPr>
        <w:spacing w:after="0" w:line="128" w:lineRule="exact"/>
        <w:rPr>
          <w:sz w:val="20"/>
          <w:szCs w:val="20"/>
          <w:color w:val="auto"/>
        </w:rPr>
      </w:pPr>
    </w:p>
    <w:p>
      <w:pPr>
        <w:ind w:left="7"/>
        <w:spacing w:after="0"/>
        <w:rPr>
          <w:sz w:val="20"/>
          <w:szCs w:val="20"/>
          <w:color w:val="auto"/>
        </w:rPr>
      </w:pPr>
      <w:r>
        <w:rPr>
          <w:rFonts w:ascii="Arial" w:cs="Arial" w:eastAsia="Arial" w:hAnsi="Arial"/>
          <w:sz w:val="31"/>
          <w:szCs w:val="31"/>
          <w:b w:val="1"/>
          <w:bCs w:val="1"/>
          <w:color w:val="7CBD3F"/>
        </w:rPr>
        <w:t>Corporate Governance</w:t>
      </w:r>
    </w:p>
    <w:p>
      <w:pPr>
        <w:spacing w:after="0" w:line="344" w:lineRule="exact"/>
        <w:rPr>
          <w:sz w:val="20"/>
          <w:szCs w:val="20"/>
          <w:color w:val="auto"/>
        </w:rPr>
      </w:pPr>
    </w:p>
    <w:p>
      <w:pPr>
        <w:ind w:left="7"/>
        <w:spacing w:after="0"/>
        <w:rPr>
          <w:sz w:val="20"/>
          <w:szCs w:val="20"/>
          <w:color w:val="auto"/>
        </w:rPr>
      </w:pPr>
      <w:r>
        <w:rPr>
          <w:rFonts w:ascii="Arial" w:cs="Arial" w:eastAsia="Arial" w:hAnsi="Arial"/>
          <w:sz w:val="22"/>
          <w:szCs w:val="22"/>
          <w:b w:val="1"/>
          <w:bCs w:val="1"/>
          <w:color w:val="auto"/>
        </w:rPr>
        <w:t>Director Independence</w:t>
      </w:r>
    </w:p>
    <w:p>
      <w:pPr>
        <w:spacing w:after="0" w:line="175" w:lineRule="exact"/>
        <w:rPr>
          <w:sz w:val="20"/>
          <w:szCs w:val="20"/>
          <w:color w:val="auto"/>
        </w:rPr>
      </w:pPr>
    </w:p>
    <w:p>
      <w:pPr>
        <w:jc w:val="both"/>
        <w:ind w:left="7"/>
        <w:spacing w:after="0" w:line="249" w:lineRule="auto"/>
        <w:rPr>
          <w:sz w:val="20"/>
          <w:szCs w:val="20"/>
          <w:color w:val="auto"/>
        </w:rPr>
      </w:pPr>
      <w:r>
        <w:rPr>
          <w:rFonts w:ascii="Arial" w:cs="Arial" w:eastAsia="Arial" w:hAnsi="Arial"/>
          <w:sz w:val="14"/>
          <w:szCs w:val="14"/>
          <w:color w:val="auto"/>
        </w:rPr>
        <w:t>Our Board currently consists of eight members. Our Board has determined that Dr. Dunsire, Mr. Fust, Mr. Narachi, Dr. Ray, Dr. Sanders, Dr. Suliman, and Mr. Welch qualify as “independent” directors in accordance with Nasdaq listing requirements and rules. Dr. Kakkis is not considered independent because he is an employee of the Company. Under Nasdaq rules, the Board’s determination of a director’s independence considers objective tests, such as whether the director is, or has been within the last three years, an employee of the Company and whether the director or any of his or her family members has engaged in certain types of business dealings with us. Under Nasdaq rules, our Board also evaluates whether any relationships exist that, in the opinion of our Board, would interfere with the exercise of independent judgment in carrying out the responsibilities of a director. In making these independence determinations, our Board reviewed and discussed information provided by the directors and us with regard to each director’s business and personal activities and relationships as they may relate to us and our management. There are no family relationships among any of our directors or executive officers.</w:t>
      </w:r>
    </w:p>
    <w:p>
      <w:pPr>
        <w:spacing w:after="0" w:line="291" w:lineRule="exact"/>
        <w:rPr>
          <w:sz w:val="20"/>
          <w:szCs w:val="20"/>
          <w:color w:val="auto"/>
        </w:rPr>
      </w:pPr>
    </w:p>
    <w:p>
      <w:pPr>
        <w:ind w:left="7"/>
        <w:spacing w:after="0"/>
        <w:rPr>
          <w:sz w:val="20"/>
          <w:szCs w:val="20"/>
          <w:color w:val="auto"/>
        </w:rPr>
      </w:pPr>
      <w:r>
        <w:rPr>
          <w:rFonts w:ascii="Arial" w:cs="Arial" w:eastAsia="Arial" w:hAnsi="Arial"/>
          <w:sz w:val="22"/>
          <w:szCs w:val="22"/>
          <w:b w:val="1"/>
          <w:bCs w:val="1"/>
          <w:color w:val="auto"/>
        </w:rPr>
        <w:t>Director Overboarding Policy</w:t>
      </w:r>
    </w:p>
    <w:p>
      <w:pPr>
        <w:spacing w:after="0" w:line="175" w:lineRule="exact"/>
        <w:rPr>
          <w:sz w:val="20"/>
          <w:szCs w:val="20"/>
          <w:color w:val="auto"/>
        </w:rPr>
      </w:pPr>
    </w:p>
    <w:p>
      <w:pPr>
        <w:jc w:val="both"/>
        <w:ind w:left="7"/>
        <w:spacing w:after="0" w:line="278" w:lineRule="auto"/>
        <w:rPr>
          <w:sz w:val="20"/>
          <w:szCs w:val="20"/>
          <w:color w:val="auto"/>
        </w:rPr>
      </w:pPr>
      <w:r>
        <w:rPr>
          <w:rFonts w:ascii="Arial" w:cs="Arial" w:eastAsia="Arial" w:hAnsi="Arial"/>
          <w:sz w:val="14"/>
          <w:szCs w:val="14"/>
          <w:color w:val="auto"/>
        </w:rPr>
        <w:t>Our Board believes that all members of the Board must have sufficient time to focus on his or her Board duties. Our Corporate Governance Guidelines limit the total number of public company boards that a director may serve as follows:</w:t>
      </w:r>
    </w:p>
    <w:p>
      <w:pPr>
        <w:spacing w:after="0" w:line="119" w:lineRule="exact"/>
        <w:rPr>
          <w:sz w:val="20"/>
          <w:szCs w:val="20"/>
          <w:color w:val="auto"/>
        </w:rPr>
      </w:pPr>
    </w:p>
    <w:p>
      <w:pPr>
        <w:ind w:left="147" w:hanging="147"/>
        <w:spacing w:after="0"/>
        <w:tabs>
          <w:tab w:leader="none" w:pos="147" w:val="left"/>
        </w:tabs>
        <w:numPr>
          <w:ilvl w:val="0"/>
          <w:numId w:val="8"/>
        </w:numPr>
        <w:rPr>
          <w:rFonts w:ascii="Arial" w:cs="Arial" w:eastAsia="Arial" w:hAnsi="Arial"/>
          <w:sz w:val="14"/>
          <w:szCs w:val="14"/>
          <w:color w:val="7CBD3F"/>
        </w:rPr>
      </w:pPr>
      <w:r>
        <w:rPr>
          <w:rFonts w:ascii="Arial" w:cs="Arial" w:eastAsia="Arial" w:hAnsi="Arial"/>
          <w:sz w:val="14"/>
          <w:szCs w:val="14"/>
          <w:i w:val="1"/>
          <w:iCs w:val="1"/>
          <w:color w:val="auto"/>
        </w:rPr>
        <w:t>Director who is not a public company Chief Executive Officer: five total public company boards</w:t>
      </w:r>
    </w:p>
    <w:p>
      <w:pPr>
        <w:spacing w:after="0" w:line="72" w:lineRule="exact"/>
        <w:rPr>
          <w:rFonts w:ascii="Arial" w:cs="Arial" w:eastAsia="Arial" w:hAnsi="Arial"/>
          <w:sz w:val="14"/>
          <w:szCs w:val="14"/>
          <w:color w:val="7CBD3F"/>
        </w:rPr>
      </w:pPr>
    </w:p>
    <w:p>
      <w:pPr>
        <w:ind w:left="147" w:hanging="147"/>
        <w:spacing w:after="0"/>
        <w:tabs>
          <w:tab w:leader="none" w:pos="147" w:val="left"/>
        </w:tabs>
        <w:numPr>
          <w:ilvl w:val="0"/>
          <w:numId w:val="8"/>
        </w:numPr>
        <w:rPr>
          <w:rFonts w:ascii="Arial" w:cs="Arial" w:eastAsia="Arial" w:hAnsi="Arial"/>
          <w:sz w:val="14"/>
          <w:szCs w:val="14"/>
          <w:color w:val="7CBD3F"/>
        </w:rPr>
      </w:pPr>
      <w:r>
        <w:rPr>
          <w:rFonts w:ascii="Arial" w:cs="Arial" w:eastAsia="Arial" w:hAnsi="Arial"/>
          <w:sz w:val="14"/>
          <w:szCs w:val="14"/>
          <w:i w:val="1"/>
          <w:iCs w:val="1"/>
          <w:color w:val="auto"/>
        </w:rPr>
        <w:t>Director who serves as a Chief Executive Officer of a public company: three total public company boards</w:t>
      </w:r>
    </w:p>
    <w:p>
      <w:pPr>
        <w:spacing w:after="0" w:line="163" w:lineRule="exact"/>
        <w:rPr>
          <w:sz w:val="20"/>
          <w:szCs w:val="20"/>
          <w:color w:val="auto"/>
        </w:rPr>
      </w:pPr>
    </w:p>
    <w:p>
      <w:pPr>
        <w:jc w:val="both"/>
        <w:ind w:left="7" w:right="20"/>
        <w:spacing w:after="0" w:line="278" w:lineRule="auto"/>
        <w:rPr>
          <w:sz w:val="20"/>
          <w:szCs w:val="20"/>
          <w:color w:val="auto"/>
        </w:rPr>
      </w:pPr>
      <w:r>
        <w:rPr>
          <w:rFonts w:ascii="Arial" w:cs="Arial" w:eastAsia="Arial" w:hAnsi="Arial"/>
          <w:sz w:val="14"/>
          <w:szCs w:val="14"/>
          <w:color w:val="auto"/>
        </w:rPr>
        <w:t>The Nominating and Corporate Governance Committee regularly assesses compliance with this policy as part of the director nomination process. All of our directors are currently in compliance with our policy.</w:t>
      </w:r>
    </w:p>
    <w:p>
      <w:pPr>
        <w:spacing w:after="0" w:line="260" w:lineRule="exact"/>
        <w:rPr>
          <w:sz w:val="20"/>
          <w:szCs w:val="20"/>
          <w:color w:val="auto"/>
        </w:rPr>
      </w:pPr>
    </w:p>
    <w:p>
      <w:pPr>
        <w:ind w:left="7"/>
        <w:spacing w:after="0"/>
        <w:rPr>
          <w:sz w:val="20"/>
          <w:szCs w:val="20"/>
          <w:color w:val="auto"/>
        </w:rPr>
      </w:pPr>
      <w:r>
        <w:rPr>
          <w:rFonts w:ascii="Arial" w:cs="Arial" w:eastAsia="Arial" w:hAnsi="Arial"/>
          <w:sz w:val="22"/>
          <w:szCs w:val="22"/>
          <w:b w:val="1"/>
          <w:bCs w:val="1"/>
          <w:color w:val="auto"/>
        </w:rPr>
        <w:t>Global Code of Conduct</w:t>
      </w:r>
    </w:p>
    <w:p>
      <w:pPr>
        <w:spacing w:after="0" w:line="175" w:lineRule="exact"/>
        <w:rPr>
          <w:sz w:val="20"/>
          <w:szCs w:val="20"/>
          <w:color w:val="auto"/>
        </w:rPr>
      </w:pPr>
    </w:p>
    <w:p>
      <w:pPr>
        <w:jc w:val="both"/>
        <w:ind w:left="7"/>
        <w:spacing w:after="0" w:line="252" w:lineRule="auto"/>
        <w:rPr>
          <w:sz w:val="20"/>
          <w:szCs w:val="20"/>
          <w:color w:val="auto"/>
        </w:rPr>
      </w:pPr>
      <w:r>
        <w:rPr>
          <w:rFonts w:ascii="Arial" w:cs="Arial" w:eastAsia="Arial" w:hAnsi="Arial"/>
          <w:sz w:val="14"/>
          <w:szCs w:val="14"/>
          <w:color w:val="auto"/>
        </w:rPr>
        <w:t xml:space="preserve">We have adopted a Global Code of Conduct that applies to all of our employees, officers, and directors, including our principal executive officer, principal financial officer, principal accounting officer or controller, or persons performing similar functions. Our Global Code of Conduct is available on our website, </w:t>
      </w:r>
      <w:r>
        <w:rPr>
          <w:rFonts w:ascii="Arial" w:cs="Arial" w:eastAsia="Arial" w:hAnsi="Arial"/>
          <w:sz w:val="14"/>
          <w:szCs w:val="14"/>
          <w:i w:val="1"/>
          <w:iCs w:val="1"/>
          <w:color w:val="auto"/>
        </w:rPr>
        <w:t>www.ultragenyx.com,</w:t>
      </w:r>
      <w:r>
        <w:rPr>
          <w:rFonts w:ascii="Arial" w:cs="Arial" w:eastAsia="Arial" w:hAnsi="Arial"/>
          <w:sz w:val="14"/>
          <w:szCs w:val="14"/>
          <w:color w:val="auto"/>
        </w:rPr>
        <w:t xml:space="preserve"> under the “Corporate Governance” subsection of the “Investors” tab. We intend to promptly disclose on our website any future changes or amendments to, or waivers of, to the Global Code of Conduct that we are required to disclose under applicable rules. Our Board is responsible for applying and interpreting the Global Code of Conduct in situations where questions are presented to it.</w:t>
      </w:r>
    </w:p>
    <w:p>
      <w:pPr>
        <w:spacing w:after="0" w:line="289" w:lineRule="exact"/>
        <w:rPr>
          <w:sz w:val="20"/>
          <w:szCs w:val="20"/>
          <w:color w:val="auto"/>
        </w:rPr>
      </w:pPr>
    </w:p>
    <w:p>
      <w:pPr>
        <w:ind w:left="7"/>
        <w:spacing w:after="0"/>
        <w:rPr>
          <w:sz w:val="20"/>
          <w:szCs w:val="20"/>
          <w:color w:val="auto"/>
        </w:rPr>
      </w:pPr>
      <w:r>
        <w:rPr>
          <w:rFonts w:ascii="Arial" w:cs="Arial" w:eastAsia="Arial" w:hAnsi="Arial"/>
          <w:sz w:val="22"/>
          <w:szCs w:val="22"/>
          <w:b w:val="1"/>
          <w:bCs w:val="1"/>
          <w:color w:val="auto"/>
        </w:rPr>
        <w:t>Insider Trading, Anti-Hedging and Anti-Pledging Policy</w:t>
      </w:r>
    </w:p>
    <w:p>
      <w:pPr>
        <w:spacing w:after="0" w:line="175" w:lineRule="exact"/>
        <w:rPr>
          <w:sz w:val="20"/>
          <w:szCs w:val="20"/>
          <w:color w:val="auto"/>
        </w:rPr>
      </w:pPr>
    </w:p>
    <w:p>
      <w:pPr>
        <w:jc w:val="both"/>
        <w:ind w:left="7"/>
        <w:spacing w:after="0" w:line="260" w:lineRule="auto"/>
        <w:rPr>
          <w:sz w:val="20"/>
          <w:szCs w:val="20"/>
          <w:color w:val="auto"/>
        </w:rPr>
      </w:pPr>
      <w:r>
        <w:rPr>
          <w:rFonts w:ascii="Arial" w:cs="Arial" w:eastAsia="Arial" w:hAnsi="Arial"/>
          <w:sz w:val="14"/>
          <w:szCs w:val="14"/>
          <w:color w:val="auto"/>
        </w:rPr>
        <w:t>We have adopted insider trading policies and procedures governing the purchase, sale and other transactions in Ultragenyx securities by our directors, officers and employees, and other covered persons, or the Company itself, that we believe are reasonably designed to promote compliance with insider trading laws, rules and regulations, and Nasdaq listing rules, as applicable.</w:t>
      </w:r>
    </w:p>
    <w:p>
      <w:pPr>
        <w:spacing w:after="0" w:line="130" w:lineRule="exact"/>
        <w:rPr>
          <w:sz w:val="20"/>
          <w:szCs w:val="20"/>
          <w:color w:val="auto"/>
        </w:rPr>
      </w:pPr>
    </w:p>
    <w:p>
      <w:pPr>
        <w:jc w:val="both"/>
        <w:ind w:left="7"/>
        <w:spacing w:after="0" w:line="260" w:lineRule="auto"/>
        <w:rPr>
          <w:sz w:val="20"/>
          <w:szCs w:val="20"/>
          <w:color w:val="auto"/>
        </w:rPr>
      </w:pPr>
      <w:r>
        <w:rPr>
          <w:rFonts w:ascii="Arial" w:cs="Arial" w:eastAsia="Arial" w:hAnsi="Arial"/>
          <w:sz w:val="14"/>
          <w:szCs w:val="14"/>
          <w:color w:val="auto"/>
        </w:rPr>
        <w:t>As part of these policies and procedures, we prohibit our directors, officers, employees and other covered persons from engaging in (a) short-term trading; (b) short sales; (c) transactions involving publicly traded options or other derivatives, such as trading in puts or calls with respect to Company securities; (d) hedging transactions; and (e) pledging Ultragenyx securities as collateral for a loan.</w:t>
      </w:r>
    </w:p>
    <w:p>
      <w:pPr>
        <w:spacing w:after="0" w:line="285" w:lineRule="exact"/>
        <w:rPr>
          <w:sz w:val="20"/>
          <w:szCs w:val="20"/>
          <w:color w:val="auto"/>
        </w:rPr>
      </w:pPr>
    </w:p>
    <w:p>
      <w:pPr>
        <w:ind w:left="7"/>
        <w:spacing w:after="0"/>
        <w:rPr>
          <w:sz w:val="20"/>
          <w:szCs w:val="20"/>
          <w:color w:val="auto"/>
        </w:rPr>
      </w:pPr>
      <w:r>
        <w:rPr>
          <w:rFonts w:ascii="Arial" w:cs="Arial" w:eastAsia="Arial" w:hAnsi="Arial"/>
          <w:sz w:val="22"/>
          <w:szCs w:val="22"/>
          <w:b w:val="1"/>
          <w:bCs w:val="1"/>
          <w:color w:val="auto"/>
        </w:rPr>
        <w:t>Stockholder Communications</w:t>
      </w:r>
    </w:p>
    <w:p>
      <w:pPr>
        <w:spacing w:after="0" w:line="175" w:lineRule="exact"/>
        <w:rPr>
          <w:sz w:val="20"/>
          <w:szCs w:val="20"/>
          <w:color w:val="auto"/>
        </w:rPr>
      </w:pPr>
    </w:p>
    <w:p>
      <w:pPr>
        <w:jc w:val="both"/>
        <w:ind w:left="7"/>
        <w:spacing w:after="0" w:line="250" w:lineRule="auto"/>
        <w:rPr>
          <w:sz w:val="20"/>
          <w:szCs w:val="20"/>
          <w:color w:val="auto"/>
        </w:rPr>
      </w:pPr>
      <w:r>
        <w:rPr>
          <w:rFonts w:ascii="Arial" w:cs="Arial" w:eastAsia="Arial" w:hAnsi="Arial"/>
          <w:sz w:val="14"/>
          <w:szCs w:val="14"/>
          <w:color w:val="auto"/>
        </w:rPr>
        <w:t>Generally, stockholders who have questions or concerns regarding the Company should contact our Investor Relations department at (844) 280-7681. However, any stockholders who wish to address questions regarding our business or affairs directly with the Board, or any individual director, should direct his or her questions in writing to the Chairman of the Board, c/o Ultragenyx Pharmaceutical Inc., 60 Leveroni Court, Novato, California 94949. At the request of the Chairman of the Board, the Corporate Secretary reviews all correspondence addressed to the Chairman, organizes the correspondence, and provides it to the Chairman or to individual directors, as appropriate. Our independent directors have requested that certain items that are inappropriate or unrelated to the Board’s duties, such as spam, junk mail, mass mailings, solicitations, resumes, and job inquiries not be provided to directors.</w:t>
      </w:r>
    </w:p>
    <w:p>
      <w:pPr>
        <w:spacing w:after="0" w:line="136"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auto"/>
        </w:rPr>
        <w:t xml:space="preserve">ULTRAGENYX PHARMACEUTICAL INC. </w:t>
      </w:r>
      <w:r>
        <w:rPr>
          <w:rFonts w:ascii="Arial" w:cs="Arial" w:eastAsia="Arial" w:hAnsi="Arial"/>
          <w:sz w:val="14"/>
          <w:szCs w:val="14"/>
          <w:color w:val="7CBD3F"/>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2025 Proxy Statement</w:t>
      </w:r>
      <w:r>
        <w:rPr>
          <w:rFonts w:ascii="Arial" w:cs="Arial" w:eastAsia="Arial" w:hAnsi="Arial"/>
          <w:sz w:val="14"/>
          <w:szCs w:val="14"/>
          <w:b w:val="1"/>
          <w:bCs w:val="1"/>
          <w:color w:val="auto"/>
        </w:rPr>
        <w:tab/>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150735"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0735" cy="29845"/>
                    </a:xfrm>
                    <a:prstGeom prst="rect">
                      <a:avLst/>
                    </a:prstGeom>
                    <a:noFill/>
                  </pic:spPr>
                </pic:pic>
              </a:graphicData>
            </a:graphic>
          </wp:anchor>
        </w:drawing>
      </w:r>
    </w:p>
    <w:p>
      <w:pPr>
        <w:sectPr>
          <w:pgSz w:w="11900" w:h="16838" w:orient="portrait"/>
          <w:cols w:equalWidth="0" w:num="1">
            <w:col w:w="11267"/>
          </w:cols>
          <w:pgMar w:left="313" w:top="225" w:right="319" w:bottom="1440" w:gutter="0" w:footer="0" w:header="0"/>
        </w:sectPr>
      </w:pPr>
    </w:p>
    <w:bookmarkStart w:id="28" w:name="page29"/>
    <w:bookmarkEnd w:id="28"/>
    <w:p>
      <w:pPr>
        <w:spacing w:after="0"/>
        <w:rPr>
          <w:sz w:val="20"/>
          <w:szCs w:val="20"/>
          <w:color w:val="auto"/>
        </w:rPr>
      </w:pPr>
      <w:r>
        <w:rPr>
          <w:rFonts w:ascii="Arial" w:cs="Arial" w:eastAsia="Arial" w:hAnsi="Arial"/>
          <w:sz w:val="12"/>
          <w:szCs w:val="12"/>
          <w:b w:val="1"/>
          <w:bCs w:val="1"/>
          <w:u w:val="single" w:color="auto"/>
          <w:color w:val="0000EE"/>
        </w:rPr>
        <w:t>Back to Contents</w:t>
      </w:r>
    </w:p>
    <w:p>
      <w:pPr>
        <w:spacing w:after="0" w:line="128" w:lineRule="exact"/>
        <w:rPr>
          <w:sz w:val="20"/>
          <w:szCs w:val="20"/>
          <w:color w:val="auto"/>
        </w:rPr>
      </w:pPr>
    </w:p>
    <w:p>
      <w:pPr>
        <w:spacing w:after="0"/>
        <w:rPr>
          <w:sz w:val="20"/>
          <w:szCs w:val="20"/>
          <w:color w:val="auto"/>
        </w:rPr>
      </w:pPr>
      <w:r>
        <w:rPr>
          <w:rFonts w:ascii="Arial" w:cs="Arial" w:eastAsia="Arial" w:hAnsi="Arial"/>
          <w:sz w:val="31"/>
          <w:szCs w:val="31"/>
          <w:b w:val="1"/>
          <w:bCs w:val="1"/>
          <w:color w:val="7CBD3F"/>
        </w:rPr>
        <w:t>Board of Directors and Committees</w:t>
      </w:r>
    </w:p>
    <w:p>
      <w:pPr>
        <w:spacing w:after="0" w:line="352" w:lineRule="exact"/>
        <w:rPr>
          <w:sz w:val="20"/>
          <w:szCs w:val="20"/>
          <w:color w:val="auto"/>
        </w:rPr>
      </w:pPr>
    </w:p>
    <w:p>
      <w:pPr>
        <w:jc w:val="both"/>
        <w:ind w:right="20"/>
        <w:spacing w:after="0" w:line="278" w:lineRule="auto"/>
        <w:rPr>
          <w:sz w:val="20"/>
          <w:szCs w:val="20"/>
          <w:color w:val="auto"/>
        </w:rPr>
      </w:pPr>
      <w:r>
        <w:rPr>
          <w:rFonts w:ascii="Arial" w:cs="Arial" w:eastAsia="Arial" w:hAnsi="Arial"/>
          <w:sz w:val="14"/>
          <w:szCs w:val="14"/>
          <w:color w:val="auto"/>
        </w:rPr>
        <w:t>During fiscal 2024, our Board met four times. Each of our current directors attended 100% of the aggregate meetings of the Board and meetings of the committees of which the director was a member in fiscal 2024 held during the period when the director served on the Board or the committees, as applicable.</w:t>
      </w:r>
    </w:p>
    <w:p>
      <w:pPr>
        <w:spacing w:after="0" w:line="117"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The Board has a standing Audit Committee, Compensation Committee, Nominating and Corporate Governance Committee, and Research and Development Committee. All members of the Audit, Compensation, and Nominating and Corporate Governance Committees are non-employee directors whom the Board has determined are independent under applicable independence standards (including the heightened independence standards that apply to Audit Committee and Compensation Committee members).</w:t>
      </w:r>
    </w:p>
    <w:p>
      <w:pPr>
        <w:spacing w:after="0" w:line="130" w:lineRule="exact"/>
        <w:rPr>
          <w:sz w:val="20"/>
          <w:szCs w:val="20"/>
          <w:color w:val="auto"/>
        </w:rPr>
      </w:pPr>
    </w:p>
    <w:p>
      <w:pPr>
        <w:jc w:val="both"/>
        <w:ind w:right="20"/>
        <w:spacing w:after="0" w:line="278" w:lineRule="auto"/>
        <w:rPr>
          <w:sz w:val="20"/>
          <w:szCs w:val="20"/>
          <w:color w:val="auto"/>
        </w:rPr>
      </w:pPr>
      <w:r>
        <w:rPr>
          <w:rFonts w:ascii="Arial" w:cs="Arial" w:eastAsia="Arial" w:hAnsi="Arial"/>
          <w:sz w:val="14"/>
          <w:szCs w:val="14"/>
          <w:color w:val="auto"/>
        </w:rPr>
        <w:t>Five of the directors serving at the time of the 2024 Annual Meeting attended such annual meeting. Each director who is up for election at an annual meeting of stockholders or who has a term that continues after such annual meeting is encouraged to attend the annual meeting of stockholders.</w:t>
      </w:r>
    </w:p>
    <w:p>
      <w:pPr>
        <w:spacing w:after="0" w:line="2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Board Leadership Structure</w:t>
      </w:r>
    </w:p>
    <w:p>
      <w:pPr>
        <w:spacing w:after="0" w:line="175" w:lineRule="exact"/>
        <w:rPr>
          <w:sz w:val="20"/>
          <w:szCs w:val="20"/>
          <w:color w:val="auto"/>
        </w:rPr>
      </w:pPr>
    </w:p>
    <w:p>
      <w:pPr>
        <w:jc w:val="both"/>
        <w:spacing w:after="0" w:line="247" w:lineRule="auto"/>
        <w:rPr>
          <w:sz w:val="20"/>
          <w:szCs w:val="20"/>
          <w:color w:val="auto"/>
        </w:rPr>
      </w:pPr>
      <w:r>
        <w:rPr>
          <w:rFonts w:ascii="Arial" w:cs="Arial" w:eastAsia="Arial" w:hAnsi="Arial"/>
          <w:sz w:val="14"/>
          <w:szCs w:val="14"/>
          <w:color w:val="auto"/>
        </w:rPr>
        <w:t>We currently separate the positions of Chairman of the Board and Chief Executive Officer, which allows our Chief Executive Officer, Dr. Kakkis, to focus on our day-to-day business, while allowing the Chairman of the Board, Mr. Welch, to lead the Board in its fundamental role of providing advice to and independent oversight of management. Independent oversight of management is an important goal of the Board, which is why our Corporate Governance Guidelines provide that a lead independent director will be appointed by the Board if the Chairman is not independent. Additionally, our Board recognizes the time, effort, and energy that the Chief Executive Officer is required to devote to his position in the current business environment, as well as the commitment required to serve as our Chairman. Our Board also believes that the separation of the Chairman and Chief Executive Officer positions fosters a greater role for the independent directors in the oversight of our Company and active participation of the independent directors in setting agendas and establishing priorities and procedures for the work of our Board. The benefits of the separated Chairman and Chief Executive Officer positions are augmented by the independence of seven of our eight current directors, including our Chairman, and our independent Board committees that provide appropriate oversight in the areas described below. At executive sessions of independent directors, these directors can speak candidly on any matter of interest. The independent directors of the Board regularly meet in executive sessions, and met four times in 2024, and the Chairman presides at these sessions. We believe this structure provides effective oversight of our management and the Company.</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color w:val="auto"/>
        </w:rPr>
        <w:t>The Board believes that its programs for risk oversight, as described under “Role of the Board in Risk Oversight” below, would be effective under a variety of leadership frameworks.</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Accordingly, the Board’s risk oversight function did not significantly impact its selection of the current leadership structure.</w:t>
      </w:r>
    </w:p>
    <w:p>
      <w:pPr>
        <w:spacing w:after="0" w:line="3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Role of the Board in Risk Oversight</w:t>
      </w:r>
    </w:p>
    <w:p>
      <w:pPr>
        <w:spacing w:after="0" w:line="175" w:lineRule="exact"/>
        <w:rPr>
          <w:sz w:val="20"/>
          <w:szCs w:val="20"/>
          <w:color w:val="auto"/>
        </w:rPr>
      </w:pPr>
    </w:p>
    <w:p>
      <w:pPr>
        <w:jc w:val="both"/>
        <w:spacing w:after="0" w:line="247" w:lineRule="auto"/>
        <w:rPr>
          <w:sz w:val="20"/>
          <w:szCs w:val="20"/>
          <w:color w:val="auto"/>
        </w:rPr>
      </w:pPr>
      <w:r>
        <w:rPr>
          <w:rFonts w:ascii="Arial" w:cs="Arial" w:eastAsia="Arial" w:hAnsi="Arial"/>
          <w:sz w:val="14"/>
          <w:szCs w:val="14"/>
          <w:color w:val="auto"/>
        </w:rPr>
        <w:t>The Board has overall responsibility for the oversight of our risk management process, which is designed to support the achievement of organizational objectives, including strategic objectives, to improve long-term organizational performance, and enhance stockholder value. Risk management includes not only understanding company-specific risks and the steps management implements to manage those risks, but also assessing what level of risk is acceptable and appropriate for us, taking into account the immediacy of any such risks, and evaluating risks and circumstances across various timeframes, including the short, medium and long term. Management is responsible for establishing our business strategy, identifying and assessing the related risks, and implementing appropriate risk management practices. The Board periodically reviews our business strategy and management’s assessment of the related risk and discusses with management the appropriate level of risk for us. The Board also periodically evaluates and discusses potential emerging risks with members of senior management as well as third-party advisors and experts. In 2024, the Board and the committees, as appropriate, reviewed with management the various risks and mitigation strategies related to cost containment strategies, prioritization of the Company’s pipeline programs, cybersecurity risks and the Company’s initiatives related to our Impact Report. The Board also delegates to Board committees oversight of selected elements of risk as set forth below.</w:t>
      </w:r>
    </w:p>
    <w:p>
      <w:pPr>
        <w:spacing w:after="0" w:line="2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Board Committees</w:t>
      </w:r>
    </w:p>
    <w:p>
      <w:pPr>
        <w:spacing w:after="0" w:line="175" w:lineRule="exact"/>
        <w:rPr>
          <w:sz w:val="20"/>
          <w:szCs w:val="20"/>
          <w:color w:val="auto"/>
        </w:rPr>
      </w:pPr>
    </w:p>
    <w:p>
      <w:pPr>
        <w:jc w:val="both"/>
        <w:ind w:right="20"/>
        <w:spacing w:after="0" w:line="260" w:lineRule="auto"/>
        <w:rPr>
          <w:sz w:val="20"/>
          <w:szCs w:val="20"/>
          <w:color w:val="auto"/>
        </w:rPr>
      </w:pPr>
      <w:r>
        <w:rPr>
          <w:rFonts w:ascii="Arial" w:cs="Arial" w:eastAsia="Arial" w:hAnsi="Arial"/>
          <w:sz w:val="14"/>
          <w:szCs w:val="14"/>
          <w:color w:val="auto"/>
        </w:rPr>
        <w:t>Our Board currently has a standing Audit Committee, Compensation Committee, Nominating and Governance Committee and Research and Development Committee. Each of these committees operates under a written charter which sets forth the functions and responsibilities of the committee, a copy of which is available on our website at www.ultragenyx.com under the “Corporate Governance” subsection of the “Investors” tab.</w:t>
      </w:r>
    </w:p>
    <w:p>
      <w:pPr>
        <w:spacing w:after="0" w:line="130"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auto"/>
        </w:rPr>
        <w:t xml:space="preserve">ULTRAGENYX PHARMACEUTICAL INC. </w:t>
      </w:r>
      <w:r>
        <w:rPr>
          <w:rFonts w:ascii="Arial" w:cs="Arial" w:eastAsia="Arial" w:hAnsi="Arial"/>
          <w:sz w:val="14"/>
          <w:szCs w:val="14"/>
          <w:color w:val="7CBD3F"/>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2025 Proxy Statement</w:t>
      </w:r>
      <w:r>
        <w:rPr>
          <w:rFonts w:ascii="Arial" w:cs="Arial" w:eastAsia="Arial" w:hAnsi="Arial"/>
          <w:sz w:val="14"/>
          <w:szCs w:val="14"/>
          <w:b w:val="1"/>
          <w:bCs w:val="1"/>
          <w:color w:val="auto"/>
        </w:rPr>
        <w:tab/>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142240</wp:posOffset>
            </wp:positionV>
            <wp:extent cx="7150735"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0735" cy="29845"/>
                    </a:xfrm>
                    <a:prstGeom prst="rect">
                      <a:avLst/>
                    </a:prstGeom>
                    <a:noFill/>
                  </pic:spPr>
                </pic:pic>
              </a:graphicData>
            </a:graphic>
          </wp:anchor>
        </w:drawing>
      </w:r>
    </w:p>
    <w:p>
      <w:pPr>
        <w:sectPr>
          <w:pgSz w:w="11900" w:h="16838" w:orient="portrait"/>
          <w:cols w:equalWidth="0" w:num="1">
            <w:col w:w="11260"/>
          </w:cols>
          <w:pgMar w:left="320" w:top="225" w:right="319" w:bottom="1440" w:gutter="0" w:footer="0" w:header="0"/>
        </w:sectPr>
      </w:pPr>
    </w:p>
    <w:bookmarkStart w:id="29" w:name="page30"/>
    <w:bookmarkEnd w:id="29"/>
    <w:p>
      <w:pPr>
        <w:spacing w:after="0"/>
        <w:rPr>
          <w:sz w:val="20"/>
          <w:szCs w:val="20"/>
          <w:color w:val="auto"/>
        </w:rPr>
      </w:pPr>
      <w:r>
        <w:rPr>
          <w:rFonts w:ascii="Arial" w:cs="Arial" w:eastAsia="Arial" w:hAnsi="Arial"/>
          <w:sz w:val="12"/>
          <w:szCs w:val="12"/>
          <w:b w:val="1"/>
          <w:bCs w:val="1"/>
          <w:u w:val="single" w:color="auto"/>
          <w:color w:val="0000EE"/>
        </w:rPr>
        <w:t>Back to Contents</w:t>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FFFFFF"/>
        </w:rPr>
        <w:t>Audit Committee</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Members:</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4"/>
          <w:szCs w:val="14"/>
          <w:color w:val="auto"/>
        </w:rPr>
        <w:t>Matthew K. Fust (Chairperson)</w:t>
      </w:r>
    </w:p>
    <w:p>
      <w:pPr>
        <w:spacing w:after="0" w:line="2" w:lineRule="exact"/>
        <w:rPr>
          <w:sz w:val="20"/>
          <w:szCs w:val="20"/>
          <w:color w:val="auto"/>
        </w:rPr>
      </w:pPr>
    </w:p>
    <w:p>
      <w:pPr>
        <w:ind w:left="40"/>
        <w:spacing w:after="0"/>
        <w:rPr>
          <w:sz w:val="20"/>
          <w:szCs w:val="20"/>
          <w:color w:val="auto"/>
        </w:rPr>
      </w:pPr>
      <w:r>
        <w:rPr>
          <w:rFonts w:ascii="Arial" w:cs="Arial" w:eastAsia="Arial" w:hAnsi="Arial"/>
          <w:sz w:val="14"/>
          <w:szCs w:val="14"/>
          <w:color w:val="auto"/>
        </w:rPr>
        <w:t>Michael Narachi</w:t>
      </w:r>
    </w:p>
    <w:p>
      <w:pPr>
        <w:spacing w:after="0" w:line="2"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Corsee D. Sanders, Ph.D.</w:t>
      </w:r>
    </w:p>
    <w:p>
      <w:pPr>
        <w:spacing w:after="0" w:line="317" w:lineRule="exact"/>
        <w:rPr>
          <w:sz w:val="20"/>
          <w:szCs w:val="20"/>
          <w:color w:val="auto"/>
        </w:rPr>
      </w:pPr>
    </w:p>
    <w:p>
      <w:pPr>
        <w:jc w:val="both"/>
        <w:ind w:left="40"/>
        <w:spacing w:after="0" w:line="251" w:lineRule="auto"/>
        <w:rPr>
          <w:sz w:val="20"/>
          <w:szCs w:val="20"/>
          <w:color w:val="auto"/>
        </w:rPr>
      </w:pPr>
      <w:r>
        <w:rPr>
          <w:rFonts w:ascii="Arial" w:cs="Arial" w:eastAsia="Arial" w:hAnsi="Arial"/>
          <w:sz w:val="14"/>
          <w:szCs w:val="14"/>
          <w:i w:val="1"/>
          <w:iCs w:val="1"/>
          <w:color w:val="auto"/>
        </w:rPr>
        <w:t>All members of the Audit Committee satisfy the current independence and financial literacy standards promulgated by Nasdaq and the SEC, and the Board has determined that Mr. Fust qualifies as an “audit committee financial expert,” as the SEC has defined that term in Item 407 of Regulation S-K</w:t>
      </w:r>
    </w:p>
    <w:p>
      <w:pPr>
        <w:spacing w:after="0" w:line="13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 xml:space="preserve">Meetings held during 2024: </w:t>
      </w:r>
      <w:r>
        <w:rPr>
          <w:rFonts w:ascii="Arial" w:cs="Arial" w:eastAsia="Arial" w:hAnsi="Arial"/>
          <w:sz w:val="14"/>
          <w:szCs w:val="14"/>
          <w:b w:val="1"/>
          <w:bCs w:val="1"/>
          <w:color w:val="7CBD3F"/>
        </w:rPr>
        <w:t>Six</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ind w:left="3"/>
        <w:spacing w:after="0"/>
        <w:rPr>
          <w:sz w:val="20"/>
          <w:szCs w:val="20"/>
          <w:color w:val="auto"/>
        </w:rPr>
      </w:pPr>
      <w:r>
        <w:rPr>
          <w:rFonts w:ascii="Arial" w:cs="Arial" w:eastAsia="Arial" w:hAnsi="Arial"/>
          <w:sz w:val="14"/>
          <w:szCs w:val="14"/>
          <w:b w:val="1"/>
          <w:bCs w:val="1"/>
          <w:color w:val="FFFFFF"/>
        </w:rPr>
        <w:t>Key 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-2782570</wp:posOffset>
            </wp:positionH>
            <wp:positionV relativeFrom="paragraph">
              <wp:posOffset>-123190</wp:posOffset>
            </wp:positionV>
            <wp:extent cx="7150735" cy="16256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0735" cy="162560"/>
                    </a:xfrm>
                    <a:prstGeom prst="rect">
                      <a:avLst/>
                    </a:prstGeom>
                    <a:noFill/>
                  </pic:spPr>
                </pic:pic>
              </a:graphicData>
            </a:graphic>
          </wp:anchor>
        </w:drawing>
      </w:r>
    </w:p>
    <w:p>
      <w:pPr>
        <w:spacing w:after="0" w:line="75" w:lineRule="exact"/>
        <w:rPr>
          <w:sz w:val="20"/>
          <w:szCs w:val="20"/>
          <w:color w:val="auto"/>
        </w:rPr>
      </w:pPr>
    </w:p>
    <w:p>
      <w:pPr>
        <w:jc w:val="both"/>
        <w:ind w:left="3" w:right="60"/>
        <w:spacing w:after="0" w:line="252" w:lineRule="auto"/>
        <w:rPr>
          <w:sz w:val="20"/>
          <w:szCs w:val="20"/>
          <w:color w:val="auto"/>
        </w:rPr>
      </w:pPr>
      <w:r>
        <w:rPr>
          <w:rFonts w:ascii="Arial" w:cs="Arial" w:eastAsia="Arial" w:hAnsi="Arial"/>
          <w:sz w:val="14"/>
          <w:szCs w:val="14"/>
          <w:color w:val="auto"/>
        </w:rPr>
        <w:t>The Audit Committee has been delegated the task of overseeing significant financial risks facing us and steps management has undertaken to mitigate these risks. The Audit Committee reports back to the Board regarding these risks. In 2024, the Audit Committee reviewed with management, in particular, the risks and mitigation strategies related to cybersecurity and the security programs related to our information technology systems. The Audit Committee is also responsible for the following:</w:t>
      </w:r>
    </w:p>
    <w:p>
      <w:pPr>
        <w:spacing w:after="0" w:line="134" w:lineRule="exact"/>
        <w:rPr>
          <w:sz w:val="20"/>
          <w:szCs w:val="20"/>
          <w:color w:val="auto"/>
        </w:rPr>
      </w:pPr>
    </w:p>
    <w:p>
      <w:pPr>
        <w:ind w:left="163" w:right="60" w:hanging="163"/>
        <w:spacing w:after="0" w:line="278" w:lineRule="auto"/>
        <w:tabs>
          <w:tab w:leader="none" w:pos="163" w:val="left"/>
        </w:tabs>
        <w:numPr>
          <w:ilvl w:val="0"/>
          <w:numId w:val="9"/>
        </w:numPr>
        <w:rPr>
          <w:rFonts w:ascii="Arial" w:cs="Arial" w:eastAsia="Arial" w:hAnsi="Arial"/>
          <w:sz w:val="14"/>
          <w:szCs w:val="14"/>
          <w:color w:val="7CBD3F"/>
        </w:rPr>
      </w:pPr>
      <w:r>
        <w:rPr>
          <w:rFonts w:ascii="Arial" w:cs="Arial" w:eastAsia="Arial" w:hAnsi="Arial"/>
          <w:sz w:val="14"/>
          <w:szCs w:val="14"/>
          <w:color w:val="auto"/>
        </w:rPr>
        <w:t>Appoints, approves the compensation of, reviews the performance of, and assesses the independence of our independent registered public accounting firm</w:t>
      </w:r>
    </w:p>
    <w:p>
      <w:pPr>
        <w:spacing w:after="0" w:line="23" w:lineRule="exact"/>
        <w:rPr>
          <w:rFonts w:ascii="Arial" w:cs="Arial" w:eastAsia="Arial" w:hAnsi="Arial"/>
          <w:sz w:val="14"/>
          <w:szCs w:val="14"/>
          <w:color w:val="7CBD3F"/>
        </w:rPr>
      </w:pPr>
    </w:p>
    <w:p>
      <w:pPr>
        <w:ind w:left="163" w:right="60" w:hanging="163"/>
        <w:spacing w:after="0" w:line="278" w:lineRule="auto"/>
        <w:tabs>
          <w:tab w:leader="none" w:pos="163" w:val="left"/>
        </w:tabs>
        <w:numPr>
          <w:ilvl w:val="0"/>
          <w:numId w:val="9"/>
        </w:numPr>
        <w:rPr>
          <w:rFonts w:ascii="Arial" w:cs="Arial" w:eastAsia="Arial" w:hAnsi="Arial"/>
          <w:sz w:val="14"/>
          <w:szCs w:val="14"/>
          <w:color w:val="7CBD3F"/>
        </w:rPr>
      </w:pPr>
      <w:r>
        <w:rPr>
          <w:rFonts w:ascii="Arial" w:cs="Arial" w:eastAsia="Arial" w:hAnsi="Arial"/>
          <w:sz w:val="14"/>
          <w:szCs w:val="14"/>
          <w:color w:val="auto"/>
        </w:rPr>
        <w:t>Approves audit and permissible non-audit services, and the terms of such services, to be provided by our independent registered public accounting firm</w:t>
      </w:r>
    </w:p>
    <w:p>
      <w:pPr>
        <w:spacing w:after="0" w:line="23" w:lineRule="exact"/>
        <w:rPr>
          <w:rFonts w:ascii="Arial" w:cs="Arial" w:eastAsia="Arial" w:hAnsi="Arial"/>
          <w:sz w:val="14"/>
          <w:szCs w:val="14"/>
          <w:color w:val="7CBD3F"/>
        </w:rPr>
      </w:pPr>
    </w:p>
    <w:p>
      <w:pPr>
        <w:ind w:left="163" w:right="60" w:hanging="163"/>
        <w:spacing w:after="0" w:line="278" w:lineRule="auto"/>
        <w:tabs>
          <w:tab w:leader="none" w:pos="163" w:val="left"/>
        </w:tabs>
        <w:numPr>
          <w:ilvl w:val="0"/>
          <w:numId w:val="9"/>
        </w:numPr>
        <w:rPr>
          <w:rFonts w:ascii="Arial" w:cs="Arial" w:eastAsia="Arial" w:hAnsi="Arial"/>
          <w:sz w:val="14"/>
          <w:szCs w:val="14"/>
          <w:color w:val="7CBD3F"/>
        </w:rPr>
      </w:pPr>
      <w:r>
        <w:rPr>
          <w:rFonts w:ascii="Arial" w:cs="Arial" w:eastAsia="Arial" w:hAnsi="Arial"/>
          <w:sz w:val="14"/>
          <w:szCs w:val="14"/>
          <w:color w:val="auto"/>
        </w:rPr>
        <w:t>Reviews the audit plan with the independent registered public accounting firm and members of management responsible for preparing our financial statements</w:t>
      </w:r>
    </w:p>
    <w:p>
      <w:pPr>
        <w:spacing w:after="0" w:line="23" w:lineRule="exact"/>
        <w:rPr>
          <w:rFonts w:ascii="Arial" w:cs="Arial" w:eastAsia="Arial" w:hAnsi="Arial"/>
          <w:sz w:val="14"/>
          <w:szCs w:val="14"/>
          <w:color w:val="7CBD3F"/>
        </w:rPr>
      </w:pPr>
    </w:p>
    <w:p>
      <w:pPr>
        <w:ind w:left="163" w:right="60" w:hanging="163"/>
        <w:spacing w:after="0" w:line="278" w:lineRule="auto"/>
        <w:tabs>
          <w:tab w:leader="none" w:pos="163" w:val="left"/>
        </w:tabs>
        <w:numPr>
          <w:ilvl w:val="0"/>
          <w:numId w:val="9"/>
        </w:numPr>
        <w:rPr>
          <w:rFonts w:ascii="Arial" w:cs="Arial" w:eastAsia="Arial" w:hAnsi="Arial"/>
          <w:sz w:val="14"/>
          <w:szCs w:val="14"/>
          <w:color w:val="7CBD3F"/>
        </w:rPr>
      </w:pPr>
      <w:r>
        <w:rPr>
          <w:rFonts w:ascii="Arial" w:cs="Arial" w:eastAsia="Arial" w:hAnsi="Arial"/>
          <w:sz w:val="14"/>
          <w:szCs w:val="14"/>
          <w:color w:val="auto"/>
        </w:rPr>
        <w:t>Reviews and discusses with management and the independent registered public accounting firm our annual and quarterly financial statements and related disclosures and critical accounting policies</w:t>
      </w:r>
    </w:p>
    <w:p>
      <w:pPr>
        <w:spacing w:after="0" w:line="23" w:lineRule="exact"/>
        <w:rPr>
          <w:rFonts w:ascii="Arial" w:cs="Arial" w:eastAsia="Arial" w:hAnsi="Arial"/>
          <w:sz w:val="14"/>
          <w:szCs w:val="14"/>
          <w:color w:val="7CBD3F"/>
        </w:rPr>
      </w:pPr>
    </w:p>
    <w:p>
      <w:pPr>
        <w:ind w:left="163" w:right="60" w:hanging="163"/>
        <w:spacing w:after="0" w:line="278" w:lineRule="auto"/>
        <w:tabs>
          <w:tab w:leader="none" w:pos="163" w:val="left"/>
        </w:tabs>
        <w:numPr>
          <w:ilvl w:val="0"/>
          <w:numId w:val="9"/>
        </w:numPr>
        <w:rPr>
          <w:rFonts w:ascii="Arial" w:cs="Arial" w:eastAsia="Arial" w:hAnsi="Arial"/>
          <w:sz w:val="14"/>
          <w:szCs w:val="14"/>
          <w:color w:val="7CBD3F"/>
        </w:rPr>
      </w:pPr>
      <w:r>
        <w:rPr>
          <w:rFonts w:ascii="Arial" w:cs="Arial" w:eastAsia="Arial" w:hAnsi="Arial"/>
          <w:sz w:val="14"/>
          <w:szCs w:val="14"/>
          <w:color w:val="auto"/>
        </w:rPr>
        <w:t>Discusses with management, and as applicable, the independent auditor, disclosure controls and procedures over environmental and sustainability reporting data and disclosures</w:t>
      </w:r>
    </w:p>
    <w:p>
      <w:pPr>
        <w:spacing w:after="0" w:line="23" w:lineRule="exact"/>
        <w:rPr>
          <w:rFonts w:ascii="Arial" w:cs="Arial" w:eastAsia="Arial" w:hAnsi="Arial"/>
          <w:sz w:val="14"/>
          <w:szCs w:val="14"/>
          <w:color w:val="7CBD3F"/>
        </w:rPr>
      </w:pPr>
    </w:p>
    <w:p>
      <w:pPr>
        <w:ind w:left="163" w:right="60" w:hanging="163"/>
        <w:spacing w:after="0" w:line="278" w:lineRule="auto"/>
        <w:tabs>
          <w:tab w:leader="none" w:pos="163" w:val="left"/>
        </w:tabs>
        <w:numPr>
          <w:ilvl w:val="0"/>
          <w:numId w:val="9"/>
        </w:numPr>
        <w:rPr>
          <w:rFonts w:ascii="Arial" w:cs="Arial" w:eastAsia="Arial" w:hAnsi="Arial"/>
          <w:sz w:val="14"/>
          <w:szCs w:val="14"/>
          <w:color w:val="7CBD3F"/>
        </w:rPr>
      </w:pPr>
      <w:r>
        <w:rPr>
          <w:rFonts w:ascii="Arial" w:cs="Arial" w:eastAsia="Arial" w:hAnsi="Arial"/>
          <w:sz w:val="14"/>
          <w:szCs w:val="14"/>
          <w:color w:val="auto"/>
        </w:rPr>
        <w:t>Reviews the adequacy of our internal control over financial reporting; establishes policies and procedures for the receipt and retention of accounting-related complaints and concerns</w:t>
      </w:r>
    </w:p>
    <w:p>
      <w:pPr>
        <w:spacing w:after="0" w:line="23" w:lineRule="exact"/>
        <w:rPr>
          <w:rFonts w:ascii="Arial" w:cs="Arial" w:eastAsia="Arial" w:hAnsi="Arial"/>
          <w:sz w:val="14"/>
          <w:szCs w:val="14"/>
          <w:color w:val="7CBD3F"/>
        </w:rPr>
      </w:pPr>
    </w:p>
    <w:p>
      <w:pPr>
        <w:ind w:left="163" w:hanging="163"/>
        <w:spacing w:after="0"/>
        <w:tabs>
          <w:tab w:leader="none" w:pos="163" w:val="left"/>
        </w:tabs>
        <w:numPr>
          <w:ilvl w:val="0"/>
          <w:numId w:val="9"/>
        </w:numPr>
        <w:rPr>
          <w:rFonts w:ascii="Arial" w:cs="Arial" w:eastAsia="Arial" w:hAnsi="Arial"/>
          <w:sz w:val="14"/>
          <w:szCs w:val="14"/>
          <w:color w:val="7CBD3F"/>
        </w:rPr>
      </w:pPr>
      <w:r>
        <w:rPr>
          <w:rFonts w:ascii="Arial" w:cs="Arial" w:eastAsia="Arial" w:hAnsi="Arial"/>
          <w:sz w:val="14"/>
          <w:szCs w:val="14"/>
          <w:color w:val="auto"/>
        </w:rPr>
        <w:t>Recommends whether our audited financial statements shall be included in our annual reports on Form 10-</w:t>
      </w:r>
    </w:p>
    <w:p>
      <w:pPr>
        <w:spacing w:after="0" w:line="16" w:lineRule="exact"/>
        <w:rPr>
          <w:rFonts w:ascii="Arial" w:cs="Arial" w:eastAsia="Arial" w:hAnsi="Arial"/>
          <w:sz w:val="14"/>
          <w:szCs w:val="14"/>
          <w:color w:val="7CBD3F"/>
        </w:rPr>
      </w:pPr>
    </w:p>
    <w:p>
      <w:pPr>
        <w:ind w:left="163"/>
        <w:spacing w:after="0"/>
        <w:rPr>
          <w:rFonts w:ascii="Arial" w:cs="Arial" w:eastAsia="Arial" w:hAnsi="Arial"/>
          <w:sz w:val="14"/>
          <w:szCs w:val="14"/>
          <w:color w:val="7CBD3F"/>
        </w:rPr>
      </w:pPr>
      <w:r>
        <w:rPr>
          <w:rFonts w:ascii="Arial" w:cs="Arial" w:eastAsia="Arial" w:hAnsi="Arial"/>
          <w:sz w:val="14"/>
          <w:szCs w:val="14"/>
          <w:color w:val="auto"/>
        </w:rPr>
        <w:t>K</w:t>
      </w:r>
    </w:p>
    <w:p>
      <w:pPr>
        <w:spacing w:after="0" w:line="58" w:lineRule="exact"/>
        <w:rPr>
          <w:rFonts w:ascii="Arial" w:cs="Arial" w:eastAsia="Arial" w:hAnsi="Arial"/>
          <w:sz w:val="14"/>
          <w:szCs w:val="14"/>
          <w:color w:val="7CBD3F"/>
        </w:rPr>
      </w:pPr>
    </w:p>
    <w:p>
      <w:pPr>
        <w:ind w:left="163" w:hanging="163"/>
        <w:spacing w:after="0"/>
        <w:tabs>
          <w:tab w:leader="none" w:pos="163" w:val="left"/>
        </w:tabs>
        <w:numPr>
          <w:ilvl w:val="0"/>
          <w:numId w:val="9"/>
        </w:numPr>
        <w:rPr>
          <w:rFonts w:ascii="Arial" w:cs="Arial" w:eastAsia="Arial" w:hAnsi="Arial"/>
          <w:sz w:val="14"/>
          <w:szCs w:val="14"/>
          <w:color w:val="7CBD3F"/>
        </w:rPr>
      </w:pPr>
      <w:r>
        <w:rPr>
          <w:rFonts w:ascii="Arial" w:cs="Arial" w:eastAsia="Arial" w:hAnsi="Arial"/>
          <w:sz w:val="14"/>
          <w:szCs w:val="14"/>
          <w:color w:val="auto"/>
        </w:rPr>
        <w:t>Prepares the audit committee report to be included in our annual proxy statements</w:t>
      </w:r>
    </w:p>
    <w:p>
      <w:pPr>
        <w:spacing w:after="0" w:line="72" w:lineRule="exact"/>
        <w:rPr>
          <w:rFonts w:ascii="Arial" w:cs="Arial" w:eastAsia="Arial" w:hAnsi="Arial"/>
          <w:sz w:val="14"/>
          <w:szCs w:val="14"/>
          <w:color w:val="7CBD3F"/>
        </w:rPr>
      </w:pPr>
    </w:p>
    <w:p>
      <w:pPr>
        <w:ind w:left="163" w:hanging="163"/>
        <w:spacing w:after="0"/>
        <w:tabs>
          <w:tab w:leader="none" w:pos="163" w:val="left"/>
        </w:tabs>
        <w:numPr>
          <w:ilvl w:val="0"/>
          <w:numId w:val="9"/>
        </w:numPr>
        <w:rPr>
          <w:rFonts w:ascii="Arial" w:cs="Arial" w:eastAsia="Arial" w:hAnsi="Arial"/>
          <w:sz w:val="14"/>
          <w:szCs w:val="14"/>
          <w:color w:val="7CBD3F"/>
        </w:rPr>
      </w:pPr>
      <w:r>
        <w:rPr>
          <w:rFonts w:ascii="Arial" w:cs="Arial" w:eastAsia="Arial" w:hAnsi="Arial"/>
          <w:sz w:val="14"/>
          <w:szCs w:val="14"/>
          <w:color w:val="auto"/>
        </w:rPr>
        <w:t>Reviews all related-person transactions</w:t>
      </w:r>
    </w:p>
    <w:p>
      <w:pPr>
        <w:spacing w:after="0" w:line="72" w:lineRule="exact"/>
        <w:rPr>
          <w:rFonts w:ascii="Arial" w:cs="Arial" w:eastAsia="Arial" w:hAnsi="Arial"/>
          <w:sz w:val="14"/>
          <w:szCs w:val="14"/>
          <w:color w:val="7CBD3F"/>
        </w:rPr>
      </w:pPr>
    </w:p>
    <w:p>
      <w:pPr>
        <w:ind w:left="163" w:hanging="163"/>
        <w:spacing w:after="0"/>
        <w:tabs>
          <w:tab w:leader="none" w:pos="163" w:val="left"/>
        </w:tabs>
        <w:numPr>
          <w:ilvl w:val="0"/>
          <w:numId w:val="9"/>
        </w:numPr>
        <w:rPr>
          <w:rFonts w:ascii="Arial" w:cs="Arial" w:eastAsia="Arial" w:hAnsi="Arial"/>
          <w:sz w:val="14"/>
          <w:szCs w:val="14"/>
          <w:color w:val="7CBD3F"/>
        </w:rPr>
      </w:pPr>
      <w:r>
        <w:rPr>
          <w:rFonts w:ascii="Arial" w:cs="Arial" w:eastAsia="Arial" w:hAnsi="Arial"/>
          <w:sz w:val="14"/>
          <w:szCs w:val="14"/>
          <w:color w:val="auto"/>
        </w:rPr>
        <w:t>Reviews policies related to financial risk assessment and management</w:t>
      </w:r>
    </w:p>
    <w:p>
      <w:pPr>
        <w:spacing w:after="0" w:line="72" w:lineRule="exact"/>
        <w:rPr>
          <w:rFonts w:ascii="Arial" w:cs="Arial" w:eastAsia="Arial" w:hAnsi="Arial"/>
          <w:sz w:val="14"/>
          <w:szCs w:val="14"/>
          <w:color w:val="7CBD3F"/>
        </w:rPr>
      </w:pPr>
    </w:p>
    <w:p>
      <w:pPr>
        <w:ind w:left="163" w:hanging="163"/>
        <w:spacing w:after="0"/>
        <w:tabs>
          <w:tab w:leader="none" w:pos="163" w:val="left"/>
        </w:tabs>
        <w:numPr>
          <w:ilvl w:val="0"/>
          <w:numId w:val="9"/>
        </w:numPr>
        <w:rPr>
          <w:rFonts w:ascii="Arial" w:cs="Arial" w:eastAsia="Arial" w:hAnsi="Arial"/>
          <w:sz w:val="14"/>
          <w:szCs w:val="14"/>
          <w:color w:val="7CBD3F"/>
        </w:rPr>
      </w:pPr>
      <w:r>
        <w:rPr>
          <w:rFonts w:ascii="Arial" w:cs="Arial" w:eastAsia="Arial" w:hAnsi="Arial"/>
          <w:sz w:val="14"/>
          <w:szCs w:val="14"/>
          <w:color w:val="auto"/>
        </w:rPr>
        <w:t>Establishes, maintains, and oversees our Global Code of Conduct</w:t>
      </w:r>
    </w:p>
    <w:p>
      <w:pPr>
        <w:spacing w:after="0" w:line="72" w:lineRule="exact"/>
        <w:rPr>
          <w:rFonts w:ascii="Arial" w:cs="Arial" w:eastAsia="Arial" w:hAnsi="Arial"/>
          <w:sz w:val="14"/>
          <w:szCs w:val="14"/>
          <w:color w:val="7CBD3F"/>
        </w:rPr>
      </w:pPr>
    </w:p>
    <w:p>
      <w:pPr>
        <w:ind w:left="163" w:right="60" w:hanging="163"/>
        <w:spacing w:after="0" w:line="278" w:lineRule="auto"/>
        <w:tabs>
          <w:tab w:leader="none" w:pos="163" w:val="left"/>
        </w:tabs>
        <w:numPr>
          <w:ilvl w:val="0"/>
          <w:numId w:val="9"/>
        </w:numPr>
        <w:rPr>
          <w:rFonts w:ascii="Arial" w:cs="Arial" w:eastAsia="Arial" w:hAnsi="Arial"/>
          <w:sz w:val="14"/>
          <w:szCs w:val="14"/>
          <w:color w:val="7CBD3F"/>
        </w:rPr>
      </w:pPr>
      <w:r>
        <w:rPr>
          <w:rFonts w:ascii="Arial" w:cs="Arial" w:eastAsia="Arial" w:hAnsi="Arial"/>
          <w:sz w:val="14"/>
          <w:szCs w:val="14"/>
          <w:color w:val="auto"/>
        </w:rPr>
        <w:t>Assists the Nominating and Corporate Governance Committee by overseeing our compliance program with respect to legal and regulatory requirements impacting areas of financial risk</w:t>
      </w:r>
    </w:p>
    <w:p>
      <w:pPr>
        <w:spacing w:after="0" w:line="23" w:lineRule="exact"/>
        <w:rPr>
          <w:rFonts w:ascii="Arial" w:cs="Arial" w:eastAsia="Arial" w:hAnsi="Arial"/>
          <w:sz w:val="14"/>
          <w:szCs w:val="14"/>
          <w:color w:val="7CBD3F"/>
        </w:rPr>
      </w:pPr>
    </w:p>
    <w:p>
      <w:pPr>
        <w:ind w:left="163" w:right="60" w:hanging="163"/>
        <w:spacing w:after="0" w:line="278" w:lineRule="auto"/>
        <w:tabs>
          <w:tab w:leader="none" w:pos="163" w:val="left"/>
        </w:tabs>
        <w:numPr>
          <w:ilvl w:val="0"/>
          <w:numId w:val="9"/>
        </w:numPr>
        <w:rPr>
          <w:rFonts w:ascii="Arial" w:cs="Arial" w:eastAsia="Arial" w:hAnsi="Arial"/>
          <w:sz w:val="14"/>
          <w:szCs w:val="14"/>
          <w:color w:val="7CBD3F"/>
        </w:rPr>
      </w:pPr>
      <w:r>
        <w:rPr>
          <w:rFonts w:ascii="Arial" w:cs="Arial" w:eastAsia="Arial" w:hAnsi="Arial"/>
          <w:sz w:val="14"/>
          <w:szCs w:val="14"/>
          <w:color w:val="auto"/>
        </w:rPr>
        <w:t>Annually reviews and reassesses the adequacy of the Audit Committee charter and performs other duties, as specified in the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-2782570</wp:posOffset>
            </wp:positionH>
            <wp:positionV relativeFrom="paragraph">
              <wp:posOffset>-6350</wp:posOffset>
            </wp:positionV>
            <wp:extent cx="7150735" cy="1460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pacing w:after="0" w:line="163" w:lineRule="exact"/>
        <w:rPr>
          <w:sz w:val="20"/>
          <w:szCs w:val="20"/>
          <w:color w:val="auto"/>
        </w:rPr>
      </w:pPr>
    </w:p>
    <w:p>
      <w:pPr>
        <w:sectPr>
          <w:pgSz w:w="11900" w:h="16838" w:orient="portrait"/>
          <w:cols w:equalWidth="0" w:num="2">
            <w:col w:w="4140" w:space="237"/>
            <w:col w:w="6883"/>
          </w:cols>
          <w:pgMar w:left="320" w:top="225" w:right="319" w:bottom="1440" w:gutter="0" w:footer="0" w:header="0"/>
        </w:sectPr>
      </w:pPr>
    </w:p>
    <w:p>
      <w:pPr>
        <w:ind w:left="6760"/>
        <w:spacing w:after="0"/>
        <w:tabs>
          <w:tab w:leader="none" w:pos="11080" w:val="left"/>
        </w:tabs>
        <w:rPr>
          <w:sz w:val="20"/>
          <w:szCs w:val="20"/>
          <w:color w:val="auto"/>
        </w:rPr>
      </w:pPr>
      <w:r>
        <w:rPr>
          <w:rFonts w:ascii="Arial" w:cs="Arial" w:eastAsia="Arial" w:hAnsi="Arial"/>
          <w:sz w:val="14"/>
          <w:szCs w:val="14"/>
          <w:b w:val="1"/>
          <w:bCs w:val="1"/>
          <w:color w:val="auto"/>
        </w:rPr>
        <w:t xml:space="preserve">ULTRAGENYX PHARMACEUTICAL INC. </w:t>
      </w:r>
      <w:r>
        <w:rPr>
          <w:rFonts w:ascii="Arial" w:cs="Arial" w:eastAsia="Arial" w:hAnsi="Arial"/>
          <w:sz w:val="14"/>
          <w:szCs w:val="14"/>
          <w:color w:val="7CBD3F"/>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2025 Proxy Statement</w:t>
      </w:r>
      <w:r>
        <w:rPr>
          <w:rFonts w:ascii="Arial" w:cs="Arial" w:eastAsia="Arial" w:hAnsi="Arial"/>
          <w:sz w:val="14"/>
          <w:szCs w:val="14"/>
          <w:b w:val="1"/>
          <w:bCs w:val="1"/>
          <w:color w:val="auto"/>
        </w:rPr>
        <w:tab/>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142240</wp:posOffset>
            </wp:positionV>
            <wp:extent cx="7150735"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0735" cy="29845"/>
                    </a:xfrm>
                    <a:prstGeom prst="rect">
                      <a:avLst/>
                    </a:prstGeom>
                    <a:noFill/>
                  </pic:spPr>
                </pic:pic>
              </a:graphicData>
            </a:graphic>
          </wp:anchor>
        </w:drawing>
      </w:r>
    </w:p>
    <w:p>
      <w:pPr>
        <w:sectPr>
          <w:pgSz w:w="11900" w:h="16838" w:orient="portrait"/>
          <w:cols w:equalWidth="0" w:num="1">
            <w:col w:w="11260"/>
          </w:cols>
          <w:pgMar w:left="320" w:top="225" w:right="31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2"/>
          <w:szCs w:val="12"/>
          <w:b w:val="1"/>
          <w:bCs w:val="1"/>
          <w:u w:val="single" w:color="auto"/>
          <w:color w:val="0000EE"/>
        </w:rPr>
        <w:t>Back to Contents</w:t>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FFFFFF"/>
        </w:rPr>
        <w:t>Compensation Committee</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Members:</w:t>
      </w:r>
    </w:p>
    <w:p>
      <w:pPr>
        <w:spacing w:after="0" w:line="16" w:lineRule="exact"/>
        <w:rPr>
          <w:sz w:val="20"/>
          <w:szCs w:val="20"/>
          <w:color w:val="auto"/>
        </w:rPr>
      </w:pPr>
    </w:p>
    <w:p>
      <w:pPr>
        <w:ind w:left="40" w:right="40"/>
        <w:spacing w:after="0" w:line="250" w:lineRule="auto"/>
        <w:rPr>
          <w:sz w:val="20"/>
          <w:szCs w:val="20"/>
          <w:color w:val="auto"/>
        </w:rPr>
      </w:pPr>
      <w:r>
        <w:rPr>
          <w:rFonts w:ascii="Arial" w:cs="Arial" w:eastAsia="Arial" w:hAnsi="Arial"/>
          <w:sz w:val="14"/>
          <w:szCs w:val="14"/>
          <w:color w:val="auto"/>
        </w:rPr>
        <w:t>Michael Narachi (Chairperson) Deborah Dunsire, M.D. Daniel G. Welch</w:t>
      </w:r>
    </w:p>
    <w:p>
      <w:pPr>
        <w:spacing w:after="0" w:line="301" w:lineRule="exact"/>
        <w:rPr>
          <w:sz w:val="20"/>
          <w:szCs w:val="20"/>
          <w:color w:val="auto"/>
        </w:rPr>
      </w:pPr>
    </w:p>
    <w:p>
      <w:pPr>
        <w:ind w:left="40"/>
        <w:spacing w:after="0"/>
        <w:tabs>
          <w:tab w:leader="none" w:pos="460" w:val="left"/>
          <w:tab w:leader="none" w:pos="1340" w:val="left"/>
          <w:tab w:leader="none" w:pos="1740" w:val="left"/>
        </w:tabs>
        <w:rPr>
          <w:sz w:val="20"/>
          <w:szCs w:val="20"/>
          <w:color w:val="auto"/>
        </w:rPr>
      </w:pPr>
      <w:r>
        <w:rPr>
          <w:rFonts w:ascii="Arial" w:cs="Arial" w:eastAsia="Arial" w:hAnsi="Arial"/>
          <w:sz w:val="14"/>
          <w:szCs w:val="14"/>
          <w:i w:val="1"/>
          <w:iCs w:val="1"/>
          <w:color w:val="auto"/>
        </w:rPr>
        <w:t>All</w:t>
      </w:r>
      <w:r>
        <w:rPr>
          <w:sz w:val="20"/>
          <w:szCs w:val="20"/>
          <w:color w:val="auto"/>
        </w:rPr>
        <w:tab/>
      </w:r>
      <w:r>
        <w:rPr>
          <w:rFonts w:ascii="Arial" w:cs="Arial" w:eastAsia="Arial" w:hAnsi="Arial"/>
          <w:sz w:val="14"/>
          <w:szCs w:val="14"/>
          <w:i w:val="1"/>
          <w:iCs w:val="1"/>
          <w:color w:val="auto"/>
        </w:rPr>
        <w:t>members</w:t>
      </w:r>
      <w:r>
        <w:rPr>
          <w:sz w:val="20"/>
          <w:szCs w:val="20"/>
          <w:color w:val="auto"/>
        </w:rPr>
        <w:tab/>
      </w:r>
      <w:r>
        <w:rPr>
          <w:rFonts w:ascii="Arial" w:cs="Arial" w:eastAsia="Arial" w:hAnsi="Arial"/>
          <w:sz w:val="14"/>
          <w:szCs w:val="14"/>
          <w:i w:val="1"/>
          <w:iCs w:val="1"/>
          <w:color w:val="auto"/>
        </w:rPr>
        <w:t>of</w:t>
      </w:r>
      <w:r>
        <w:rPr>
          <w:sz w:val="20"/>
          <w:szCs w:val="20"/>
          <w:color w:val="auto"/>
        </w:rPr>
        <w:tab/>
      </w:r>
      <w:r>
        <w:rPr>
          <w:rFonts w:ascii="Arial" w:cs="Arial" w:eastAsia="Arial" w:hAnsi="Arial"/>
          <w:sz w:val="14"/>
          <w:szCs w:val="14"/>
          <w:i w:val="1"/>
          <w:iCs w:val="1"/>
          <w:color w:val="auto"/>
        </w:rPr>
        <w:t>the</w:t>
      </w:r>
    </w:p>
    <w:p>
      <w:pPr>
        <w:spacing w:after="0" w:line="14" w:lineRule="exact"/>
        <w:rPr>
          <w:sz w:val="20"/>
          <w:szCs w:val="20"/>
          <w:color w:val="auto"/>
        </w:rPr>
      </w:pPr>
    </w:p>
    <w:p>
      <w:pPr>
        <w:jc w:val="both"/>
        <w:ind w:left="40"/>
        <w:spacing w:after="0" w:line="250" w:lineRule="auto"/>
        <w:rPr>
          <w:sz w:val="20"/>
          <w:szCs w:val="20"/>
          <w:color w:val="auto"/>
        </w:rPr>
      </w:pPr>
      <w:r>
        <w:rPr>
          <w:rFonts w:ascii="Arial" w:cs="Arial" w:eastAsia="Arial" w:hAnsi="Arial"/>
          <w:sz w:val="14"/>
          <w:szCs w:val="14"/>
          <w:i w:val="1"/>
          <w:iCs w:val="1"/>
          <w:color w:val="auto"/>
        </w:rPr>
        <w:t>Compensation Committee satisfy the current Nasdaq and SEC independence standards</w:t>
      </w:r>
    </w:p>
    <w:p>
      <w:pPr>
        <w:spacing w:after="0" w:line="13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Meetings held during 2024:</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7CBD3F"/>
        </w:rPr>
        <w:t>Five</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spacing w:after="0"/>
        <w:rPr>
          <w:sz w:val="20"/>
          <w:szCs w:val="20"/>
          <w:color w:val="auto"/>
        </w:rPr>
      </w:pPr>
      <w:r>
        <w:rPr>
          <w:rFonts w:ascii="Arial" w:cs="Arial" w:eastAsia="Arial" w:hAnsi="Arial"/>
          <w:sz w:val="14"/>
          <w:szCs w:val="14"/>
          <w:b w:val="1"/>
          <w:bCs w:val="1"/>
          <w:color w:val="FFFFFF"/>
        </w:rPr>
        <w:t>Key 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-1400810</wp:posOffset>
            </wp:positionH>
            <wp:positionV relativeFrom="paragraph">
              <wp:posOffset>-123190</wp:posOffset>
            </wp:positionV>
            <wp:extent cx="7150735" cy="16256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0735" cy="162560"/>
                    </a:xfrm>
                    <a:prstGeom prst="rect">
                      <a:avLst/>
                    </a:prstGeom>
                    <a:noFill/>
                  </pic:spPr>
                </pic:pic>
              </a:graphicData>
            </a:graphic>
          </wp:anchor>
        </w:drawing>
      </w:r>
    </w:p>
    <w:p>
      <w:pPr>
        <w:spacing w:after="0" w:line="75" w:lineRule="exact"/>
        <w:rPr>
          <w:sz w:val="20"/>
          <w:szCs w:val="20"/>
          <w:color w:val="auto"/>
        </w:rPr>
      </w:pPr>
    </w:p>
    <w:p>
      <w:pPr>
        <w:jc w:val="both"/>
        <w:ind w:right="60"/>
        <w:spacing w:after="0" w:line="255" w:lineRule="auto"/>
        <w:rPr>
          <w:sz w:val="20"/>
          <w:szCs w:val="20"/>
          <w:color w:val="auto"/>
        </w:rPr>
      </w:pPr>
      <w:r>
        <w:rPr>
          <w:rFonts w:ascii="Arial" w:cs="Arial" w:eastAsia="Arial" w:hAnsi="Arial"/>
          <w:sz w:val="14"/>
          <w:szCs w:val="14"/>
          <w:color w:val="auto"/>
        </w:rPr>
        <w:t>The Compensation Committee has been delegated the task of overseeing risks related to our compensation policies and programs. In 2024, the Compensation Committee reviewed with management in particular the risks and mitigation strategies related to human capital management, succession planning for senior management positions, and strategies related to the Company’s management of outstanding equity awards. The Compensation Committee is also responsible for the following:</w:t>
      </w:r>
    </w:p>
    <w:p>
      <w:pPr>
        <w:spacing w:after="0" w:line="132" w:lineRule="exact"/>
        <w:rPr>
          <w:sz w:val="20"/>
          <w:szCs w:val="20"/>
          <w:color w:val="auto"/>
        </w:rPr>
      </w:pPr>
    </w:p>
    <w:p>
      <w:pPr>
        <w:ind w:left="160" w:hanging="152"/>
        <w:spacing w:after="0"/>
        <w:tabs>
          <w:tab w:leader="none" w:pos="160" w:val="left"/>
        </w:tabs>
        <w:numPr>
          <w:ilvl w:val="0"/>
          <w:numId w:val="10"/>
        </w:numPr>
        <w:rPr>
          <w:rFonts w:ascii="Arial" w:cs="Arial" w:eastAsia="Arial" w:hAnsi="Arial"/>
          <w:sz w:val="14"/>
          <w:szCs w:val="14"/>
          <w:color w:val="7CBD3F"/>
        </w:rPr>
      </w:pPr>
      <w:r>
        <w:rPr>
          <w:rFonts w:ascii="Arial" w:cs="Arial" w:eastAsia="Arial" w:hAnsi="Arial"/>
          <w:sz w:val="14"/>
          <w:szCs w:val="14"/>
          <w:color w:val="auto"/>
        </w:rPr>
        <w:t>Annually reviews and approves corporate goals and objectives relevant to the compensation of our executive officers</w:t>
      </w:r>
    </w:p>
    <w:p>
      <w:pPr>
        <w:spacing w:after="0" w:line="72" w:lineRule="exact"/>
        <w:rPr>
          <w:rFonts w:ascii="Arial" w:cs="Arial" w:eastAsia="Arial" w:hAnsi="Arial"/>
          <w:sz w:val="14"/>
          <w:szCs w:val="14"/>
          <w:color w:val="7CBD3F"/>
        </w:rPr>
      </w:pPr>
    </w:p>
    <w:p>
      <w:pPr>
        <w:ind w:left="160" w:right="60" w:hanging="152"/>
        <w:spacing w:after="0" w:line="278" w:lineRule="auto"/>
        <w:tabs>
          <w:tab w:leader="none" w:pos="160" w:val="left"/>
        </w:tabs>
        <w:numPr>
          <w:ilvl w:val="0"/>
          <w:numId w:val="10"/>
        </w:numPr>
        <w:rPr>
          <w:rFonts w:ascii="Arial" w:cs="Arial" w:eastAsia="Arial" w:hAnsi="Arial"/>
          <w:sz w:val="14"/>
          <w:szCs w:val="14"/>
          <w:color w:val="7CBD3F"/>
        </w:rPr>
      </w:pPr>
      <w:r>
        <w:rPr>
          <w:rFonts w:ascii="Arial" w:cs="Arial" w:eastAsia="Arial" w:hAnsi="Arial"/>
          <w:sz w:val="14"/>
          <w:szCs w:val="14"/>
          <w:color w:val="auto"/>
        </w:rPr>
        <w:t>Evaluates the performance of our executive officers in light of such goals and objectives, and determines the compensation of our executive officers</w:t>
      </w:r>
    </w:p>
    <w:p>
      <w:pPr>
        <w:spacing w:after="0" w:line="23" w:lineRule="exact"/>
        <w:rPr>
          <w:rFonts w:ascii="Arial" w:cs="Arial" w:eastAsia="Arial" w:hAnsi="Arial"/>
          <w:sz w:val="14"/>
          <w:szCs w:val="14"/>
          <w:color w:val="7CBD3F"/>
        </w:rPr>
      </w:pPr>
    </w:p>
    <w:p>
      <w:pPr>
        <w:ind w:left="160" w:right="60" w:hanging="152"/>
        <w:spacing w:after="0" w:line="278" w:lineRule="auto"/>
        <w:tabs>
          <w:tab w:leader="none" w:pos="160" w:val="left"/>
        </w:tabs>
        <w:numPr>
          <w:ilvl w:val="0"/>
          <w:numId w:val="10"/>
        </w:numPr>
        <w:rPr>
          <w:rFonts w:ascii="Arial" w:cs="Arial" w:eastAsia="Arial" w:hAnsi="Arial"/>
          <w:sz w:val="14"/>
          <w:szCs w:val="14"/>
          <w:color w:val="7CBD3F"/>
        </w:rPr>
      </w:pPr>
      <w:r>
        <w:rPr>
          <w:rFonts w:ascii="Arial" w:cs="Arial" w:eastAsia="Arial" w:hAnsi="Arial"/>
          <w:sz w:val="14"/>
          <w:szCs w:val="14"/>
          <w:color w:val="auto"/>
        </w:rPr>
        <w:t>Appoints, compensates, and oversees the work of any compensation consultant, legal counsel, or other advisor retained by the Compensation Committee</w:t>
      </w:r>
    </w:p>
    <w:p>
      <w:pPr>
        <w:spacing w:after="0" w:line="23" w:lineRule="exact"/>
        <w:rPr>
          <w:rFonts w:ascii="Arial" w:cs="Arial" w:eastAsia="Arial" w:hAnsi="Arial"/>
          <w:sz w:val="14"/>
          <w:szCs w:val="14"/>
          <w:color w:val="7CBD3F"/>
        </w:rPr>
      </w:pPr>
    </w:p>
    <w:p>
      <w:pPr>
        <w:ind w:left="160" w:right="60" w:hanging="152"/>
        <w:spacing w:after="0" w:line="278" w:lineRule="auto"/>
        <w:tabs>
          <w:tab w:leader="none" w:pos="160" w:val="left"/>
        </w:tabs>
        <w:numPr>
          <w:ilvl w:val="0"/>
          <w:numId w:val="10"/>
        </w:numPr>
        <w:rPr>
          <w:rFonts w:ascii="Arial" w:cs="Arial" w:eastAsia="Arial" w:hAnsi="Arial"/>
          <w:sz w:val="14"/>
          <w:szCs w:val="14"/>
          <w:color w:val="7CBD3F"/>
        </w:rPr>
      </w:pPr>
      <w:r>
        <w:rPr>
          <w:rFonts w:ascii="Arial" w:cs="Arial" w:eastAsia="Arial" w:hAnsi="Arial"/>
          <w:sz w:val="14"/>
          <w:szCs w:val="14"/>
          <w:color w:val="auto"/>
        </w:rPr>
        <w:t>Conducts the independence assessment outlined in Nasdaq rules with respect to any compensation consultant, legal counsel, or other advisor retained by the Compensation Committee</w:t>
      </w:r>
    </w:p>
    <w:p>
      <w:pPr>
        <w:spacing w:after="0" w:line="23" w:lineRule="exact"/>
        <w:rPr>
          <w:rFonts w:ascii="Arial" w:cs="Arial" w:eastAsia="Arial" w:hAnsi="Arial"/>
          <w:sz w:val="14"/>
          <w:szCs w:val="14"/>
          <w:color w:val="7CBD3F"/>
        </w:rPr>
      </w:pPr>
    </w:p>
    <w:p>
      <w:pPr>
        <w:ind w:left="160" w:hanging="152"/>
        <w:spacing w:after="0"/>
        <w:tabs>
          <w:tab w:leader="none" w:pos="160" w:val="left"/>
        </w:tabs>
        <w:numPr>
          <w:ilvl w:val="0"/>
          <w:numId w:val="10"/>
        </w:numPr>
        <w:rPr>
          <w:rFonts w:ascii="Arial" w:cs="Arial" w:eastAsia="Arial" w:hAnsi="Arial"/>
          <w:sz w:val="14"/>
          <w:szCs w:val="14"/>
          <w:color w:val="7CBD3F"/>
        </w:rPr>
      </w:pPr>
      <w:r>
        <w:rPr>
          <w:rFonts w:ascii="Arial" w:cs="Arial" w:eastAsia="Arial" w:hAnsi="Arial"/>
          <w:sz w:val="14"/>
          <w:szCs w:val="14"/>
          <w:color w:val="auto"/>
        </w:rPr>
        <w:t>Oversees, and has the authority to administer, our compensation and benefit plans</w:t>
      </w:r>
    </w:p>
    <w:p>
      <w:pPr>
        <w:spacing w:after="0" w:line="72" w:lineRule="exact"/>
        <w:rPr>
          <w:rFonts w:ascii="Arial" w:cs="Arial" w:eastAsia="Arial" w:hAnsi="Arial"/>
          <w:sz w:val="14"/>
          <w:szCs w:val="14"/>
          <w:color w:val="7CBD3F"/>
        </w:rPr>
      </w:pPr>
    </w:p>
    <w:p>
      <w:pPr>
        <w:ind w:left="160" w:hanging="152"/>
        <w:spacing w:after="0"/>
        <w:tabs>
          <w:tab w:leader="none" w:pos="160" w:val="left"/>
        </w:tabs>
        <w:numPr>
          <w:ilvl w:val="0"/>
          <w:numId w:val="10"/>
        </w:numPr>
        <w:rPr>
          <w:rFonts w:ascii="Arial" w:cs="Arial" w:eastAsia="Arial" w:hAnsi="Arial"/>
          <w:sz w:val="14"/>
          <w:szCs w:val="14"/>
          <w:color w:val="7CBD3F"/>
        </w:rPr>
      </w:pPr>
      <w:r>
        <w:rPr>
          <w:rFonts w:ascii="Arial" w:cs="Arial" w:eastAsia="Arial" w:hAnsi="Arial"/>
          <w:sz w:val="14"/>
          <w:szCs w:val="14"/>
          <w:color w:val="auto"/>
        </w:rPr>
        <w:t>Oversees administration of our clawback policy</w:t>
      </w:r>
    </w:p>
    <w:p>
      <w:pPr>
        <w:spacing w:after="0" w:line="72" w:lineRule="exact"/>
        <w:rPr>
          <w:rFonts w:ascii="Arial" w:cs="Arial" w:eastAsia="Arial" w:hAnsi="Arial"/>
          <w:sz w:val="14"/>
          <w:szCs w:val="14"/>
          <w:color w:val="7CBD3F"/>
        </w:rPr>
      </w:pPr>
    </w:p>
    <w:p>
      <w:pPr>
        <w:ind w:left="160" w:hanging="152"/>
        <w:spacing w:after="0"/>
        <w:tabs>
          <w:tab w:leader="none" w:pos="160" w:val="left"/>
        </w:tabs>
        <w:numPr>
          <w:ilvl w:val="0"/>
          <w:numId w:val="10"/>
        </w:numPr>
        <w:rPr>
          <w:rFonts w:ascii="Arial" w:cs="Arial" w:eastAsia="Arial" w:hAnsi="Arial"/>
          <w:sz w:val="14"/>
          <w:szCs w:val="14"/>
          <w:color w:val="7CBD3F"/>
        </w:rPr>
      </w:pPr>
      <w:r>
        <w:rPr>
          <w:rFonts w:ascii="Arial" w:cs="Arial" w:eastAsia="Arial" w:hAnsi="Arial"/>
          <w:sz w:val="14"/>
          <w:szCs w:val="14"/>
          <w:color w:val="auto"/>
        </w:rPr>
        <w:t>Reviews and approves our policies and procedures for the grant of equity-based awards</w:t>
      </w:r>
    </w:p>
    <w:p>
      <w:pPr>
        <w:spacing w:after="0" w:line="72" w:lineRule="exact"/>
        <w:rPr>
          <w:rFonts w:ascii="Arial" w:cs="Arial" w:eastAsia="Arial" w:hAnsi="Arial"/>
          <w:sz w:val="14"/>
          <w:szCs w:val="14"/>
          <w:color w:val="7CBD3F"/>
        </w:rPr>
      </w:pPr>
    </w:p>
    <w:p>
      <w:pPr>
        <w:ind w:left="160" w:hanging="152"/>
        <w:spacing w:after="0"/>
        <w:tabs>
          <w:tab w:leader="none" w:pos="160" w:val="left"/>
        </w:tabs>
        <w:numPr>
          <w:ilvl w:val="0"/>
          <w:numId w:val="10"/>
        </w:numPr>
        <w:rPr>
          <w:rFonts w:ascii="Arial" w:cs="Arial" w:eastAsia="Arial" w:hAnsi="Arial"/>
          <w:sz w:val="14"/>
          <w:szCs w:val="14"/>
          <w:color w:val="7CBD3F"/>
        </w:rPr>
      </w:pPr>
      <w:r>
        <w:rPr>
          <w:rFonts w:ascii="Arial" w:cs="Arial" w:eastAsia="Arial" w:hAnsi="Arial"/>
          <w:sz w:val="14"/>
          <w:szCs w:val="14"/>
          <w:color w:val="auto"/>
        </w:rPr>
        <w:t>Reviews and makes recommendations to the Board with respect to director compensation</w:t>
      </w:r>
    </w:p>
    <w:p>
      <w:pPr>
        <w:spacing w:after="0" w:line="72" w:lineRule="exact"/>
        <w:rPr>
          <w:rFonts w:ascii="Arial" w:cs="Arial" w:eastAsia="Arial" w:hAnsi="Arial"/>
          <w:sz w:val="14"/>
          <w:szCs w:val="14"/>
          <w:color w:val="7CBD3F"/>
        </w:rPr>
      </w:pPr>
    </w:p>
    <w:p>
      <w:pPr>
        <w:ind w:left="160" w:right="60" w:hanging="152"/>
        <w:spacing w:after="0" w:line="278" w:lineRule="auto"/>
        <w:tabs>
          <w:tab w:leader="none" w:pos="160" w:val="left"/>
        </w:tabs>
        <w:numPr>
          <w:ilvl w:val="0"/>
          <w:numId w:val="10"/>
        </w:numPr>
        <w:rPr>
          <w:rFonts w:ascii="Arial" w:cs="Arial" w:eastAsia="Arial" w:hAnsi="Arial"/>
          <w:sz w:val="14"/>
          <w:szCs w:val="14"/>
          <w:color w:val="7CBD3F"/>
        </w:rPr>
      </w:pPr>
      <w:r>
        <w:rPr>
          <w:rFonts w:ascii="Arial" w:cs="Arial" w:eastAsia="Arial" w:hAnsi="Arial"/>
          <w:sz w:val="14"/>
          <w:szCs w:val="14"/>
          <w:color w:val="auto"/>
        </w:rPr>
        <w:t>Reviews and discusses with management the compensation discussion and analysis, if any, to be included in our annual proxy statements or annual reports on Form 10-K</w:t>
      </w:r>
    </w:p>
    <w:p>
      <w:pPr>
        <w:spacing w:after="0" w:line="23" w:lineRule="exact"/>
        <w:rPr>
          <w:rFonts w:ascii="Arial" w:cs="Arial" w:eastAsia="Arial" w:hAnsi="Arial"/>
          <w:sz w:val="14"/>
          <w:szCs w:val="14"/>
          <w:color w:val="7CBD3F"/>
        </w:rPr>
      </w:pPr>
    </w:p>
    <w:p>
      <w:pPr>
        <w:ind w:left="160" w:hanging="152"/>
        <w:spacing w:after="0"/>
        <w:tabs>
          <w:tab w:leader="none" w:pos="160" w:val="left"/>
        </w:tabs>
        <w:numPr>
          <w:ilvl w:val="0"/>
          <w:numId w:val="10"/>
        </w:numPr>
        <w:rPr>
          <w:rFonts w:ascii="Arial" w:cs="Arial" w:eastAsia="Arial" w:hAnsi="Arial"/>
          <w:sz w:val="14"/>
          <w:szCs w:val="14"/>
          <w:color w:val="7CBD3F"/>
        </w:rPr>
      </w:pPr>
      <w:r>
        <w:rPr>
          <w:rFonts w:ascii="Arial" w:cs="Arial" w:eastAsia="Arial" w:hAnsi="Arial"/>
          <w:sz w:val="14"/>
          <w:szCs w:val="14"/>
          <w:color w:val="auto"/>
        </w:rPr>
        <w:t>Oversees the maintenance and presentation to the Board of management’s plans for succession to senior management positions</w:t>
      </w:r>
    </w:p>
    <w:p>
      <w:pPr>
        <w:spacing w:after="0" w:line="72" w:lineRule="exact"/>
        <w:rPr>
          <w:rFonts w:ascii="Arial" w:cs="Arial" w:eastAsia="Arial" w:hAnsi="Arial"/>
          <w:sz w:val="14"/>
          <w:szCs w:val="14"/>
          <w:color w:val="7CBD3F"/>
        </w:rPr>
      </w:pPr>
    </w:p>
    <w:p>
      <w:pPr>
        <w:ind w:left="160" w:hanging="152"/>
        <w:spacing w:after="0"/>
        <w:tabs>
          <w:tab w:leader="none" w:pos="160" w:val="left"/>
        </w:tabs>
        <w:numPr>
          <w:ilvl w:val="0"/>
          <w:numId w:val="10"/>
        </w:numPr>
        <w:rPr>
          <w:rFonts w:ascii="Arial" w:cs="Arial" w:eastAsia="Arial" w:hAnsi="Arial"/>
          <w:sz w:val="14"/>
          <w:szCs w:val="14"/>
          <w:color w:val="7CBD3F"/>
        </w:rPr>
      </w:pPr>
      <w:r>
        <w:rPr>
          <w:rFonts w:ascii="Arial" w:cs="Arial" w:eastAsia="Arial" w:hAnsi="Arial"/>
          <w:sz w:val="14"/>
          <w:szCs w:val="14"/>
          <w:color w:val="auto"/>
        </w:rPr>
        <w:t>Annually reviews and reassesses the adequacy of the Compensation Committee charter and performs other duties, as specified in the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-1400810</wp:posOffset>
            </wp:positionH>
            <wp:positionV relativeFrom="paragraph">
              <wp:posOffset>24130</wp:posOffset>
            </wp:positionV>
            <wp:extent cx="7150735" cy="1460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0735" cy="14605"/>
                    </a:xfrm>
                    <a:prstGeom prst="rect">
                      <a:avLst/>
                    </a:prstGeom>
                    <a:noFill/>
                  </pic:spPr>
                </pic:pic>
              </a:graphicData>
            </a:graphic>
          </wp:anchor>
        </w:drawing>
        <w:drawing>
          <wp:anchor simplePos="0" relativeHeight="251657728" behindDoc="1" locked="0" layoutInCell="0" allowOverlap="1">
            <wp:simplePos x="0" y="0"/>
            <wp:positionH relativeFrom="column">
              <wp:posOffset>-1400810</wp:posOffset>
            </wp:positionH>
            <wp:positionV relativeFrom="paragraph">
              <wp:posOffset>172085</wp:posOffset>
            </wp:positionV>
            <wp:extent cx="7150735" cy="37020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0735" cy="3702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80" w:space="220"/>
            <w:col w:w="9060"/>
          </w:cols>
          <w:pgMar w:left="320" w:top="225" w:right="319" w:bottom="1440" w:gutter="0" w:footer="0" w:header="0"/>
        </w:sectPr>
      </w:pPr>
    </w:p>
    <w:p>
      <w:pPr>
        <w:spacing w:after="0" w:line="10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FFFFFF"/>
        </w:rPr>
        <w:t>Nominating and</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FFFFFF"/>
        </w:rPr>
        <w:t>Corporate</w:t>
      </w:r>
    </w:p>
    <w:p>
      <w:pPr>
        <w:spacing w:after="0" w:line="2" w:lineRule="exact"/>
        <w:rPr>
          <w:sz w:val="20"/>
          <w:szCs w:val="20"/>
          <w:color w:val="auto"/>
        </w:rPr>
      </w:pPr>
    </w:p>
    <w:p>
      <w:pPr>
        <w:ind w:left="40"/>
        <w:spacing w:after="0"/>
        <w:tabs>
          <w:tab w:leader="none" w:pos="1860" w:val="left"/>
        </w:tabs>
        <w:rPr>
          <w:sz w:val="20"/>
          <w:szCs w:val="20"/>
          <w:color w:val="auto"/>
        </w:rPr>
      </w:pPr>
      <w:r>
        <w:rPr>
          <w:rFonts w:ascii="Arial" w:cs="Arial" w:eastAsia="Arial" w:hAnsi="Arial"/>
          <w:sz w:val="14"/>
          <w:szCs w:val="14"/>
          <w:b w:val="1"/>
          <w:bCs w:val="1"/>
          <w:color w:val="FFFFFF"/>
        </w:rPr>
        <w:t>Governance Committee</w:t>
      </w:r>
      <w:r>
        <w:rPr>
          <w:sz w:val="20"/>
          <w:szCs w:val="20"/>
          <w:color w:val="auto"/>
        </w:rPr>
        <w:tab/>
      </w:r>
      <w:r>
        <w:rPr>
          <w:rFonts w:ascii="Arial" w:cs="Arial" w:eastAsia="Arial" w:hAnsi="Arial"/>
          <w:sz w:val="14"/>
          <w:szCs w:val="14"/>
          <w:b w:val="1"/>
          <w:bCs w:val="1"/>
          <w:color w:val="FFFFFF"/>
        </w:rPr>
        <w:t>Key Responsibilities</w:t>
      </w:r>
    </w:p>
    <w:p>
      <w:pPr>
        <w:sectPr>
          <w:pgSz w:w="11900" w:h="16838" w:orient="portrait"/>
          <w:cols w:equalWidth="0" w:num="1">
            <w:col w:w="11260"/>
          </w:cols>
          <w:pgMar w:left="320" w:top="225" w:right="319" w:bottom="1440" w:gutter="0" w:footer="0" w:header="0"/>
          <w:type w:val="continuous"/>
        </w:sectPr>
      </w:pPr>
    </w:p>
    <w:p>
      <w:pPr>
        <w:spacing w:after="0" w:line="8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Members:</w:t>
      </w:r>
    </w:p>
    <w:p>
      <w:pPr>
        <w:spacing w:after="0" w:line="16" w:lineRule="exact"/>
        <w:rPr>
          <w:sz w:val="20"/>
          <w:szCs w:val="20"/>
          <w:color w:val="auto"/>
        </w:rPr>
      </w:pPr>
    </w:p>
    <w:p>
      <w:pPr>
        <w:ind w:left="40" w:right="60"/>
        <w:spacing w:after="0" w:line="243" w:lineRule="auto"/>
        <w:rPr>
          <w:sz w:val="20"/>
          <w:szCs w:val="20"/>
          <w:color w:val="auto"/>
        </w:rPr>
      </w:pPr>
      <w:r>
        <w:rPr>
          <w:rFonts w:ascii="Arial" w:cs="Arial" w:eastAsia="Arial" w:hAnsi="Arial"/>
          <w:sz w:val="14"/>
          <w:szCs w:val="14"/>
          <w:color w:val="auto"/>
        </w:rPr>
        <w:t>Shehnaaz Suliman, M.D. (Chairperson) Matthew K. Fust</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color w:val="auto"/>
        </w:rPr>
        <w:t>Daniel G. Welch</w:t>
      </w:r>
    </w:p>
    <w:p>
      <w:pPr>
        <w:spacing w:after="0" w:line="317" w:lineRule="exact"/>
        <w:rPr>
          <w:sz w:val="20"/>
          <w:szCs w:val="20"/>
          <w:color w:val="auto"/>
        </w:rPr>
      </w:pPr>
    </w:p>
    <w:p>
      <w:pPr>
        <w:ind w:left="40"/>
        <w:spacing w:after="0"/>
        <w:tabs>
          <w:tab w:leader="none" w:pos="360" w:val="left"/>
          <w:tab w:leader="none" w:pos="1120" w:val="left"/>
          <w:tab w:leader="none" w:pos="1420" w:val="left"/>
        </w:tabs>
        <w:rPr>
          <w:sz w:val="20"/>
          <w:szCs w:val="20"/>
          <w:color w:val="auto"/>
        </w:rPr>
      </w:pPr>
      <w:r>
        <w:rPr>
          <w:rFonts w:ascii="Arial" w:cs="Arial" w:eastAsia="Arial" w:hAnsi="Arial"/>
          <w:sz w:val="14"/>
          <w:szCs w:val="14"/>
          <w:i w:val="1"/>
          <w:iCs w:val="1"/>
          <w:color w:val="auto"/>
        </w:rPr>
        <w:t>All</w:t>
        <w:tab/>
        <w:t>members</w:t>
        <w:tab/>
        <w:t>of</w:t>
        <w:tab/>
        <w:t>the</w:t>
      </w:r>
    </w:p>
    <w:p>
      <w:pPr>
        <w:spacing w:after="0" w:line="14" w:lineRule="exact"/>
        <w:rPr>
          <w:sz w:val="20"/>
          <w:szCs w:val="20"/>
          <w:color w:val="auto"/>
        </w:rPr>
      </w:pPr>
    </w:p>
    <w:p>
      <w:pPr>
        <w:jc w:val="both"/>
        <w:ind w:left="40"/>
        <w:spacing w:after="0" w:line="246" w:lineRule="auto"/>
        <w:rPr>
          <w:sz w:val="20"/>
          <w:szCs w:val="20"/>
          <w:color w:val="auto"/>
        </w:rPr>
      </w:pPr>
      <w:r>
        <w:rPr>
          <w:rFonts w:ascii="Arial" w:cs="Arial" w:eastAsia="Arial" w:hAnsi="Arial"/>
          <w:sz w:val="14"/>
          <w:szCs w:val="14"/>
          <w:i w:val="1"/>
          <w:iCs w:val="1"/>
          <w:color w:val="auto"/>
        </w:rPr>
        <w:t>Nominating and Corporate Governance Committee satisfy the current Nasdaq and SEC independence standards</w:t>
      </w:r>
    </w:p>
    <w:p>
      <w:pPr>
        <w:spacing w:after="0" w:line="140" w:lineRule="exact"/>
        <w:rPr>
          <w:sz w:val="20"/>
          <w:szCs w:val="20"/>
          <w:color w:val="auto"/>
        </w:rPr>
      </w:pPr>
    </w:p>
    <w:p>
      <w:pPr>
        <w:ind w:left="40" w:right="200"/>
        <w:spacing w:after="0" w:line="290" w:lineRule="auto"/>
        <w:rPr>
          <w:sz w:val="20"/>
          <w:szCs w:val="20"/>
          <w:color w:val="auto"/>
        </w:rPr>
      </w:pPr>
      <w:r>
        <w:rPr>
          <w:rFonts w:ascii="Arial" w:cs="Arial" w:eastAsia="Arial" w:hAnsi="Arial"/>
          <w:sz w:val="14"/>
          <w:szCs w:val="14"/>
          <w:b w:val="1"/>
          <w:bCs w:val="1"/>
          <w:color w:val="auto"/>
        </w:rPr>
        <w:t xml:space="preserve">Meetings held during 2024: </w:t>
      </w:r>
      <w:r>
        <w:rPr>
          <w:rFonts w:ascii="Arial" w:cs="Arial" w:eastAsia="Arial" w:hAnsi="Arial"/>
          <w:sz w:val="14"/>
          <w:szCs w:val="14"/>
          <w:b w:val="1"/>
          <w:bCs w:val="1"/>
          <w:color w:val="7CBD3F"/>
        </w:rPr>
        <w:t>Three</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jc w:val="both"/>
        <w:ind w:right="60"/>
        <w:spacing w:after="0" w:line="250" w:lineRule="auto"/>
        <w:rPr>
          <w:sz w:val="20"/>
          <w:szCs w:val="20"/>
          <w:color w:val="auto"/>
        </w:rPr>
      </w:pPr>
      <w:r>
        <w:rPr>
          <w:rFonts w:ascii="Arial" w:cs="Arial" w:eastAsia="Arial" w:hAnsi="Arial"/>
          <w:sz w:val="14"/>
          <w:szCs w:val="14"/>
          <w:color w:val="auto"/>
        </w:rPr>
        <w:t>The Nominating and Corporate Governance Committee has been delegated the task of overseeing all risks facing us, other than those overseen by the Audit Committee and by the Compensation Committee, and reporting back to the Board regarding the same. In 2024, the Nominating and Corporate Governance Committee reviewed with management, in particular, CEO succession planning, the risks and mitigation strategies related to matters covered in our Impact Report, our director search process and the Company’s governance structure to assess the continued appropriateness of the classified board and other structural elements for the Company. The Nominating and Corporate Governance Committee is also responsible for the following:</w:t>
      </w:r>
    </w:p>
    <w:p>
      <w:pPr>
        <w:spacing w:after="0" w:line="136" w:lineRule="exact"/>
        <w:rPr>
          <w:sz w:val="20"/>
          <w:szCs w:val="20"/>
          <w:color w:val="auto"/>
        </w:rPr>
      </w:pPr>
    </w:p>
    <w:p>
      <w:pPr>
        <w:ind w:left="160" w:hanging="158"/>
        <w:spacing w:after="0"/>
        <w:tabs>
          <w:tab w:leader="none" w:pos="160" w:val="left"/>
        </w:tabs>
        <w:numPr>
          <w:ilvl w:val="0"/>
          <w:numId w:val="11"/>
        </w:numPr>
        <w:rPr>
          <w:rFonts w:ascii="Arial" w:cs="Arial" w:eastAsia="Arial" w:hAnsi="Arial"/>
          <w:sz w:val="14"/>
          <w:szCs w:val="14"/>
          <w:color w:val="7CBD3F"/>
        </w:rPr>
      </w:pPr>
      <w:r>
        <w:rPr>
          <w:rFonts w:ascii="Arial" w:cs="Arial" w:eastAsia="Arial" w:hAnsi="Arial"/>
          <w:sz w:val="14"/>
          <w:szCs w:val="14"/>
          <w:color w:val="auto"/>
        </w:rPr>
        <w:t>Develops and recommends to the Board criteria for Board and committee membership</w:t>
      </w:r>
    </w:p>
    <w:p>
      <w:pPr>
        <w:spacing w:after="0" w:line="72" w:lineRule="exact"/>
        <w:rPr>
          <w:rFonts w:ascii="Arial" w:cs="Arial" w:eastAsia="Arial" w:hAnsi="Arial"/>
          <w:sz w:val="14"/>
          <w:szCs w:val="14"/>
          <w:color w:val="7CBD3F"/>
        </w:rPr>
      </w:pPr>
    </w:p>
    <w:p>
      <w:pPr>
        <w:ind w:left="160" w:right="60" w:hanging="158"/>
        <w:spacing w:after="0" w:line="278" w:lineRule="auto"/>
        <w:tabs>
          <w:tab w:leader="none" w:pos="160" w:val="left"/>
        </w:tabs>
        <w:numPr>
          <w:ilvl w:val="0"/>
          <w:numId w:val="11"/>
        </w:numPr>
        <w:rPr>
          <w:rFonts w:ascii="Arial" w:cs="Arial" w:eastAsia="Arial" w:hAnsi="Arial"/>
          <w:sz w:val="14"/>
          <w:szCs w:val="14"/>
          <w:color w:val="7CBD3F"/>
        </w:rPr>
      </w:pPr>
      <w:r>
        <w:rPr>
          <w:rFonts w:ascii="Arial" w:cs="Arial" w:eastAsia="Arial" w:hAnsi="Arial"/>
          <w:sz w:val="14"/>
          <w:szCs w:val="14"/>
          <w:color w:val="auto"/>
        </w:rPr>
        <w:t>Establishes procedures for identifying and evaluating Board candidates, including nominees recommended by stockholders; identifies individuals qualified to become members of the Board</w:t>
      </w:r>
    </w:p>
    <w:p>
      <w:pPr>
        <w:spacing w:after="0" w:line="23" w:lineRule="exact"/>
        <w:rPr>
          <w:rFonts w:ascii="Arial" w:cs="Arial" w:eastAsia="Arial" w:hAnsi="Arial"/>
          <w:sz w:val="14"/>
          <w:szCs w:val="14"/>
          <w:color w:val="7CBD3F"/>
        </w:rPr>
      </w:pPr>
    </w:p>
    <w:p>
      <w:pPr>
        <w:ind w:left="160" w:hanging="158"/>
        <w:spacing w:after="0"/>
        <w:tabs>
          <w:tab w:leader="none" w:pos="160" w:val="left"/>
        </w:tabs>
        <w:numPr>
          <w:ilvl w:val="0"/>
          <w:numId w:val="11"/>
        </w:numPr>
        <w:rPr>
          <w:rFonts w:ascii="Arial" w:cs="Arial" w:eastAsia="Arial" w:hAnsi="Arial"/>
          <w:sz w:val="14"/>
          <w:szCs w:val="14"/>
          <w:color w:val="7CBD3F"/>
        </w:rPr>
      </w:pPr>
      <w:r>
        <w:rPr>
          <w:rFonts w:ascii="Arial" w:cs="Arial" w:eastAsia="Arial" w:hAnsi="Arial"/>
          <w:sz w:val="14"/>
          <w:szCs w:val="14"/>
          <w:color w:val="auto"/>
        </w:rPr>
        <w:t>Recommends to the Board the persons to be nominated for election as directors and to each of the Board’s committees</w:t>
      </w:r>
    </w:p>
    <w:p>
      <w:pPr>
        <w:spacing w:after="0" w:line="72" w:lineRule="exact"/>
        <w:rPr>
          <w:rFonts w:ascii="Arial" w:cs="Arial" w:eastAsia="Arial" w:hAnsi="Arial"/>
          <w:sz w:val="14"/>
          <w:szCs w:val="14"/>
          <w:color w:val="7CBD3F"/>
        </w:rPr>
      </w:pPr>
    </w:p>
    <w:p>
      <w:pPr>
        <w:ind w:left="160" w:hanging="158"/>
        <w:spacing w:after="0"/>
        <w:tabs>
          <w:tab w:leader="none" w:pos="160" w:val="left"/>
        </w:tabs>
        <w:numPr>
          <w:ilvl w:val="0"/>
          <w:numId w:val="11"/>
        </w:numPr>
        <w:rPr>
          <w:rFonts w:ascii="Arial" w:cs="Arial" w:eastAsia="Arial" w:hAnsi="Arial"/>
          <w:sz w:val="14"/>
          <w:szCs w:val="14"/>
          <w:color w:val="7CBD3F"/>
        </w:rPr>
      </w:pPr>
      <w:r>
        <w:rPr>
          <w:rFonts w:ascii="Arial" w:cs="Arial" w:eastAsia="Arial" w:hAnsi="Arial"/>
          <w:sz w:val="14"/>
          <w:szCs w:val="14"/>
          <w:color w:val="auto"/>
        </w:rPr>
        <w:t>Develops and recommends to the Board a set of corporate governance guidelines</w:t>
      </w:r>
    </w:p>
    <w:p>
      <w:pPr>
        <w:spacing w:after="0" w:line="72" w:lineRule="exact"/>
        <w:rPr>
          <w:rFonts w:ascii="Arial" w:cs="Arial" w:eastAsia="Arial" w:hAnsi="Arial"/>
          <w:sz w:val="14"/>
          <w:szCs w:val="14"/>
          <w:color w:val="7CBD3F"/>
        </w:rPr>
      </w:pPr>
    </w:p>
    <w:p>
      <w:pPr>
        <w:ind w:left="160" w:hanging="158"/>
        <w:spacing w:after="0"/>
        <w:tabs>
          <w:tab w:leader="none" w:pos="160" w:val="left"/>
        </w:tabs>
        <w:numPr>
          <w:ilvl w:val="0"/>
          <w:numId w:val="11"/>
        </w:numPr>
        <w:rPr>
          <w:rFonts w:ascii="Arial" w:cs="Arial" w:eastAsia="Arial" w:hAnsi="Arial"/>
          <w:sz w:val="14"/>
          <w:szCs w:val="14"/>
          <w:color w:val="7CBD3F"/>
        </w:rPr>
      </w:pPr>
      <w:r>
        <w:rPr>
          <w:rFonts w:ascii="Arial" w:cs="Arial" w:eastAsia="Arial" w:hAnsi="Arial"/>
          <w:sz w:val="14"/>
          <w:szCs w:val="14"/>
          <w:color w:val="auto"/>
        </w:rPr>
        <w:t>Oversees the maintenance and presentation to the Board of plans for succession to the position of Chief Executive Officer</w:t>
      </w:r>
    </w:p>
    <w:p>
      <w:pPr>
        <w:spacing w:after="0" w:line="72" w:lineRule="exact"/>
        <w:rPr>
          <w:rFonts w:ascii="Arial" w:cs="Arial" w:eastAsia="Arial" w:hAnsi="Arial"/>
          <w:sz w:val="14"/>
          <w:szCs w:val="14"/>
          <w:color w:val="7CBD3F"/>
        </w:rPr>
      </w:pPr>
    </w:p>
    <w:p>
      <w:pPr>
        <w:ind w:left="160" w:hanging="158"/>
        <w:spacing w:after="0"/>
        <w:tabs>
          <w:tab w:leader="none" w:pos="160" w:val="left"/>
        </w:tabs>
        <w:numPr>
          <w:ilvl w:val="0"/>
          <w:numId w:val="11"/>
        </w:numPr>
        <w:rPr>
          <w:rFonts w:ascii="Arial" w:cs="Arial" w:eastAsia="Arial" w:hAnsi="Arial"/>
          <w:sz w:val="14"/>
          <w:szCs w:val="14"/>
          <w:color w:val="7CBD3F"/>
        </w:rPr>
      </w:pPr>
      <w:r>
        <w:rPr>
          <w:rFonts w:ascii="Arial" w:cs="Arial" w:eastAsia="Arial" w:hAnsi="Arial"/>
          <w:sz w:val="14"/>
          <w:szCs w:val="14"/>
          <w:color w:val="auto"/>
        </w:rPr>
        <w:t>Assists the Compensation Committee in its oversight of succession planning for other senior management positions</w:t>
      </w:r>
    </w:p>
    <w:p>
      <w:pPr>
        <w:spacing w:after="0" w:line="72" w:lineRule="exact"/>
        <w:rPr>
          <w:rFonts w:ascii="Arial" w:cs="Arial" w:eastAsia="Arial" w:hAnsi="Arial"/>
          <w:sz w:val="14"/>
          <w:szCs w:val="14"/>
          <w:color w:val="7CBD3F"/>
        </w:rPr>
      </w:pPr>
    </w:p>
    <w:p>
      <w:pPr>
        <w:ind w:left="160" w:hanging="158"/>
        <w:spacing w:after="0"/>
        <w:tabs>
          <w:tab w:leader="none" w:pos="160" w:val="left"/>
        </w:tabs>
        <w:numPr>
          <w:ilvl w:val="0"/>
          <w:numId w:val="11"/>
        </w:numPr>
        <w:rPr>
          <w:rFonts w:ascii="Arial" w:cs="Arial" w:eastAsia="Arial" w:hAnsi="Arial"/>
          <w:sz w:val="14"/>
          <w:szCs w:val="14"/>
          <w:color w:val="7CBD3F"/>
        </w:rPr>
      </w:pPr>
      <w:r>
        <w:rPr>
          <w:rFonts w:ascii="Arial" w:cs="Arial" w:eastAsia="Arial" w:hAnsi="Arial"/>
          <w:sz w:val="14"/>
          <w:szCs w:val="14"/>
          <w:color w:val="auto"/>
        </w:rPr>
        <w:t>Oversees our compliance program</w:t>
      </w:r>
    </w:p>
    <w:p>
      <w:pPr>
        <w:spacing w:after="0" w:line="72" w:lineRule="exact"/>
        <w:rPr>
          <w:rFonts w:ascii="Arial" w:cs="Arial" w:eastAsia="Arial" w:hAnsi="Arial"/>
          <w:sz w:val="14"/>
          <w:szCs w:val="14"/>
          <w:color w:val="7CBD3F"/>
        </w:rPr>
      </w:pPr>
    </w:p>
    <w:p>
      <w:pPr>
        <w:ind w:left="160" w:hanging="158"/>
        <w:spacing w:after="0"/>
        <w:tabs>
          <w:tab w:leader="none" w:pos="160" w:val="left"/>
        </w:tabs>
        <w:numPr>
          <w:ilvl w:val="0"/>
          <w:numId w:val="11"/>
        </w:numPr>
        <w:rPr>
          <w:rFonts w:ascii="Arial" w:cs="Arial" w:eastAsia="Arial" w:hAnsi="Arial"/>
          <w:sz w:val="14"/>
          <w:szCs w:val="14"/>
          <w:color w:val="7CBD3F"/>
        </w:rPr>
      </w:pPr>
      <w:r>
        <w:rPr>
          <w:rFonts w:ascii="Arial" w:cs="Arial" w:eastAsia="Arial" w:hAnsi="Arial"/>
          <w:sz w:val="14"/>
          <w:szCs w:val="14"/>
          <w:color w:val="auto"/>
        </w:rPr>
        <w:t>Recommends to the Board and reviews on regular basis with Board our corporate responsibility and sustainability matters relevant to our business</w:t>
      </w:r>
    </w:p>
    <w:p>
      <w:pPr>
        <w:spacing w:after="0" w:line="72" w:lineRule="exact"/>
        <w:rPr>
          <w:rFonts w:ascii="Arial" w:cs="Arial" w:eastAsia="Arial" w:hAnsi="Arial"/>
          <w:sz w:val="14"/>
          <w:szCs w:val="14"/>
          <w:color w:val="7CBD3F"/>
        </w:rPr>
      </w:pPr>
    </w:p>
    <w:p>
      <w:pPr>
        <w:ind w:left="160" w:right="60" w:hanging="158"/>
        <w:spacing w:after="0" w:line="278" w:lineRule="auto"/>
        <w:tabs>
          <w:tab w:leader="none" w:pos="160" w:val="left"/>
        </w:tabs>
        <w:numPr>
          <w:ilvl w:val="0"/>
          <w:numId w:val="11"/>
        </w:numPr>
        <w:rPr>
          <w:rFonts w:ascii="Arial" w:cs="Arial" w:eastAsia="Arial" w:hAnsi="Arial"/>
          <w:sz w:val="14"/>
          <w:szCs w:val="14"/>
          <w:color w:val="7CBD3F"/>
        </w:rPr>
      </w:pPr>
      <w:r>
        <w:rPr>
          <w:rFonts w:ascii="Arial" w:cs="Arial" w:eastAsia="Arial" w:hAnsi="Arial"/>
          <w:sz w:val="14"/>
          <w:szCs w:val="14"/>
          <w:color w:val="auto"/>
        </w:rPr>
        <w:t>Annually reviews and reassesses the adequacy of the Nominating and Corporate Governance Committee charter and performs other duties, as specified in the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-1197610</wp:posOffset>
            </wp:positionH>
            <wp:positionV relativeFrom="paragraph">
              <wp:posOffset>-6350</wp:posOffset>
            </wp:positionV>
            <wp:extent cx="7150735" cy="1460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pacing w:after="0" w:line="163" w:lineRule="exact"/>
        <w:rPr>
          <w:sz w:val="20"/>
          <w:szCs w:val="20"/>
          <w:color w:val="auto"/>
        </w:rPr>
      </w:pPr>
    </w:p>
    <w:p>
      <w:pPr>
        <w:sectPr>
          <w:pgSz w:w="11900" w:h="16838" w:orient="portrait"/>
          <w:cols w:equalWidth="0" w:num="2">
            <w:col w:w="1640" w:space="240"/>
            <w:col w:w="9380"/>
          </w:cols>
          <w:pgMar w:left="320" w:top="225" w:right="319" w:bottom="1440" w:gutter="0" w:footer="0" w:header="0"/>
          <w:type w:val="continuous"/>
        </w:sectPr>
      </w:pPr>
    </w:p>
    <w:p>
      <w:pPr>
        <w:ind w:left="6760"/>
        <w:spacing w:after="0"/>
        <w:tabs>
          <w:tab w:leader="none" w:pos="11080" w:val="left"/>
        </w:tabs>
        <w:rPr>
          <w:sz w:val="20"/>
          <w:szCs w:val="20"/>
          <w:color w:val="auto"/>
        </w:rPr>
      </w:pPr>
      <w:r>
        <w:rPr>
          <w:rFonts w:ascii="Arial" w:cs="Arial" w:eastAsia="Arial" w:hAnsi="Arial"/>
          <w:sz w:val="14"/>
          <w:szCs w:val="14"/>
          <w:b w:val="1"/>
          <w:bCs w:val="1"/>
          <w:color w:val="auto"/>
        </w:rPr>
        <w:t xml:space="preserve">ULTRAGENYX PHARMACEUTICAL INC. </w:t>
      </w:r>
      <w:r>
        <w:rPr>
          <w:rFonts w:ascii="Arial" w:cs="Arial" w:eastAsia="Arial" w:hAnsi="Arial"/>
          <w:sz w:val="14"/>
          <w:szCs w:val="14"/>
          <w:color w:val="7CBD3F"/>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2025 Proxy Statement</w:t>
      </w:r>
      <w:r>
        <w:rPr>
          <w:rFonts w:ascii="Arial" w:cs="Arial" w:eastAsia="Arial" w:hAnsi="Arial"/>
          <w:sz w:val="14"/>
          <w:szCs w:val="14"/>
          <w:b w:val="1"/>
          <w:bCs w:val="1"/>
          <w:color w:val="auto"/>
        </w:rPr>
        <w:tab/>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142240</wp:posOffset>
            </wp:positionV>
            <wp:extent cx="7150735"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0735" cy="29845"/>
                    </a:xfrm>
                    <a:prstGeom prst="rect">
                      <a:avLst/>
                    </a:prstGeom>
                    <a:noFill/>
                  </pic:spPr>
                </pic:pic>
              </a:graphicData>
            </a:graphic>
          </wp:anchor>
        </w:drawing>
      </w:r>
    </w:p>
    <w:p>
      <w:pPr>
        <w:sectPr>
          <w:pgSz w:w="11900" w:h="16838" w:orient="portrait"/>
          <w:cols w:equalWidth="0" w:num="1">
            <w:col w:w="11260"/>
          </w:cols>
          <w:pgMar w:left="320" w:top="225" w:right="31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2"/>
          <w:szCs w:val="12"/>
          <w:b w:val="1"/>
          <w:bCs w:val="1"/>
          <w:u w:val="single" w:color="auto"/>
          <w:color w:val="0000EE"/>
        </w:rPr>
        <w:t>Back to Contents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380" w:type="dxa"/>
            <w:vAlign w:val="bottom"/>
            <w:shd w:val="clear" w:color="auto" w:fill="7CBD3F"/>
          </w:tcPr>
          <w:p>
            <w:pPr>
              <w:ind w:left="40"/>
              <w:spacing w:after="0"/>
              <w:rPr>
                <w:sz w:val="20"/>
                <w:szCs w:val="20"/>
                <w:color w:val="auto"/>
              </w:rPr>
            </w:pPr>
            <w:r>
              <w:rPr>
                <w:rFonts w:ascii="Arial" w:cs="Arial" w:eastAsia="Arial" w:hAnsi="Arial"/>
                <w:sz w:val="14"/>
                <w:szCs w:val="14"/>
                <w:b w:val="1"/>
                <w:bCs w:val="1"/>
                <w:color w:val="FFFFFF"/>
              </w:rPr>
              <w:t>Research and Development</w:t>
            </w:r>
          </w:p>
        </w:tc>
        <w:tc>
          <w:tcPr>
            <w:tcW w:w="8880" w:type="dxa"/>
            <w:vAlign w:val="bottom"/>
            <w:shd w:val="clear" w:color="auto" w:fill="7CBD3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380" w:type="dxa"/>
            <w:vAlign w:val="bottom"/>
            <w:tcBorders>
              <w:bottom w:val="single" w:sz="8" w:color="7CBD3F"/>
            </w:tcBorders>
            <w:shd w:val="clear" w:color="auto" w:fill="7CBD3F"/>
          </w:tcPr>
          <w:p>
            <w:pPr>
              <w:ind w:left="40"/>
              <w:spacing w:after="0"/>
              <w:rPr>
                <w:sz w:val="20"/>
                <w:szCs w:val="20"/>
                <w:color w:val="auto"/>
              </w:rPr>
            </w:pPr>
            <w:r>
              <w:rPr>
                <w:rFonts w:ascii="Arial" w:cs="Arial" w:eastAsia="Arial" w:hAnsi="Arial"/>
                <w:sz w:val="14"/>
                <w:szCs w:val="14"/>
                <w:b w:val="1"/>
                <w:bCs w:val="1"/>
                <w:color w:val="FFFFFF"/>
              </w:rPr>
              <w:t>Committee</w:t>
            </w:r>
          </w:p>
        </w:tc>
        <w:tc>
          <w:tcPr>
            <w:tcW w:w="8880" w:type="dxa"/>
            <w:vAlign w:val="bottom"/>
            <w:tcBorders>
              <w:bottom w:val="single" w:sz="8" w:color="7CBD3F"/>
            </w:tcBorders>
            <w:shd w:val="clear" w:color="auto" w:fill="7CBD3F"/>
          </w:tcPr>
          <w:p>
            <w:pPr>
              <w:ind w:left="220"/>
              <w:spacing w:after="0"/>
              <w:rPr>
                <w:sz w:val="20"/>
                <w:szCs w:val="20"/>
                <w:color w:val="auto"/>
              </w:rPr>
            </w:pPr>
            <w:r>
              <w:rPr>
                <w:rFonts w:ascii="Arial" w:cs="Arial" w:eastAsia="Arial" w:hAnsi="Arial"/>
                <w:sz w:val="14"/>
                <w:szCs w:val="14"/>
                <w:b w:val="1"/>
                <w:bCs w:val="1"/>
                <w:color w:val="FFFFFF"/>
              </w:rPr>
              <w:t>Key Responsibilities</w:t>
            </w:r>
          </w:p>
        </w:tc>
        <w:tc>
          <w:tcPr>
            <w:tcW w:w="0" w:type="dxa"/>
            <w:vAlign w:val="bottom"/>
          </w:tcPr>
          <w:p>
            <w:pPr>
              <w:spacing w:after="0"/>
              <w:rPr>
                <w:sz w:val="1"/>
                <w:szCs w:val="1"/>
                <w:color w:val="auto"/>
              </w:rPr>
            </w:pPr>
          </w:p>
        </w:tc>
      </w:tr>
      <w:tr>
        <w:trPr>
          <w:trHeight w:val="197"/>
        </w:trPr>
        <w:tc>
          <w:tcPr>
            <w:tcW w:w="2380" w:type="dxa"/>
            <w:vAlign w:val="bottom"/>
          </w:tcPr>
          <w:p>
            <w:pPr>
              <w:ind w:left="40"/>
              <w:spacing w:after="0"/>
              <w:rPr>
                <w:sz w:val="20"/>
                <w:szCs w:val="20"/>
                <w:color w:val="auto"/>
              </w:rPr>
            </w:pPr>
            <w:r>
              <w:rPr>
                <w:rFonts w:ascii="Arial" w:cs="Arial" w:eastAsia="Arial" w:hAnsi="Arial"/>
                <w:sz w:val="14"/>
                <w:szCs w:val="14"/>
                <w:b w:val="1"/>
                <w:bCs w:val="1"/>
                <w:color w:val="auto"/>
              </w:rPr>
              <w:t>Members:</w:t>
            </w:r>
          </w:p>
        </w:tc>
        <w:tc>
          <w:tcPr>
            <w:tcW w:w="8880" w:type="dxa"/>
            <w:vAlign w:val="bottom"/>
          </w:tcPr>
          <w:p>
            <w:pPr>
              <w:ind w:left="220"/>
              <w:spacing w:after="0"/>
              <w:rPr>
                <w:sz w:val="20"/>
                <w:szCs w:val="20"/>
                <w:color w:val="auto"/>
              </w:rPr>
            </w:pPr>
            <w:r>
              <w:rPr>
                <w:rFonts w:ascii="Arial" w:cs="Arial" w:eastAsia="Arial" w:hAnsi="Arial"/>
                <w:sz w:val="14"/>
                <w:szCs w:val="14"/>
                <w:color w:val="auto"/>
              </w:rPr>
              <w:t>The Research and Development Committee assists the Board in its oversight of the strategic direction for our pipeline and investment in</w:t>
            </w:r>
          </w:p>
        </w:tc>
        <w:tc>
          <w:tcPr>
            <w:tcW w:w="0" w:type="dxa"/>
            <w:vAlign w:val="bottom"/>
          </w:tcPr>
          <w:p>
            <w:pPr>
              <w:spacing w:after="0"/>
              <w:rPr>
                <w:sz w:val="1"/>
                <w:szCs w:val="1"/>
                <w:color w:val="auto"/>
              </w:rPr>
            </w:pPr>
          </w:p>
        </w:tc>
      </w:tr>
      <w:tr>
        <w:trPr>
          <w:trHeight w:val="163"/>
        </w:trPr>
        <w:tc>
          <w:tcPr>
            <w:tcW w:w="2380" w:type="dxa"/>
            <w:vAlign w:val="bottom"/>
          </w:tcPr>
          <w:p>
            <w:pPr>
              <w:ind w:left="40"/>
              <w:spacing w:after="0"/>
              <w:rPr>
                <w:sz w:val="20"/>
                <w:szCs w:val="20"/>
                <w:color w:val="auto"/>
              </w:rPr>
            </w:pPr>
            <w:r>
              <w:rPr>
                <w:rFonts w:ascii="Arial" w:cs="Arial" w:eastAsia="Arial" w:hAnsi="Arial"/>
                <w:sz w:val="14"/>
                <w:szCs w:val="14"/>
                <w:color w:val="auto"/>
              </w:rPr>
              <w:t>Amrit Ray, M.D. (Chairperson)</w:t>
            </w:r>
          </w:p>
        </w:tc>
        <w:tc>
          <w:tcPr>
            <w:tcW w:w="8880" w:type="dxa"/>
            <w:vAlign w:val="bottom"/>
          </w:tcPr>
          <w:p>
            <w:pPr>
              <w:ind w:left="220"/>
              <w:spacing w:after="0"/>
              <w:rPr>
                <w:sz w:val="20"/>
                <w:szCs w:val="20"/>
                <w:color w:val="auto"/>
              </w:rPr>
            </w:pPr>
            <w:r>
              <w:rPr>
                <w:rFonts w:ascii="Arial" w:cs="Arial" w:eastAsia="Arial" w:hAnsi="Arial"/>
                <w:sz w:val="14"/>
                <w:szCs w:val="14"/>
                <w:color w:val="auto"/>
              </w:rPr>
              <w:t>research and development. In 2024, the Research and Development Committee reviewed with management in particular the risks and</w:t>
            </w:r>
          </w:p>
        </w:tc>
        <w:tc>
          <w:tcPr>
            <w:tcW w:w="0" w:type="dxa"/>
            <w:vAlign w:val="bottom"/>
          </w:tcPr>
          <w:p>
            <w:pPr>
              <w:spacing w:after="0"/>
              <w:rPr>
                <w:sz w:val="1"/>
                <w:szCs w:val="1"/>
                <w:color w:val="auto"/>
              </w:rPr>
            </w:pPr>
          </w:p>
        </w:tc>
      </w:tr>
      <w:tr>
        <w:trPr>
          <w:trHeight w:val="163"/>
        </w:trPr>
        <w:tc>
          <w:tcPr>
            <w:tcW w:w="2380" w:type="dxa"/>
            <w:vAlign w:val="bottom"/>
          </w:tcPr>
          <w:p>
            <w:pPr>
              <w:ind w:left="40"/>
              <w:spacing w:after="0"/>
              <w:rPr>
                <w:sz w:val="20"/>
                <w:szCs w:val="20"/>
                <w:color w:val="auto"/>
              </w:rPr>
            </w:pPr>
            <w:r>
              <w:rPr>
                <w:rFonts w:ascii="Arial" w:cs="Arial" w:eastAsia="Arial" w:hAnsi="Arial"/>
                <w:sz w:val="14"/>
                <w:szCs w:val="14"/>
                <w:color w:val="auto"/>
              </w:rPr>
              <w:t>Emil D. Kakkis, M.D., Ph.D.</w:t>
            </w:r>
          </w:p>
        </w:tc>
        <w:tc>
          <w:tcPr>
            <w:tcW w:w="8880" w:type="dxa"/>
            <w:vAlign w:val="bottom"/>
          </w:tcPr>
          <w:p>
            <w:pPr>
              <w:ind w:left="220"/>
              <w:spacing w:after="0"/>
              <w:rPr>
                <w:sz w:val="20"/>
                <w:szCs w:val="20"/>
                <w:color w:val="auto"/>
              </w:rPr>
            </w:pPr>
            <w:r>
              <w:rPr>
                <w:rFonts w:ascii="Arial" w:cs="Arial" w:eastAsia="Arial" w:hAnsi="Arial"/>
                <w:sz w:val="14"/>
                <w:szCs w:val="14"/>
                <w:color w:val="auto"/>
              </w:rPr>
              <w:t>mitigation strategies related to the Company’s prioritization of its clinical and pre-clinical programs. The Research and Development</w:t>
            </w:r>
          </w:p>
        </w:tc>
        <w:tc>
          <w:tcPr>
            <w:tcW w:w="0" w:type="dxa"/>
            <w:vAlign w:val="bottom"/>
          </w:tcPr>
          <w:p>
            <w:pPr>
              <w:spacing w:after="0"/>
              <w:rPr>
                <w:sz w:val="1"/>
                <w:szCs w:val="1"/>
                <w:color w:val="auto"/>
              </w:rPr>
            </w:pPr>
          </w:p>
        </w:tc>
      </w:tr>
      <w:tr>
        <w:trPr>
          <w:trHeight w:val="163"/>
        </w:trPr>
        <w:tc>
          <w:tcPr>
            <w:tcW w:w="2380" w:type="dxa"/>
            <w:vAlign w:val="bottom"/>
          </w:tcPr>
          <w:p>
            <w:pPr>
              <w:ind w:left="40"/>
              <w:spacing w:after="0"/>
              <w:rPr>
                <w:sz w:val="20"/>
                <w:szCs w:val="20"/>
                <w:color w:val="auto"/>
              </w:rPr>
            </w:pPr>
            <w:r>
              <w:rPr>
                <w:rFonts w:ascii="Arial" w:cs="Arial" w:eastAsia="Arial" w:hAnsi="Arial"/>
                <w:sz w:val="14"/>
                <w:szCs w:val="14"/>
                <w:color w:val="auto"/>
              </w:rPr>
              <w:t>Deborah Dunsire, M.D.</w:t>
            </w:r>
          </w:p>
        </w:tc>
        <w:tc>
          <w:tcPr>
            <w:tcW w:w="8880" w:type="dxa"/>
            <w:vAlign w:val="bottom"/>
          </w:tcPr>
          <w:p>
            <w:pPr>
              <w:ind w:left="220"/>
              <w:spacing w:after="0"/>
              <w:rPr>
                <w:sz w:val="20"/>
                <w:szCs w:val="20"/>
                <w:color w:val="auto"/>
              </w:rPr>
            </w:pPr>
            <w:r>
              <w:rPr>
                <w:rFonts w:ascii="Arial" w:cs="Arial" w:eastAsia="Arial" w:hAnsi="Arial"/>
                <w:sz w:val="14"/>
                <w:szCs w:val="14"/>
                <w:color w:val="auto"/>
              </w:rPr>
              <w:t>Committee is also responsible for the following:</w:t>
            </w:r>
          </w:p>
        </w:tc>
        <w:tc>
          <w:tcPr>
            <w:tcW w:w="0" w:type="dxa"/>
            <w:vAlign w:val="bottom"/>
          </w:tcPr>
          <w:p>
            <w:pPr>
              <w:spacing w:after="0"/>
              <w:rPr>
                <w:sz w:val="1"/>
                <w:szCs w:val="1"/>
                <w:color w:val="auto"/>
              </w:rPr>
            </w:pPr>
          </w:p>
        </w:tc>
      </w:tr>
      <w:tr>
        <w:trPr>
          <w:trHeight w:val="163"/>
        </w:trPr>
        <w:tc>
          <w:tcPr>
            <w:tcW w:w="2380" w:type="dxa"/>
            <w:vAlign w:val="bottom"/>
          </w:tcPr>
          <w:p>
            <w:pPr>
              <w:ind w:left="40"/>
              <w:spacing w:after="0"/>
              <w:rPr>
                <w:sz w:val="20"/>
                <w:szCs w:val="20"/>
                <w:color w:val="auto"/>
              </w:rPr>
            </w:pPr>
            <w:r>
              <w:rPr>
                <w:rFonts w:ascii="Arial" w:cs="Arial" w:eastAsia="Arial" w:hAnsi="Arial"/>
                <w:sz w:val="14"/>
                <w:szCs w:val="14"/>
                <w:color w:val="auto"/>
              </w:rPr>
              <w:t>Corsee D. Sanders, Ph.D.</w:t>
            </w:r>
          </w:p>
        </w:tc>
        <w:tc>
          <w:tcPr>
            <w:tcW w:w="8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380" w:type="dxa"/>
            <w:vAlign w:val="bottom"/>
          </w:tcPr>
          <w:p>
            <w:pPr>
              <w:ind w:left="40"/>
              <w:spacing w:after="0"/>
              <w:rPr>
                <w:sz w:val="20"/>
                <w:szCs w:val="20"/>
                <w:color w:val="auto"/>
              </w:rPr>
            </w:pPr>
            <w:r>
              <w:rPr>
                <w:rFonts w:ascii="Arial" w:cs="Arial" w:eastAsia="Arial" w:hAnsi="Arial"/>
                <w:sz w:val="14"/>
                <w:szCs w:val="14"/>
                <w:color w:val="auto"/>
              </w:rPr>
              <w:t>Shehnaaz Suliman, M.D.</w:t>
            </w:r>
          </w:p>
        </w:tc>
        <w:tc>
          <w:tcPr>
            <w:tcW w:w="8880" w:type="dxa"/>
            <w:vAlign w:val="bottom"/>
          </w:tcPr>
          <w:p>
            <w:pPr>
              <w:ind w:left="220"/>
              <w:spacing w:after="0"/>
              <w:rPr>
                <w:sz w:val="20"/>
                <w:szCs w:val="20"/>
                <w:color w:val="auto"/>
              </w:rPr>
            </w:pPr>
            <w:r>
              <w:rPr>
                <w:rFonts w:ascii="Arial" w:cs="Arial" w:eastAsia="Arial" w:hAnsi="Arial"/>
                <w:sz w:val="14"/>
                <w:szCs w:val="14"/>
                <w:color w:val="7CBD3F"/>
              </w:rPr>
              <w:t xml:space="preserve">•  </w:t>
            </w:r>
            <w:r>
              <w:rPr>
                <w:rFonts w:ascii="Arial" w:cs="Arial" w:eastAsia="Arial" w:hAnsi="Arial"/>
                <w:sz w:val="14"/>
                <w:szCs w:val="14"/>
                <w:color w:val="000000"/>
              </w:rPr>
              <w:t>Evaluates and advises on our key R&amp;D activities and early pipeline development goals and strategy</w:t>
            </w:r>
          </w:p>
        </w:tc>
        <w:tc>
          <w:tcPr>
            <w:tcW w:w="0" w:type="dxa"/>
            <w:vAlign w:val="bottom"/>
          </w:tcPr>
          <w:p>
            <w:pPr>
              <w:spacing w:after="0"/>
              <w:rPr>
                <w:sz w:val="1"/>
                <w:szCs w:val="1"/>
                <w:color w:val="auto"/>
              </w:rPr>
            </w:pPr>
          </w:p>
        </w:tc>
      </w:tr>
      <w:tr>
        <w:trPr>
          <w:trHeight w:val="233"/>
        </w:trPr>
        <w:tc>
          <w:tcPr>
            <w:tcW w:w="23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xml:space="preserve">Meetings held during 2024: </w:t>
            </w:r>
            <w:r>
              <w:rPr>
                <w:rFonts w:ascii="Arial" w:cs="Arial" w:eastAsia="Arial" w:hAnsi="Arial"/>
                <w:sz w:val="14"/>
                <w:szCs w:val="14"/>
                <w:b w:val="1"/>
                <w:bCs w:val="1"/>
                <w:color w:val="7CBD3F"/>
              </w:rPr>
              <w:t>Two</w:t>
            </w:r>
          </w:p>
        </w:tc>
        <w:tc>
          <w:tcPr>
            <w:tcW w:w="8880" w:type="dxa"/>
            <w:vAlign w:val="bottom"/>
          </w:tcPr>
          <w:p>
            <w:pPr>
              <w:ind w:left="220"/>
              <w:spacing w:after="0"/>
              <w:rPr>
                <w:sz w:val="20"/>
                <w:szCs w:val="20"/>
                <w:color w:val="auto"/>
              </w:rPr>
            </w:pPr>
            <w:r>
              <w:rPr>
                <w:rFonts w:ascii="Arial" w:cs="Arial" w:eastAsia="Arial" w:hAnsi="Arial"/>
                <w:sz w:val="14"/>
                <w:szCs w:val="14"/>
                <w:color w:val="7CBD3F"/>
              </w:rPr>
              <w:t xml:space="preserve">•  </w:t>
            </w:r>
            <w:r>
              <w:rPr>
                <w:rFonts w:ascii="Arial" w:cs="Arial" w:eastAsia="Arial" w:hAnsi="Arial"/>
                <w:sz w:val="14"/>
                <w:szCs w:val="14"/>
                <w:color w:val="000000"/>
              </w:rPr>
              <w:t>Evaluates and provides input with respect to the quality of the science being conducted and overall program execution</w:t>
            </w:r>
          </w:p>
        </w:tc>
        <w:tc>
          <w:tcPr>
            <w:tcW w:w="0" w:type="dxa"/>
            <w:vAlign w:val="bottom"/>
          </w:tcPr>
          <w:p>
            <w:pPr>
              <w:spacing w:after="0"/>
              <w:rPr>
                <w:sz w:val="1"/>
                <w:szCs w:val="1"/>
                <w:color w:val="auto"/>
              </w:rPr>
            </w:pPr>
          </w:p>
        </w:tc>
      </w:tr>
      <w:tr>
        <w:trPr>
          <w:trHeight w:val="101"/>
        </w:trPr>
        <w:tc>
          <w:tcPr>
            <w:tcW w:w="2380" w:type="dxa"/>
            <w:vAlign w:val="bottom"/>
            <w:vMerge w:val="continue"/>
          </w:tcPr>
          <w:p>
            <w:pPr>
              <w:spacing w:after="0"/>
              <w:rPr>
                <w:sz w:val="8"/>
                <w:szCs w:val="8"/>
                <w:color w:val="auto"/>
              </w:rPr>
            </w:pPr>
          </w:p>
        </w:tc>
        <w:tc>
          <w:tcPr>
            <w:tcW w:w="8880" w:type="dxa"/>
            <w:vAlign w:val="bottom"/>
            <w:vMerge w:val="restart"/>
          </w:tcPr>
          <w:p>
            <w:pPr>
              <w:ind w:left="220"/>
              <w:spacing w:after="0"/>
              <w:rPr>
                <w:sz w:val="20"/>
                <w:szCs w:val="20"/>
                <w:color w:val="auto"/>
              </w:rPr>
            </w:pPr>
            <w:r>
              <w:rPr>
                <w:rFonts w:ascii="Arial" w:cs="Arial" w:eastAsia="Arial" w:hAnsi="Arial"/>
                <w:sz w:val="14"/>
                <w:szCs w:val="14"/>
                <w:color w:val="7CBD3F"/>
              </w:rPr>
              <w:t xml:space="preserve">•  </w:t>
            </w:r>
            <w:r>
              <w:rPr>
                <w:rFonts w:ascii="Arial" w:cs="Arial" w:eastAsia="Arial" w:hAnsi="Arial"/>
                <w:sz w:val="14"/>
                <w:szCs w:val="14"/>
                <w:color w:val="000000"/>
              </w:rPr>
              <w:t>Assesses the overall quality of the R&amp;D programs and prospects for progression to monitor our pipeline to maintain product flow</w:t>
            </w:r>
          </w:p>
        </w:tc>
        <w:tc>
          <w:tcPr>
            <w:tcW w:w="0" w:type="dxa"/>
            <w:vAlign w:val="bottom"/>
          </w:tcPr>
          <w:p>
            <w:pPr>
              <w:spacing w:after="0"/>
              <w:rPr>
                <w:sz w:val="1"/>
                <w:szCs w:val="1"/>
                <w:color w:val="auto"/>
              </w:rPr>
            </w:pPr>
          </w:p>
        </w:tc>
      </w:tr>
      <w:tr>
        <w:trPr>
          <w:trHeight w:val="132"/>
        </w:trPr>
        <w:tc>
          <w:tcPr>
            <w:tcW w:w="2380" w:type="dxa"/>
            <w:vAlign w:val="bottom"/>
          </w:tcPr>
          <w:p>
            <w:pPr>
              <w:spacing w:after="0"/>
              <w:rPr>
                <w:sz w:val="11"/>
                <w:szCs w:val="11"/>
                <w:color w:val="auto"/>
              </w:rPr>
            </w:pPr>
          </w:p>
        </w:tc>
        <w:tc>
          <w:tcPr>
            <w:tcW w:w="8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33"/>
        </w:trPr>
        <w:tc>
          <w:tcPr>
            <w:tcW w:w="2380" w:type="dxa"/>
            <w:vAlign w:val="bottom"/>
          </w:tcPr>
          <w:p>
            <w:pPr>
              <w:spacing w:after="0"/>
              <w:rPr>
                <w:sz w:val="20"/>
                <w:szCs w:val="20"/>
                <w:color w:val="auto"/>
              </w:rPr>
            </w:pPr>
          </w:p>
        </w:tc>
        <w:tc>
          <w:tcPr>
            <w:tcW w:w="8880" w:type="dxa"/>
            <w:vAlign w:val="bottom"/>
          </w:tcPr>
          <w:p>
            <w:pPr>
              <w:ind w:left="220"/>
              <w:spacing w:after="0"/>
              <w:rPr>
                <w:sz w:val="20"/>
                <w:szCs w:val="20"/>
                <w:color w:val="auto"/>
              </w:rPr>
            </w:pPr>
            <w:r>
              <w:rPr>
                <w:rFonts w:ascii="Arial" w:cs="Arial" w:eastAsia="Arial" w:hAnsi="Arial"/>
                <w:sz w:val="14"/>
                <w:szCs w:val="14"/>
                <w:color w:val="7CBD3F"/>
              </w:rPr>
              <w:t xml:space="preserve">•  </w:t>
            </w:r>
            <w:r>
              <w:rPr>
                <w:rFonts w:ascii="Arial" w:cs="Arial" w:eastAsia="Arial" w:hAnsi="Arial"/>
                <w:sz w:val="14"/>
                <w:szCs w:val="14"/>
                <w:color w:val="000000"/>
              </w:rPr>
              <w:t>Evaluate and advise on our clinical-stage pipeline and the development strategies</w:t>
            </w:r>
          </w:p>
        </w:tc>
        <w:tc>
          <w:tcPr>
            <w:tcW w:w="0" w:type="dxa"/>
            <w:vAlign w:val="bottom"/>
          </w:tcPr>
          <w:p>
            <w:pPr>
              <w:spacing w:after="0"/>
              <w:rPr>
                <w:sz w:val="1"/>
                <w:szCs w:val="1"/>
                <w:color w:val="auto"/>
              </w:rPr>
            </w:pPr>
          </w:p>
        </w:tc>
      </w:tr>
      <w:tr>
        <w:trPr>
          <w:trHeight w:val="233"/>
        </w:trPr>
        <w:tc>
          <w:tcPr>
            <w:tcW w:w="2380" w:type="dxa"/>
            <w:vAlign w:val="bottom"/>
          </w:tcPr>
          <w:p>
            <w:pPr>
              <w:spacing w:after="0"/>
              <w:rPr>
                <w:sz w:val="20"/>
                <w:szCs w:val="20"/>
                <w:color w:val="auto"/>
              </w:rPr>
            </w:pPr>
          </w:p>
        </w:tc>
        <w:tc>
          <w:tcPr>
            <w:tcW w:w="8880" w:type="dxa"/>
            <w:vAlign w:val="bottom"/>
          </w:tcPr>
          <w:p>
            <w:pPr>
              <w:ind w:left="220"/>
              <w:spacing w:after="0"/>
              <w:rPr>
                <w:sz w:val="20"/>
                <w:szCs w:val="20"/>
                <w:color w:val="auto"/>
              </w:rPr>
            </w:pPr>
            <w:r>
              <w:rPr>
                <w:rFonts w:ascii="Arial" w:cs="Arial" w:eastAsia="Arial" w:hAnsi="Arial"/>
                <w:sz w:val="14"/>
                <w:szCs w:val="14"/>
                <w:color w:val="7CBD3F"/>
              </w:rPr>
              <w:t xml:space="preserve">•  </w:t>
            </w:r>
            <w:r>
              <w:rPr>
                <w:rFonts w:ascii="Arial" w:cs="Arial" w:eastAsia="Arial" w:hAnsi="Arial"/>
                <w:sz w:val="14"/>
                <w:szCs w:val="14"/>
                <w:color w:val="000000"/>
              </w:rPr>
              <w:t>Performs other duties as specified in the Research and Development Committee Charter</w:t>
            </w:r>
          </w:p>
        </w:tc>
        <w:tc>
          <w:tcPr>
            <w:tcW w:w="0" w:type="dxa"/>
            <w:vAlign w:val="bottom"/>
          </w:tcPr>
          <w:p>
            <w:pPr>
              <w:spacing w:after="0"/>
              <w:rPr>
                <w:sz w:val="1"/>
                <w:szCs w:val="1"/>
                <w:color w:val="auto"/>
              </w:rPr>
            </w:pPr>
          </w:p>
        </w:tc>
      </w:tr>
      <w:tr>
        <w:trPr>
          <w:trHeight w:val="64"/>
        </w:trPr>
        <w:tc>
          <w:tcPr>
            <w:tcW w:w="2380" w:type="dxa"/>
            <w:vAlign w:val="bottom"/>
            <w:tcBorders>
              <w:bottom w:val="single" w:sz="8" w:color="7CBD3F"/>
            </w:tcBorders>
          </w:tcPr>
          <w:p>
            <w:pPr>
              <w:spacing w:after="0"/>
              <w:rPr>
                <w:sz w:val="5"/>
                <w:szCs w:val="5"/>
                <w:color w:val="auto"/>
              </w:rPr>
            </w:pPr>
          </w:p>
        </w:tc>
        <w:tc>
          <w:tcPr>
            <w:tcW w:w="8880" w:type="dxa"/>
            <w:vAlign w:val="bottom"/>
            <w:tcBorders>
              <w:bottom w:val="single" w:sz="8" w:color="7CBD3F"/>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Compensation Committee Interlocks and Insider Participation</w:t>
      </w:r>
    </w:p>
    <w:p>
      <w:pPr>
        <w:spacing w:after="0" w:line="175"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During fiscal 2024, the Compensation Committee consisted of Dr. Dunsire and Messrs. Narachi and Welch. None of the members of our Compensation Committee has at any time during the prior three years been one of our officers or employees. None of our executive officers currently serves, or in the past fiscal year has served, as a member of the board of directors or compensation committee of any entity that has one or more executive officers serving on our Board or Compensation Committee.</w:t>
      </w:r>
    </w:p>
    <w:p>
      <w:pPr>
        <w:spacing w:after="0" w:line="130"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auto"/>
        </w:rPr>
        <w:t xml:space="preserve">ULTRAGENYX PHARMACEUTICAL INC. </w:t>
      </w:r>
      <w:r>
        <w:rPr>
          <w:rFonts w:ascii="Arial" w:cs="Arial" w:eastAsia="Arial" w:hAnsi="Arial"/>
          <w:sz w:val="14"/>
          <w:szCs w:val="14"/>
          <w:color w:val="7CBD3F"/>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2025 Proxy Statement</w:t>
      </w:r>
      <w:r>
        <w:rPr>
          <w:rFonts w:ascii="Arial" w:cs="Arial" w:eastAsia="Arial" w:hAnsi="Arial"/>
          <w:sz w:val="14"/>
          <w:szCs w:val="14"/>
          <w:b w:val="1"/>
          <w:bCs w:val="1"/>
          <w:color w:val="auto"/>
        </w:rPr>
        <w:tab/>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142240</wp:posOffset>
            </wp:positionV>
            <wp:extent cx="7150735"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0735" cy="29845"/>
                    </a:xfrm>
                    <a:prstGeom prst="rect">
                      <a:avLst/>
                    </a:prstGeom>
                    <a:noFill/>
                  </pic:spPr>
                </pic:pic>
              </a:graphicData>
            </a:graphic>
          </wp:anchor>
        </w:drawing>
      </w:r>
    </w:p>
    <w:p>
      <w:pPr>
        <w:sectPr>
          <w:pgSz w:w="11900" w:h="16838" w:orient="portrait"/>
          <w:cols w:equalWidth="0" w:num="1">
            <w:col w:w="11260"/>
          </w:cols>
          <w:pgMar w:left="320" w:top="225" w:right="319" w:bottom="1440" w:gutter="0" w:footer="0" w:header="0"/>
        </w:sectPr>
      </w:pPr>
    </w:p>
    <w:bookmarkStart w:id="32" w:name="page33"/>
    <w:bookmarkEnd w:id="32"/>
    <w:p>
      <w:pPr>
        <w:spacing w:after="0"/>
        <w:rPr>
          <w:sz w:val="20"/>
          <w:szCs w:val="20"/>
          <w:color w:val="auto"/>
        </w:rPr>
      </w:pPr>
      <w:r>
        <w:rPr>
          <w:rFonts w:ascii="Arial" w:cs="Arial" w:eastAsia="Arial" w:hAnsi="Arial"/>
          <w:sz w:val="12"/>
          <w:szCs w:val="12"/>
          <w:b w:val="1"/>
          <w:bCs w:val="1"/>
          <w:u w:val="single" w:color="auto"/>
          <w:color w:val="0000EE"/>
        </w:rPr>
        <w:t>Back to Contents</w:t>
      </w:r>
    </w:p>
    <w:p>
      <w:pPr>
        <w:spacing w:after="0" w:line="128" w:lineRule="exact"/>
        <w:rPr>
          <w:sz w:val="20"/>
          <w:szCs w:val="20"/>
          <w:color w:val="auto"/>
        </w:rPr>
      </w:pPr>
    </w:p>
    <w:p>
      <w:pPr>
        <w:spacing w:after="0"/>
        <w:rPr>
          <w:sz w:val="20"/>
          <w:szCs w:val="20"/>
          <w:color w:val="auto"/>
        </w:rPr>
      </w:pPr>
      <w:r>
        <w:rPr>
          <w:rFonts w:ascii="Arial" w:cs="Arial" w:eastAsia="Arial" w:hAnsi="Arial"/>
          <w:sz w:val="31"/>
          <w:szCs w:val="31"/>
          <w:b w:val="1"/>
          <w:bCs w:val="1"/>
          <w:color w:val="7CBD3F"/>
        </w:rPr>
        <w:t>Impact Report</w:t>
      </w:r>
    </w:p>
    <w:p>
      <w:pPr>
        <w:spacing w:after="0" w:line="352"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At Ultragenyx, our purpose is to lead the future of rare disease medicine as we seek to treat individuals afflicted by diseases with limited or no treatment options, and we recognize that their lives and well-being are dependent upon our collective efforts to develop new therapies. For this reason, we are passionate about developing these therapies with the utmost urgency and care. Our strong commitment to ethics, integrity and responsible business practices is centered around partnering with the rare disease community, improving access to treatments, maintaining a people-first culture, and investing in innovation.</w:t>
      </w:r>
    </w:p>
    <w:p>
      <w:pPr>
        <w:spacing w:after="0" w:line="132"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Our Impact Report for fiscal 2024 (2024 Impact Report) will be available in digital format on our website at www.ultragenyx.com under “Ultra-Committed – Corporate Responsibility”. Website references throughout this document are provided for convenience only, and the content on the referenced websites is not incorporated by reference into this document. Our 2024 Impact Report is based on our strategic framework, which centers on six pillars: Innovation, Patients, People, Communities, Planet and Governance. The contents of our Impact Report are not deemed to be part of this Proxy Statement or incorporated by reference herein.</w:t>
      </w:r>
    </w:p>
    <w:p>
      <w:pPr>
        <w:spacing w:after="0" w:line="132"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auto"/>
        </w:rPr>
        <w:t xml:space="preserve">ULTRAGENYX PHARMACEUTICAL INC. </w:t>
      </w:r>
      <w:r>
        <w:rPr>
          <w:rFonts w:ascii="Arial" w:cs="Arial" w:eastAsia="Arial" w:hAnsi="Arial"/>
          <w:sz w:val="14"/>
          <w:szCs w:val="14"/>
          <w:color w:val="7CBD3F"/>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2025 Proxy Statement</w:t>
      </w:r>
      <w:r>
        <w:rPr>
          <w:rFonts w:ascii="Arial" w:cs="Arial" w:eastAsia="Arial" w:hAnsi="Arial"/>
          <w:sz w:val="14"/>
          <w:szCs w:val="14"/>
          <w:b w:val="1"/>
          <w:bCs w:val="1"/>
          <w:color w:val="auto"/>
        </w:rPr>
        <w:tab/>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142240</wp:posOffset>
            </wp:positionV>
            <wp:extent cx="7150735"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0735" cy="29845"/>
                    </a:xfrm>
                    <a:prstGeom prst="rect">
                      <a:avLst/>
                    </a:prstGeom>
                    <a:noFill/>
                  </pic:spPr>
                </pic:pic>
              </a:graphicData>
            </a:graphic>
          </wp:anchor>
        </w:drawing>
      </w:r>
    </w:p>
    <w:p>
      <w:pPr>
        <w:sectPr>
          <w:pgSz w:w="11900" w:h="16838" w:orient="portrait"/>
          <w:cols w:equalWidth="0" w:num="1">
            <w:col w:w="11260"/>
          </w:cols>
          <w:pgMar w:left="320" w:top="225" w:right="319" w:bottom="1440" w:gutter="0" w:footer="0" w:header="0"/>
        </w:sectPr>
      </w:pPr>
    </w:p>
    <w:bookmarkStart w:id="33" w:name="page34"/>
    <w:bookmarkEnd w:id="33"/>
    <w:p>
      <w:pPr>
        <w:spacing w:after="0"/>
        <w:rPr>
          <w:sz w:val="20"/>
          <w:szCs w:val="20"/>
          <w:color w:val="auto"/>
        </w:rPr>
      </w:pPr>
      <w:r>
        <w:rPr>
          <w:rFonts w:ascii="Arial" w:cs="Arial" w:eastAsia="Arial" w:hAnsi="Arial"/>
          <w:sz w:val="12"/>
          <w:szCs w:val="12"/>
          <w:b w:val="1"/>
          <w:bCs w:val="1"/>
          <w:u w:val="single" w:color="auto"/>
          <w:color w:val="0000EE"/>
        </w:rPr>
        <w:t>Back to Contents</w:t>
      </w:r>
    </w:p>
    <w:p>
      <w:pPr>
        <w:spacing w:after="0" w:line="128" w:lineRule="exact"/>
        <w:rPr>
          <w:sz w:val="20"/>
          <w:szCs w:val="20"/>
          <w:color w:val="auto"/>
        </w:rPr>
      </w:pPr>
    </w:p>
    <w:p>
      <w:pPr>
        <w:spacing w:after="0"/>
        <w:rPr>
          <w:sz w:val="20"/>
          <w:szCs w:val="20"/>
          <w:color w:val="auto"/>
        </w:rPr>
      </w:pPr>
      <w:r>
        <w:rPr>
          <w:rFonts w:ascii="Arial" w:cs="Arial" w:eastAsia="Arial" w:hAnsi="Arial"/>
          <w:sz w:val="31"/>
          <w:szCs w:val="31"/>
          <w:b w:val="1"/>
          <w:bCs w:val="1"/>
          <w:color w:val="7CBD3F"/>
        </w:rPr>
        <w:t>Executive Officers</w:t>
      </w:r>
    </w:p>
    <w:p>
      <w:pPr>
        <w:spacing w:after="0" w:line="352"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Our current executive officers, their respective ages as of the date of this Proxy Statement, and positions are set forth in the following table. Biographical information regarding each executive officer (other than Dr. Kakkis) is set forth following the table. Biographical information for Dr. Kakkis is set forth above under Proposal No. 1 (Election of Class III Directors).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2600" w:type="dxa"/>
            <w:vAlign w:val="bottom"/>
            <w:tcBorders>
              <w:bottom w:val="single" w:sz="8" w:color="7CBD3F"/>
            </w:tcBorders>
          </w:tcPr>
          <w:p>
            <w:pPr>
              <w:ind w:left="20"/>
              <w:spacing w:after="0"/>
              <w:rPr>
                <w:sz w:val="20"/>
                <w:szCs w:val="20"/>
                <w:color w:val="auto"/>
              </w:rPr>
            </w:pPr>
            <w:r>
              <w:rPr>
                <w:rFonts w:ascii="Arial" w:cs="Arial" w:eastAsia="Arial" w:hAnsi="Arial"/>
                <w:sz w:val="14"/>
                <w:szCs w:val="14"/>
                <w:b w:val="1"/>
                <w:bCs w:val="1"/>
                <w:color w:val="auto"/>
              </w:rPr>
              <w:t>Name</w:t>
            </w:r>
          </w:p>
        </w:tc>
        <w:tc>
          <w:tcPr>
            <w:tcW w:w="1520" w:type="dxa"/>
            <w:vAlign w:val="bottom"/>
            <w:tcBorders>
              <w:bottom w:val="single" w:sz="8" w:color="7CBD3F"/>
            </w:tcBorders>
          </w:tcPr>
          <w:p>
            <w:pPr>
              <w:jc w:val="center"/>
              <w:ind w:left="430"/>
              <w:spacing w:after="0"/>
              <w:rPr>
                <w:sz w:val="20"/>
                <w:szCs w:val="20"/>
                <w:color w:val="auto"/>
              </w:rPr>
            </w:pPr>
            <w:r>
              <w:rPr>
                <w:rFonts w:ascii="Arial" w:cs="Arial" w:eastAsia="Arial" w:hAnsi="Arial"/>
                <w:sz w:val="14"/>
                <w:szCs w:val="14"/>
                <w:b w:val="1"/>
                <w:bCs w:val="1"/>
                <w:color w:val="auto"/>
                <w:w w:val="98"/>
              </w:rPr>
              <w:t>Age</w:t>
            </w:r>
          </w:p>
        </w:tc>
        <w:tc>
          <w:tcPr>
            <w:tcW w:w="7140" w:type="dxa"/>
            <w:vAlign w:val="bottom"/>
            <w:tcBorders>
              <w:bottom w:val="single" w:sz="8" w:color="7CBD3F"/>
            </w:tcBorders>
          </w:tcPr>
          <w:p>
            <w:pPr>
              <w:ind w:left="380"/>
              <w:spacing w:after="0"/>
              <w:rPr>
                <w:sz w:val="20"/>
                <w:szCs w:val="20"/>
                <w:color w:val="auto"/>
              </w:rPr>
            </w:pPr>
            <w:r>
              <w:rPr>
                <w:rFonts w:ascii="Arial" w:cs="Arial" w:eastAsia="Arial" w:hAnsi="Arial"/>
                <w:sz w:val="14"/>
                <w:szCs w:val="14"/>
                <w:b w:val="1"/>
                <w:bCs w:val="1"/>
                <w:color w:val="auto"/>
              </w:rPr>
              <w:t>Position</w:t>
            </w:r>
          </w:p>
        </w:tc>
      </w:tr>
      <w:tr>
        <w:trPr>
          <w:trHeight w:val="163"/>
        </w:trPr>
        <w:tc>
          <w:tcPr>
            <w:tcW w:w="2600" w:type="dxa"/>
            <w:vAlign w:val="bottom"/>
          </w:tcPr>
          <w:p>
            <w:pPr>
              <w:ind w:left="20"/>
              <w:spacing w:after="0"/>
              <w:rPr>
                <w:sz w:val="20"/>
                <w:szCs w:val="20"/>
                <w:color w:val="auto"/>
              </w:rPr>
            </w:pPr>
            <w:r>
              <w:rPr>
                <w:rFonts w:ascii="Arial" w:cs="Arial" w:eastAsia="Arial" w:hAnsi="Arial"/>
                <w:sz w:val="14"/>
                <w:szCs w:val="14"/>
                <w:color w:val="auto"/>
              </w:rPr>
              <w:t>Emil D. Kakkis, M.D., Ph.D.</w:t>
            </w:r>
          </w:p>
        </w:tc>
        <w:tc>
          <w:tcPr>
            <w:tcW w:w="1520" w:type="dxa"/>
            <w:vAlign w:val="bottom"/>
          </w:tcPr>
          <w:p>
            <w:pPr>
              <w:jc w:val="center"/>
              <w:ind w:left="410"/>
              <w:spacing w:after="0"/>
              <w:rPr>
                <w:sz w:val="20"/>
                <w:szCs w:val="20"/>
                <w:color w:val="auto"/>
              </w:rPr>
            </w:pPr>
            <w:r>
              <w:rPr>
                <w:rFonts w:ascii="Arial" w:cs="Arial" w:eastAsia="Arial" w:hAnsi="Arial"/>
                <w:sz w:val="14"/>
                <w:szCs w:val="14"/>
                <w:color w:val="auto"/>
              </w:rPr>
              <w:t>64</w:t>
            </w:r>
          </w:p>
        </w:tc>
        <w:tc>
          <w:tcPr>
            <w:tcW w:w="7140" w:type="dxa"/>
            <w:vAlign w:val="bottom"/>
          </w:tcPr>
          <w:p>
            <w:pPr>
              <w:ind w:left="380"/>
              <w:spacing w:after="0"/>
              <w:rPr>
                <w:sz w:val="20"/>
                <w:szCs w:val="20"/>
                <w:color w:val="auto"/>
              </w:rPr>
            </w:pPr>
            <w:r>
              <w:rPr>
                <w:rFonts w:ascii="Arial" w:cs="Arial" w:eastAsia="Arial" w:hAnsi="Arial"/>
                <w:sz w:val="14"/>
                <w:szCs w:val="14"/>
                <w:color w:val="auto"/>
              </w:rPr>
              <w:t>President and Chief Executive Officer, Director</w:t>
            </w:r>
          </w:p>
        </w:tc>
      </w:tr>
      <w:tr>
        <w:trPr>
          <w:trHeight w:val="163"/>
        </w:trPr>
        <w:tc>
          <w:tcPr>
            <w:tcW w:w="2600" w:type="dxa"/>
            <w:vAlign w:val="bottom"/>
            <w:shd w:val="clear" w:color="auto" w:fill="F0F7E7"/>
          </w:tcPr>
          <w:p>
            <w:pPr>
              <w:ind w:left="20"/>
              <w:spacing w:after="0"/>
              <w:rPr>
                <w:sz w:val="20"/>
                <w:szCs w:val="20"/>
                <w:color w:val="auto"/>
              </w:rPr>
            </w:pPr>
            <w:r>
              <w:rPr>
                <w:rFonts w:ascii="Arial" w:cs="Arial" w:eastAsia="Arial" w:hAnsi="Arial"/>
                <w:sz w:val="14"/>
                <w:szCs w:val="14"/>
                <w:color w:val="auto"/>
              </w:rPr>
              <w:t>Eric Crombez, M.D.</w:t>
            </w:r>
          </w:p>
        </w:tc>
        <w:tc>
          <w:tcPr>
            <w:tcW w:w="1520" w:type="dxa"/>
            <w:vAlign w:val="bottom"/>
            <w:shd w:val="clear" w:color="auto" w:fill="F0F7E7"/>
          </w:tcPr>
          <w:p>
            <w:pPr>
              <w:jc w:val="center"/>
              <w:ind w:left="410"/>
              <w:spacing w:after="0"/>
              <w:rPr>
                <w:sz w:val="20"/>
                <w:szCs w:val="20"/>
                <w:color w:val="auto"/>
              </w:rPr>
            </w:pPr>
            <w:r>
              <w:rPr>
                <w:rFonts w:ascii="Arial" w:cs="Arial" w:eastAsia="Arial" w:hAnsi="Arial"/>
                <w:sz w:val="14"/>
                <w:szCs w:val="14"/>
                <w:color w:val="auto"/>
              </w:rPr>
              <w:t>52</w:t>
            </w:r>
          </w:p>
        </w:tc>
        <w:tc>
          <w:tcPr>
            <w:tcW w:w="7140" w:type="dxa"/>
            <w:vAlign w:val="bottom"/>
            <w:shd w:val="clear" w:color="auto" w:fill="F0F7E7"/>
          </w:tcPr>
          <w:p>
            <w:pPr>
              <w:ind w:left="380"/>
              <w:spacing w:after="0"/>
              <w:rPr>
                <w:sz w:val="20"/>
                <w:szCs w:val="20"/>
                <w:color w:val="auto"/>
              </w:rPr>
            </w:pPr>
            <w:r>
              <w:rPr>
                <w:rFonts w:ascii="Arial" w:cs="Arial" w:eastAsia="Arial" w:hAnsi="Arial"/>
                <w:sz w:val="14"/>
                <w:szCs w:val="14"/>
                <w:color w:val="auto"/>
              </w:rPr>
              <w:t>Chief Medical Officer and Executive Vice President</w:t>
            </w:r>
          </w:p>
        </w:tc>
      </w:tr>
      <w:tr>
        <w:trPr>
          <w:trHeight w:val="163"/>
        </w:trPr>
        <w:tc>
          <w:tcPr>
            <w:tcW w:w="2600" w:type="dxa"/>
            <w:vAlign w:val="bottom"/>
          </w:tcPr>
          <w:p>
            <w:pPr>
              <w:ind w:left="20"/>
              <w:spacing w:after="0"/>
              <w:rPr>
                <w:sz w:val="20"/>
                <w:szCs w:val="20"/>
                <w:color w:val="auto"/>
              </w:rPr>
            </w:pPr>
            <w:r>
              <w:rPr>
                <w:rFonts w:ascii="Arial" w:cs="Arial" w:eastAsia="Arial" w:hAnsi="Arial"/>
                <w:sz w:val="14"/>
                <w:szCs w:val="14"/>
                <w:color w:val="auto"/>
              </w:rPr>
              <w:t>Erik Harris</w:t>
            </w:r>
          </w:p>
        </w:tc>
        <w:tc>
          <w:tcPr>
            <w:tcW w:w="1520" w:type="dxa"/>
            <w:vAlign w:val="bottom"/>
          </w:tcPr>
          <w:p>
            <w:pPr>
              <w:jc w:val="center"/>
              <w:ind w:left="410"/>
              <w:spacing w:after="0"/>
              <w:rPr>
                <w:sz w:val="20"/>
                <w:szCs w:val="20"/>
                <w:color w:val="auto"/>
              </w:rPr>
            </w:pPr>
            <w:r>
              <w:rPr>
                <w:rFonts w:ascii="Arial" w:cs="Arial" w:eastAsia="Arial" w:hAnsi="Arial"/>
                <w:sz w:val="14"/>
                <w:szCs w:val="14"/>
                <w:color w:val="auto"/>
              </w:rPr>
              <w:t>55</w:t>
            </w:r>
          </w:p>
        </w:tc>
        <w:tc>
          <w:tcPr>
            <w:tcW w:w="7140" w:type="dxa"/>
            <w:vAlign w:val="bottom"/>
          </w:tcPr>
          <w:p>
            <w:pPr>
              <w:ind w:left="380"/>
              <w:spacing w:after="0"/>
              <w:rPr>
                <w:sz w:val="20"/>
                <w:szCs w:val="20"/>
                <w:color w:val="auto"/>
              </w:rPr>
            </w:pPr>
            <w:r>
              <w:rPr>
                <w:rFonts w:ascii="Arial" w:cs="Arial" w:eastAsia="Arial" w:hAnsi="Arial"/>
                <w:sz w:val="14"/>
                <w:szCs w:val="14"/>
                <w:color w:val="auto"/>
              </w:rPr>
              <w:t>Chief Commercial Officer and Executive Vice President</w:t>
            </w:r>
          </w:p>
        </w:tc>
      </w:tr>
      <w:tr>
        <w:trPr>
          <w:trHeight w:val="163"/>
        </w:trPr>
        <w:tc>
          <w:tcPr>
            <w:tcW w:w="2600" w:type="dxa"/>
            <w:vAlign w:val="bottom"/>
            <w:shd w:val="clear" w:color="auto" w:fill="F0F7E7"/>
          </w:tcPr>
          <w:p>
            <w:pPr>
              <w:ind w:left="20"/>
              <w:spacing w:after="0"/>
              <w:rPr>
                <w:sz w:val="20"/>
                <w:szCs w:val="20"/>
                <w:color w:val="auto"/>
              </w:rPr>
            </w:pPr>
            <w:r>
              <w:rPr>
                <w:rFonts w:ascii="Arial" w:cs="Arial" w:eastAsia="Arial" w:hAnsi="Arial"/>
                <w:sz w:val="14"/>
                <w:szCs w:val="14"/>
                <w:color w:val="auto"/>
              </w:rPr>
              <w:t>Howard Horn</w:t>
            </w:r>
          </w:p>
        </w:tc>
        <w:tc>
          <w:tcPr>
            <w:tcW w:w="1520" w:type="dxa"/>
            <w:vAlign w:val="bottom"/>
            <w:shd w:val="clear" w:color="auto" w:fill="F0F7E7"/>
          </w:tcPr>
          <w:p>
            <w:pPr>
              <w:jc w:val="center"/>
              <w:ind w:left="410"/>
              <w:spacing w:after="0"/>
              <w:rPr>
                <w:sz w:val="20"/>
                <w:szCs w:val="20"/>
                <w:color w:val="auto"/>
              </w:rPr>
            </w:pPr>
            <w:r>
              <w:rPr>
                <w:rFonts w:ascii="Arial" w:cs="Arial" w:eastAsia="Arial" w:hAnsi="Arial"/>
                <w:sz w:val="14"/>
                <w:szCs w:val="14"/>
                <w:color w:val="auto"/>
              </w:rPr>
              <w:t>47</w:t>
            </w:r>
          </w:p>
        </w:tc>
        <w:tc>
          <w:tcPr>
            <w:tcW w:w="7140" w:type="dxa"/>
            <w:vAlign w:val="bottom"/>
            <w:shd w:val="clear" w:color="auto" w:fill="F0F7E7"/>
          </w:tcPr>
          <w:p>
            <w:pPr>
              <w:ind w:left="380"/>
              <w:spacing w:after="0"/>
              <w:rPr>
                <w:sz w:val="20"/>
                <w:szCs w:val="20"/>
                <w:color w:val="auto"/>
              </w:rPr>
            </w:pPr>
            <w:r>
              <w:rPr>
                <w:rFonts w:ascii="Arial" w:cs="Arial" w:eastAsia="Arial" w:hAnsi="Arial"/>
                <w:sz w:val="14"/>
                <w:szCs w:val="14"/>
                <w:color w:val="auto"/>
              </w:rPr>
              <w:t>Chief Financial Officer, Corporate Strategy and Executive Vice President</w:t>
            </w:r>
          </w:p>
        </w:tc>
      </w:tr>
      <w:tr>
        <w:trPr>
          <w:trHeight w:val="163"/>
        </w:trPr>
        <w:tc>
          <w:tcPr>
            <w:tcW w:w="2600" w:type="dxa"/>
            <w:vAlign w:val="bottom"/>
          </w:tcPr>
          <w:p>
            <w:pPr>
              <w:ind w:left="20"/>
              <w:spacing w:after="0"/>
              <w:rPr>
                <w:sz w:val="20"/>
                <w:szCs w:val="20"/>
                <w:color w:val="auto"/>
              </w:rPr>
            </w:pPr>
            <w:r>
              <w:rPr>
                <w:rFonts w:ascii="Arial" w:cs="Arial" w:eastAsia="Arial" w:hAnsi="Arial"/>
                <w:sz w:val="14"/>
                <w:szCs w:val="14"/>
                <w:color w:val="auto"/>
              </w:rPr>
              <w:t>Dennis Huang</w:t>
            </w:r>
          </w:p>
        </w:tc>
        <w:tc>
          <w:tcPr>
            <w:tcW w:w="1520" w:type="dxa"/>
            <w:vAlign w:val="bottom"/>
          </w:tcPr>
          <w:p>
            <w:pPr>
              <w:jc w:val="center"/>
              <w:ind w:left="410"/>
              <w:spacing w:after="0"/>
              <w:rPr>
                <w:sz w:val="20"/>
                <w:szCs w:val="20"/>
                <w:color w:val="auto"/>
              </w:rPr>
            </w:pPr>
            <w:r>
              <w:rPr>
                <w:rFonts w:ascii="Arial" w:cs="Arial" w:eastAsia="Arial" w:hAnsi="Arial"/>
                <w:sz w:val="14"/>
                <w:szCs w:val="14"/>
                <w:color w:val="auto"/>
              </w:rPr>
              <w:t>60</w:t>
            </w:r>
          </w:p>
        </w:tc>
        <w:tc>
          <w:tcPr>
            <w:tcW w:w="7140" w:type="dxa"/>
            <w:vAlign w:val="bottom"/>
          </w:tcPr>
          <w:p>
            <w:pPr>
              <w:ind w:left="380"/>
              <w:spacing w:after="0"/>
              <w:rPr>
                <w:sz w:val="20"/>
                <w:szCs w:val="20"/>
                <w:color w:val="auto"/>
              </w:rPr>
            </w:pPr>
            <w:r>
              <w:rPr>
                <w:rFonts w:ascii="Arial" w:cs="Arial" w:eastAsia="Arial" w:hAnsi="Arial"/>
                <w:sz w:val="14"/>
                <w:szCs w:val="14"/>
                <w:color w:val="auto"/>
              </w:rPr>
              <w:t>Chief Technical Operations Officer and Gene Therapy Operations and Executive Vice President</w:t>
            </w:r>
          </w:p>
        </w:tc>
      </w:tr>
      <w:tr>
        <w:trPr>
          <w:trHeight w:val="163"/>
        </w:trPr>
        <w:tc>
          <w:tcPr>
            <w:tcW w:w="2600" w:type="dxa"/>
            <w:vAlign w:val="bottom"/>
            <w:shd w:val="clear" w:color="auto" w:fill="F0F7E7"/>
          </w:tcPr>
          <w:p>
            <w:pPr>
              <w:ind w:left="20"/>
              <w:spacing w:after="0"/>
              <w:rPr>
                <w:sz w:val="20"/>
                <w:szCs w:val="20"/>
                <w:color w:val="auto"/>
              </w:rPr>
            </w:pPr>
            <w:r>
              <w:rPr>
                <w:rFonts w:ascii="Arial" w:cs="Arial" w:eastAsia="Arial" w:hAnsi="Arial"/>
                <w:sz w:val="14"/>
                <w:szCs w:val="14"/>
                <w:color w:val="auto"/>
              </w:rPr>
              <w:t>Thomas Kassberg</w:t>
            </w:r>
          </w:p>
        </w:tc>
        <w:tc>
          <w:tcPr>
            <w:tcW w:w="1520" w:type="dxa"/>
            <w:vAlign w:val="bottom"/>
            <w:shd w:val="clear" w:color="auto" w:fill="F0F7E7"/>
          </w:tcPr>
          <w:p>
            <w:pPr>
              <w:jc w:val="center"/>
              <w:ind w:left="410"/>
              <w:spacing w:after="0"/>
              <w:rPr>
                <w:sz w:val="20"/>
                <w:szCs w:val="20"/>
                <w:color w:val="auto"/>
              </w:rPr>
            </w:pPr>
            <w:r>
              <w:rPr>
                <w:rFonts w:ascii="Arial" w:cs="Arial" w:eastAsia="Arial" w:hAnsi="Arial"/>
                <w:sz w:val="14"/>
                <w:szCs w:val="14"/>
                <w:color w:val="auto"/>
              </w:rPr>
              <w:t>64</w:t>
            </w:r>
          </w:p>
        </w:tc>
        <w:tc>
          <w:tcPr>
            <w:tcW w:w="7140" w:type="dxa"/>
            <w:vAlign w:val="bottom"/>
            <w:shd w:val="clear" w:color="auto" w:fill="F0F7E7"/>
          </w:tcPr>
          <w:p>
            <w:pPr>
              <w:ind w:left="380"/>
              <w:spacing w:after="0"/>
              <w:rPr>
                <w:sz w:val="20"/>
                <w:szCs w:val="20"/>
                <w:color w:val="auto"/>
              </w:rPr>
            </w:pPr>
            <w:r>
              <w:rPr>
                <w:rFonts w:ascii="Arial" w:cs="Arial" w:eastAsia="Arial" w:hAnsi="Arial"/>
                <w:sz w:val="14"/>
                <w:szCs w:val="14"/>
                <w:color w:val="auto"/>
              </w:rPr>
              <w:t>Chief Business Officer and Executive Vice President</w:t>
            </w:r>
          </w:p>
        </w:tc>
      </w:tr>
      <w:tr>
        <w:trPr>
          <w:trHeight w:val="163"/>
        </w:trPr>
        <w:tc>
          <w:tcPr>
            <w:tcW w:w="2600" w:type="dxa"/>
            <w:vAlign w:val="bottom"/>
          </w:tcPr>
          <w:p>
            <w:pPr>
              <w:ind w:left="20"/>
              <w:spacing w:after="0"/>
              <w:rPr>
                <w:sz w:val="20"/>
                <w:szCs w:val="20"/>
                <w:color w:val="auto"/>
              </w:rPr>
            </w:pPr>
            <w:r>
              <w:rPr>
                <w:rFonts w:ascii="Arial" w:cs="Arial" w:eastAsia="Arial" w:hAnsi="Arial"/>
                <w:sz w:val="14"/>
                <w:szCs w:val="14"/>
                <w:color w:val="auto"/>
              </w:rPr>
              <w:t>Karah Parschauer</w:t>
            </w:r>
          </w:p>
        </w:tc>
        <w:tc>
          <w:tcPr>
            <w:tcW w:w="1520" w:type="dxa"/>
            <w:vAlign w:val="bottom"/>
          </w:tcPr>
          <w:p>
            <w:pPr>
              <w:jc w:val="center"/>
              <w:ind w:left="410"/>
              <w:spacing w:after="0"/>
              <w:rPr>
                <w:sz w:val="20"/>
                <w:szCs w:val="20"/>
                <w:color w:val="auto"/>
              </w:rPr>
            </w:pPr>
            <w:r>
              <w:rPr>
                <w:rFonts w:ascii="Arial" w:cs="Arial" w:eastAsia="Arial" w:hAnsi="Arial"/>
                <w:sz w:val="14"/>
                <w:szCs w:val="14"/>
                <w:color w:val="auto"/>
              </w:rPr>
              <w:t>47</w:t>
            </w:r>
          </w:p>
        </w:tc>
        <w:tc>
          <w:tcPr>
            <w:tcW w:w="7140" w:type="dxa"/>
            <w:vAlign w:val="bottom"/>
          </w:tcPr>
          <w:p>
            <w:pPr>
              <w:ind w:left="380"/>
              <w:spacing w:after="0"/>
              <w:rPr>
                <w:sz w:val="20"/>
                <w:szCs w:val="20"/>
                <w:color w:val="auto"/>
              </w:rPr>
            </w:pPr>
            <w:r>
              <w:rPr>
                <w:rFonts w:ascii="Arial" w:cs="Arial" w:eastAsia="Arial" w:hAnsi="Arial"/>
                <w:sz w:val="14"/>
                <w:szCs w:val="14"/>
                <w:color w:val="auto"/>
              </w:rPr>
              <w:t>Chief Legal Officer &amp; Corporate Affairs and Executive Vice President</w:t>
            </w:r>
          </w:p>
        </w:tc>
      </w:tr>
      <w:tr>
        <w:trPr>
          <w:trHeight w:val="167"/>
        </w:trPr>
        <w:tc>
          <w:tcPr>
            <w:tcW w:w="2600" w:type="dxa"/>
            <w:vAlign w:val="bottom"/>
            <w:tcBorders>
              <w:bottom w:val="single" w:sz="8" w:color="7CBD3F"/>
            </w:tcBorders>
            <w:shd w:val="clear" w:color="auto" w:fill="F0F7E7"/>
          </w:tcPr>
          <w:p>
            <w:pPr>
              <w:ind w:left="20"/>
              <w:spacing w:after="0"/>
              <w:rPr>
                <w:sz w:val="20"/>
                <w:szCs w:val="20"/>
                <w:color w:val="auto"/>
              </w:rPr>
            </w:pPr>
            <w:r>
              <w:rPr>
                <w:rFonts w:ascii="Arial" w:cs="Arial" w:eastAsia="Arial" w:hAnsi="Arial"/>
                <w:sz w:val="14"/>
                <w:szCs w:val="14"/>
                <w:color w:val="auto"/>
              </w:rPr>
              <w:t>John R. Pinion II</w:t>
            </w:r>
          </w:p>
        </w:tc>
        <w:tc>
          <w:tcPr>
            <w:tcW w:w="1520" w:type="dxa"/>
            <w:vAlign w:val="bottom"/>
            <w:tcBorders>
              <w:bottom w:val="single" w:sz="8" w:color="7CBD3F"/>
            </w:tcBorders>
            <w:shd w:val="clear" w:color="auto" w:fill="F0F7E7"/>
          </w:tcPr>
          <w:p>
            <w:pPr>
              <w:jc w:val="center"/>
              <w:ind w:left="410"/>
              <w:spacing w:after="0"/>
              <w:rPr>
                <w:sz w:val="20"/>
                <w:szCs w:val="20"/>
                <w:color w:val="auto"/>
              </w:rPr>
            </w:pPr>
            <w:r>
              <w:rPr>
                <w:rFonts w:ascii="Arial" w:cs="Arial" w:eastAsia="Arial" w:hAnsi="Arial"/>
                <w:sz w:val="14"/>
                <w:szCs w:val="14"/>
                <w:color w:val="auto"/>
              </w:rPr>
              <w:t>58</w:t>
            </w:r>
          </w:p>
        </w:tc>
        <w:tc>
          <w:tcPr>
            <w:tcW w:w="7140" w:type="dxa"/>
            <w:vAlign w:val="bottom"/>
            <w:tcBorders>
              <w:bottom w:val="single" w:sz="8" w:color="7CBD3F"/>
            </w:tcBorders>
            <w:shd w:val="clear" w:color="auto" w:fill="F0F7E7"/>
          </w:tcPr>
          <w:p>
            <w:pPr>
              <w:ind w:left="380"/>
              <w:spacing w:after="0"/>
              <w:rPr>
                <w:sz w:val="20"/>
                <w:szCs w:val="20"/>
                <w:color w:val="auto"/>
              </w:rPr>
            </w:pPr>
            <w:r>
              <w:rPr>
                <w:rFonts w:ascii="Arial" w:cs="Arial" w:eastAsia="Arial" w:hAnsi="Arial"/>
                <w:sz w:val="14"/>
                <w:szCs w:val="14"/>
                <w:color w:val="auto"/>
              </w:rPr>
              <w:t>Chief Quality Officer and Executive Vice President of Translational Sciences</w:t>
            </w:r>
          </w:p>
        </w:tc>
      </w:tr>
    </w:tbl>
    <w:p>
      <w:pPr>
        <w:spacing w:after="0" w:line="151" w:lineRule="exact"/>
        <w:rPr>
          <w:sz w:val="20"/>
          <w:szCs w:val="20"/>
          <w:color w:val="auto"/>
        </w:rPr>
      </w:pPr>
    </w:p>
    <w:p>
      <w:pPr>
        <w:jc w:val="both"/>
        <w:spacing w:after="0" w:line="247" w:lineRule="auto"/>
        <w:rPr>
          <w:sz w:val="20"/>
          <w:szCs w:val="20"/>
          <w:color w:val="auto"/>
        </w:rPr>
      </w:pPr>
      <w:r>
        <w:rPr>
          <w:rFonts w:ascii="Arial" w:cs="Arial" w:eastAsia="Arial" w:hAnsi="Arial"/>
          <w:sz w:val="14"/>
          <w:szCs w:val="14"/>
          <w:b w:val="1"/>
          <w:bCs w:val="1"/>
          <w:color w:val="auto"/>
        </w:rPr>
        <w:t xml:space="preserve">Dr. Eric Crombez </w:t>
      </w:r>
      <w:r>
        <w:rPr>
          <w:rFonts w:ascii="Arial" w:cs="Arial" w:eastAsia="Arial" w:hAnsi="Arial"/>
          <w:sz w:val="14"/>
          <w:szCs w:val="14"/>
          <w:color w:val="auto"/>
        </w:rPr>
        <w:t>has served as our Chief Medical Officer, Executive Vice President since March 2023. Dr. Crombez previously served as our Chief Medical Officer for gene therapy</w:t>
      </w:r>
      <w:r>
        <w:rPr>
          <w:rFonts w:ascii="Arial" w:cs="Arial" w:eastAsia="Arial" w:hAnsi="Arial"/>
          <w:sz w:val="14"/>
          <w:szCs w:val="14"/>
          <w:b w:val="1"/>
          <w:bCs w:val="1"/>
          <w:color w:val="auto"/>
        </w:rPr>
        <w:t xml:space="preserve"> </w:t>
      </w:r>
      <w:r>
        <w:rPr>
          <w:rFonts w:ascii="Arial" w:cs="Arial" w:eastAsia="Arial" w:hAnsi="Arial"/>
          <w:sz w:val="14"/>
          <w:szCs w:val="14"/>
          <w:color w:val="auto"/>
        </w:rPr>
        <w:t>and inborn errors of metabolism, overseeing global clinical development and execution for the Company’s gene therapy programs, after he joined the Company following the acquisition of Dimension Therapeutics, a biotechnology company, in November 2017. At Dimension Therapeutics, Dr. Crombez served as Chief Medical Officer from December 2014 to November 2017 where he led the clinical development efforts for clinical gene therapy programs in hemophilia B, hemophilia A, ornithine transcarbamylase (OTC) deficiency and glycogen storage disease type Ia (GSDIa). Previously, he worked at Shire plc, a biopharmaceutical company, in its Human Genetics Therapy business unit. Dr. Crombez is an appointed industry representative on the FDA Cellular, Tissue and Gene Therapies Advisory Committee. He previously served as assistant professor, Department of Pediatrics, Division of Medical Genetics at the David Geffen School of Medicine at the University of California, Los Angeles (UCLA). Dr. Crombez currently serves on the board of directors of Abeona Therapeutics Inc., a publicly traded biopharmaceutical company. Dr. Crombez is a board-certified clinical geneticist and completed residencies in pediatrics and medical genetics and a fellowship in clinical biochemical genetics at the UCLA School of Medicine. Dr. Crombez obtained his B.S. in biology from the University of Michigan, Ann Arbor, and his M.D. from Wayne State University School of Medicine, Detroit.</w:t>
      </w:r>
    </w:p>
    <w:p>
      <w:pPr>
        <w:spacing w:after="0" w:line="138" w:lineRule="exact"/>
        <w:rPr>
          <w:sz w:val="20"/>
          <w:szCs w:val="20"/>
          <w:color w:val="auto"/>
        </w:rPr>
      </w:pPr>
    </w:p>
    <w:p>
      <w:pPr>
        <w:jc w:val="both"/>
        <w:spacing w:after="0" w:line="249" w:lineRule="auto"/>
        <w:rPr>
          <w:sz w:val="20"/>
          <w:szCs w:val="20"/>
          <w:color w:val="auto"/>
        </w:rPr>
      </w:pPr>
      <w:r>
        <w:rPr>
          <w:rFonts w:ascii="Arial" w:cs="Arial" w:eastAsia="Arial" w:hAnsi="Arial"/>
          <w:sz w:val="14"/>
          <w:szCs w:val="14"/>
          <w:b w:val="1"/>
          <w:bCs w:val="1"/>
          <w:color w:val="auto"/>
        </w:rPr>
        <w:t xml:space="preserve">Erik Harris </w:t>
      </w:r>
      <w:r>
        <w:rPr>
          <w:rFonts w:ascii="Arial" w:cs="Arial" w:eastAsia="Arial" w:hAnsi="Arial"/>
          <w:sz w:val="14"/>
          <w:szCs w:val="14"/>
          <w:color w:val="auto"/>
        </w:rPr>
        <w:t>has served as our Chief Commercial Officer and Executive Vice President since June 2019. Prior to his appointment as our Chief Commercial Officer, Erik served as our</w:t>
      </w:r>
      <w:r>
        <w:rPr>
          <w:rFonts w:ascii="Arial" w:cs="Arial" w:eastAsia="Arial" w:hAnsi="Arial"/>
          <w:sz w:val="14"/>
          <w:szCs w:val="14"/>
          <w:b w:val="1"/>
          <w:bCs w:val="1"/>
          <w:color w:val="auto"/>
        </w:rPr>
        <w:t xml:space="preserve"> </w:t>
      </w:r>
      <w:r>
        <w:rPr>
          <w:rFonts w:ascii="Arial" w:cs="Arial" w:eastAsia="Arial" w:hAnsi="Arial"/>
          <w:sz w:val="14"/>
          <w:szCs w:val="14"/>
          <w:color w:val="auto"/>
        </w:rPr>
        <w:t>Senior Vice President and Head of North American Commercial Operations from July 2017 to June 2019. Prior to Ultragenyx, Mr. Harris spent six years at Crescendo Bioscience, Inc., a molecular diagnostic company, most recently as Vice President of Commercial. Earlier in his career, Mr. Harris served as Vice President of Marketing at InterMune, Inc., a biotechnology company, and also held positions in the commercial organizations at Elan Pharmaceuticals, Inc., Genentech, Inc., and Bristol-Myers Squibb Company. At the start of his professional career, Mr. Harris served as a Lieutenant Commander in Naval Aviation and Congressional Fellow for the United States Navy. Mr. Harris currently serves on the board of directors of Denali Therapeutics Inc. and Inozyme Pharma, Inc., each a publicly traded biopharmaceutical company. Mr. Harris holds a B.S. from the United States Naval Academy and an M.B.A. from the Wharton School of Business.</w:t>
      </w:r>
    </w:p>
    <w:p>
      <w:pPr>
        <w:spacing w:after="0" w:line="136" w:lineRule="exact"/>
        <w:rPr>
          <w:sz w:val="20"/>
          <w:szCs w:val="20"/>
          <w:color w:val="auto"/>
        </w:rPr>
      </w:pPr>
    </w:p>
    <w:p>
      <w:pPr>
        <w:jc w:val="both"/>
        <w:spacing w:after="0" w:line="249" w:lineRule="auto"/>
        <w:rPr>
          <w:sz w:val="20"/>
          <w:szCs w:val="20"/>
          <w:color w:val="auto"/>
        </w:rPr>
      </w:pPr>
      <w:r>
        <w:rPr>
          <w:rFonts w:ascii="Arial" w:cs="Arial" w:eastAsia="Arial" w:hAnsi="Arial"/>
          <w:sz w:val="14"/>
          <w:szCs w:val="14"/>
          <w:b w:val="1"/>
          <w:bCs w:val="1"/>
          <w:color w:val="auto"/>
        </w:rPr>
        <w:t xml:space="preserve">Howard Horn </w:t>
      </w:r>
      <w:r>
        <w:rPr>
          <w:rFonts w:ascii="Arial" w:cs="Arial" w:eastAsia="Arial" w:hAnsi="Arial"/>
          <w:sz w:val="14"/>
          <w:szCs w:val="14"/>
          <w:color w:val="auto"/>
        </w:rPr>
        <w:t>has served as our Chief Financial Officer, Corporate Strategy and Executive Vice President since October 2023. He previously served as Chief Financial Officer and as</w:t>
      </w:r>
      <w:r>
        <w:rPr>
          <w:rFonts w:ascii="Arial" w:cs="Arial" w:eastAsia="Arial" w:hAnsi="Arial"/>
          <w:sz w:val="14"/>
          <w:szCs w:val="14"/>
          <w:b w:val="1"/>
          <w:bCs w:val="1"/>
          <w:color w:val="auto"/>
        </w:rPr>
        <w:t xml:space="preserve"> </w:t>
      </w:r>
      <w:r>
        <w:rPr>
          <w:rFonts w:ascii="Arial" w:cs="Arial" w:eastAsia="Arial" w:hAnsi="Arial"/>
          <w:sz w:val="14"/>
          <w:szCs w:val="14"/>
          <w:color w:val="auto"/>
        </w:rPr>
        <w:t>a member of the founding management team at Vir Biotechnology, a public biotech company from March 2017 to April 2023, where he led the accounting, finance, investor relations and facilities functions. Prior to Vir Biotechnology, Mr. Horn was at Biogen, a biotechnology company, where he served first as Vice President, Strategic Corporate Finance and led Biogen’s corporate capital allocation processes, and then as Vice President, Business Planning and led Biogen’s resource allocation processes across all functions and regions. Previously, he held positions of increasing responsibility as a consultant in the Pharmaceutical and Medical Products Practice at McKinsey &amp; Company, and as an equity research analyst in the Life Sciences group at UBS Group AG. Mr. Horn received his B.A. in Economics from Princeton University and his M.B.A. from the Wharton School of the University of Pennsylvania.</w:t>
      </w:r>
    </w:p>
    <w:p>
      <w:pPr>
        <w:spacing w:after="0" w:line="136" w:lineRule="exact"/>
        <w:rPr>
          <w:sz w:val="20"/>
          <w:szCs w:val="20"/>
          <w:color w:val="auto"/>
        </w:rPr>
      </w:pPr>
    </w:p>
    <w:p>
      <w:pPr>
        <w:jc w:val="both"/>
        <w:spacing w:after="0" w:line="252" w:lineRule="auto"/>
        <w:rPr>
          <w:sz w:val="20"/>
          <w:szCs w:val="20"/>
          <w:color w:val="auto"/>
        </w:rPr>
      </w:pPr>
      <w:r>
        <w:rPr>
          <w:rFonts w:ascii="Arial" w:cs="Arial" w:eastAsia="Arial" w:hAnsi="Arial"/>
          <w:sz w:val="14"/>
          <w:szCs w:val="14"/>
          <w:b w:val="1"/>
          <w:bCs w:val="1"/>
          <w:color w:val="auto"/>
        </w:rPr>
        <w:t xml:space="preserve">Dennis Huang </w:t>
      </w:r>
      <w:r>
        <w:rPr>
          <w:rFonts w:ascii="Arial" w:cs="Arial" w:eastAsia="Arial" w:hAnsi="Arial"/>
          <w:sz w:val="14"/>
          <w:szCs w:val="14"/>
          <w:color w:val="auto"/>
        </w:rPr>
        <w:t>has served as our Executive Vice President since January 2016, our Chief Technical Operations Officer since May 2015 and as our Chief Technical Operations Officer</w:t>
      </w:r>
      <w:r>
        <w:rPr>
          <w:rFonts w:ascii="Arial" w:cs="Arial" w:eastAsia="Arial" w:hAnsi="Arial"/>
          <w:sz w:val="14"/>
          <w:szCs w:val="14"/>
          <w:b w:val="1"/>
          <w:bCs w:val="1"/>
          <w:color w:val="auto"/>
        </w:rPr>
        <w:t xml:space="preserve"> </w:t>
      </w:r>
      <w:r>
        <w:rPr>
          <w:rFonts w:ascii="Arial" w:cs="Arial" w:eastAsia="Arial" w:hAnsi="Arial"/>
          <w:sz w:val="14"/>
          <w:szCs w:val="14"/>
          <w:color w:val="auto"/>
        </w:rPr>
        <w:t>and Gene Therapy Operations since December 2021. From May 2015 to January 2016, he served as our Senior Vice President. Prior to Ultragenyx, Mr. Huang served as Senior Vice President of Manufacturing and Supply Chain at InterMune, Inc., a biotechnology company, from August 2013 to March 2015. Prior to InterMune, Mr. Huang served as Vice President of Biologic Manufacturing and Development at Allergan, Inc., a global pharmaceutical company, from May 2006 to August 2013. Mr. Huang currently serves on the board of directors of CytoDel, Inc., a private biopharmaceutical company. Mr. Huang holds a B.A. in Chemistry from Knox College in Galesburg, Illinois.</w:t>
      </w:r>
    </w:p>
    <w:p>
      <w:pPr>
        <w:spacing w:after="0" w:line="134" w:lineRule="exact"/>
        <w:rPr>
          <w:sz w:val="20"/>
          <w:szCs w:val="20"/>
          <w:color w:val="auto"/>
        </w:rPr>
      </w:pPr>
    </w:p>
    <w:p>
      <w:pPr>
        <w:jc w:val="both"/>
        <w:spacing w:after="0" w:line="260" w:lineRule="auto"/>
        <w:rPr>
          <w:sz w:val="20"/>
          <w:szCs w:val="20"/>
          <w:color w:val="auto"/>
        </w:rPr>
      </w:pPr>
      <w:r>
        <w:rPr>
          <w:rFonts w:ascii="Arial" w:cs="Arial" w:eastAsia="Arial" w:hAnsi="Arial"/>
          <w:sz w:val="14"/>
          <w:szCs w:val="14"/>
          <w:b w:val="1"/>
          <w:bCs w:val="1"/>
          <w:color w:val="auto"/>
        </w:rPr>
        <w:t xml:space="preserve">Thomas Kassberg </w:t>
      </w:r>
      <w:r>
        <w:rPr>
          <w:rFonts w:ascii="Arial" w:cs="Arial" w:eastAsia="Arial" w:hAnsi="Arial"/>
          <w:sz w:val="14"/>
          <w:szCs w:val="14"/>
          <w:color w:val="auto"/>
        </w:rPr>
        <w:t>has served as our Executive Vice President since January 2016 and our Chief Business Officer since November 2011. From November 2011 to January 2016, he</w:t>
      </w:r>
      <w:r>
        <w:rPr>
          <w:rFonts w:ascii="Arial" w:cs="Arial" w:eastAsia="Arial" w:hAnsi="Arial"/>
          <w:sz w:val="14"/>
          <w:szCs w:val="14"/>
          <w:b w:val="1"/>
          <w:bCs w:val="1"/>
          <w:color w:val="auto"/>
        </w:rPr>
        <w:t xml:space="preserve"> </w:t>
      </w:r>
      <w:r>
        <w:rPr>
          <w:rFonts w:ascii="Arial" w:cs="Arial" w:eastAsia="Arial" w:hAnsi="Arial"/>
          <w:sz w:val="14"/>
          <w:szCs w:val="14"/>
          <w:color w:val="auto"/>
        </w:rPr>
        <w:t>served as our Senior Vice President. Prior to Ultragenyx, Mr. Kassberg worked as Vice President of Business Development at Corium International, Inc., a biotechnology company, from July 2010 to October 2011. Prior to his work at Corium</w:t>
      </w:r>
    </w:p>
    <w:p>
      <w:pPr>
        <w:spacing w:after="0" w:line="130"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221E1F"/>
        </w:rPr>
        <w:t xml:space="preserve">ULTRAGENYX PHARMACEUTICAL INC. </w:t>
      </w:r>
      <w:r>
        <w:rPr>
          <w:rFonts w:ascii="Arial" w:cs="Arial" w:eastAsia="Arial" w:hAnsi="Arial"/>
          <w:sz w:val="14"/>
          <w:szCs w:val="14"/>
          <w:color w:val="7BBD3E"/>
        </w:rPr>
        <w:t>•</w:t>
      </w:r>
      <w:r>
        <w:rPr>
          <w:rFonts w:ascii="Arial" w:cs="Arial" w:eastAsia="Arial" w:hAnsi="Arial"/>
          <w:sz w:val="14"/>
          <w:szCs w:val="14"/>
          <w:b w:val="1"/>
          <w:bCs w:val="1"/>
          <w:color w:val="221E1F"/>
        </w:rPr>
        <w:t xml:space="preserve"> </w:t>
      </w:r>
      <w:r>
        <w:rPr>
          <w:rFonts w:ascii="Arial" w:cs="Arial" w:eastAsia="Arial" w:hAnsi="Arial"/>
          <w:sz w:val="14"/>
          <w:szCs w:val="14"/>
          <w:color w:val="221E1F"/>
        </w:rPr>
        <w:t>2025 Proxy Statement</w:t>
      </w:r>
      <w:r>
        <w:rPr>
          <w:rFonts w:ascii="Arial" w:cs="Arial" w:eastAsia="Arial" w:hAnsi="Arial"/>
          <w:sz w:val="14"/>
          <w:szCs w:val="14"/>
          <w:b w:val="1"/>
          <w:bCs w:val="1"/>
          <w:color w:val="221E1F"/>
        </w:rPr>
        <w:tab/>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142240</wp:posOffset>
            </wp:positionV>
            <wp:extent cx="7150735"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0735" cy="29845"/>
                    </a:xfrm>
                    <a:prstGeom prst="rect">
                      <a:avLst/>
                    </a:prstGeom>
                    <a:noFill/>
                  </pic:spPr>
                </pic:pic>
              </a:graphicData>
            </a:graphic>
          </wp:anchor>
        </w:drawing>
      </w:r>
    </w:p>
    <w:p>
      <w:pPr>
        <w:sectPr>
          <w:pgSz w:w="11900" w:h="16838" w:orient="portrait"/>
          <w:cols w:equalWidth="0" w:num="1">
            <w:col w:w="11260"/>
          </w:cols>
          <w:pgMar w:left="320" w:top="225" w:right="319" w:bottom="1440" w:gutter="0" w:footer="0" w:header="0"/>
        </w:sectPr>
      </w:pPr>
    </w:p>
    <w:bookmarkStart w:id="34" w:name="page35"/>
    <w:bookmarkEnd w:id="34"/>
    <w:p>
      <w:pPr>
        <w:spacing w:after="0"/>
        <w:rPr>
          <w:sz w:val="20"/>
          <w:szCs w:val="20"/>
          <w:color w:val="auto"/>
        </w:rPr>
      </w:pPr>
      <w:r>
        <w:rPr>
          <w:rFonts w:ascii="Arial" w:cs="Arial" w:eastAsia="Arial" w:hAnsi="Arial"/>
          <w:sz w:val="12"/>
          <w:szCs w:val="12"/>
          <w:b w:val="1"/>
          <w:bCs w:val="1"/>
          <w:u w:val="single" w:color="auto"/>
          <w:color w:val="0000EE"/>
        </w:rPr>
        <w:t>Back to Contents</w:t>
      </w:r>
    </w:p>
    <w:p>
      <w:pPr>
        <w:spacing w:after="0" w:line="149" w:lineRule="exact"/>
        <w:rPr>
          <w:sz w:val="20"/>
          <w:szCs w:val="20"/>
          <w:color w:val="auto"/>
        </w:rPr>
      </w:pPr>
    </w:p>
    <w:p>
      <w:pPr>
        <w:jc w:val="both"/>
        <w:spacing w:after="0" w:line="252" w:lineRule="auto"/>
        <w:rPr>
          <w:sz w:val="20"/>
          <w:szCs w:val="20"/>
          <w:color w:val="auto"/>
        </w:rPr>
      </w:pPr>
      <w:r>
        <w:rPr>
          <w:rFonts w:ascii="Arial" w:cs="Arial" w:eastAsia="Arial" w:hAnsi="Arial"/>
          <w:sz w:val="14"/>
          <w:szCs w:val="14"/>
          <w:color w:val="auto"/>
        </w:rPr>
        <w:t>International, Inc., Mr. Kassberg worked as an independent consultant in corporate development and business strategy and consulted with a number of companies from March 2009 to June 2010, including Corium International, Inc., a biopharmaceutical company, and Rib-X Pharmaceuticals, Inc., a pharmaceutical company focused on the development of novel antibiotics. Before becoming a consultant, Mr. Kassberg worked at Proteolix, Inc., a biotechnology company subsequently acquired by Onyx Pharmaceuticals, from January 2008 to February 2009, where he served as Senior Vice President of Corporate Development. Mr. Kassberg currently serves on the board of directors of Passage Bio, Inc., a publicly traded biotechnology company. Mr. Kassberg holds a B.A. in Business Administration from Gustavus Adolphus College and an M.B.A. from Northwestern University.</w:t>
      </w:r>
    </w:p>
    <w:p>
      <w:pPr>
        <w:spacing w:after="0" w:line="134" w:lineRule="exact"/>
        <w:rPr>
          <w:sz w:val="20"/>
          <w:szCs w:val="20"/>
          <w:color w:val="auto"/>
        </w:rPr>
      </w:pPr>
    </w:p>
    <w:p>
      <w:pPr>
        <w:jc w:val="both"/>
        <w:spacing w:after="0" w:line="250" w:lineRule="auto"/>
        <w:rPr>
          <w:sz w:val="20"/>
          <w:szCs w:val="20"/>
          <w:color w:val="auto"/>
        </w:rPr>
      </w:pPr>
      <w:r>
        <w:rPr>
          <w:rFonts w:ascii="Arial" w:cs="Arial" w:eastAsia="Arial" w:hAnsi="Arial"/>
          <w:sz w:val="14"/>
          <w:szCs w:val="14"/>
          <w:b w:val="1"/>
          <w:bCs w:val="1"/>
          <w:color w:val="auto"/>
        </w:rPr>
        <w:t xml:space="preserve">Karah Parschauer </w:t>
      </w:r>
      <w:r>
        <w:rPr>
          <w:rFonts w:ascii="Arial" w:cs="Arial" w:eastAsia="Arial" w:hAnsi="Arial"/>
          <w:sz w:val="14"/>
          <w:szCs w:val="14"/>
          <w:color w:val="auto"/>
        </w:rPr>
        <w:t>has served as our Chief Legal Officer &amp; Corporate Affairs, Executive Vice President since February 2023, as our Chief Legal Officer and Executive Vice President</w:t>
      </w:r>
      <w:r>
        <w:rPr>
          <w:rFonts w:ascii="Arial" w:cs="Arial" w:eastAsia="Arial" w:hAnsi="Arial"/>
          <w:sz w:val="14"/>
          <w:szCs w:val="14"/>
          <w:b w:val="1"/>
          <w:bCs w:val="1"/>
          <w:color w:val="auto"/>
        </w:rPr>
        <w:t xml:space="preserve"> </w:t>
      </w:r>
      <w:r>
        <w:rPr>
          <w:rFonts w:ascii="Arial" w:cs="Arial" w:eastAsia="Arial" w:hAnsi="Arial"/>
          <w:sz w:val="14"/>
          <w:szCs w:val="14"/>
          <w:color w:val="auto"/>
        </w:rPr>
        <w:t>since December 2021 and as our General Counsel and Executive Vice President since June 2016. Prior to Ultragenyx, Ms. Parschauer served in various executive capacities, and most recently as Vice President, Associate General Counsel, at Allergan plc, a pharmaceutical company, from June 2005 to June 2016. Prior to Allergan, Ms. Parschauer was an attorney at Latham &amp; Watkins LLP, where she practiced in the areas of mergers and acquisitions, securities offerings and corporate governance. Ms. Parschauer currently serves on the board of directors of Evolus, Inc., a publicly traded performance beauty company, and the board of directors of Tenaya Therapeutics, a publicly traded biotechnology company. Ms. Parschauer holds a B.A. in Biology from Miami University and a J.D. from Harvard Law School.</w:t>
      </w:r>
    </w:p>
    <w:p>
      <w:pPr>
        <w:spacing w:after="0" w:line="136" w:lineRule="exact"/>
        <w:rPr>
          <w:sz w:val="20"/>
          <w:szCs w:val="20"/>
          <w:color w:val="auto"/>
        </w:rPr>
      </w:pPr>
    </w:p>
    <w:p>
      <w:pPr>
        <w:jc w:val="both"/>
        <w:spacing w:after="0" w:line="250" w:lineRule="auto"/>
        <w:rPr>
          <w:sz w:val="20"/>
          <w:szCs w:val="20"/>
          <w:color w:val="auto"/>
        </w:rPr>
      </w:pPr>
      <w:r>
        <w:rPr>
          <w:rFonts w:ascii="Arial" w:cs="Arial" w:eastAsia="Arial" w:hAnsi="Arial"/>
          <w:sz w:val="14"/>
          <w:szCs w:val="14"/>
          <w:b w:val="1"/>
          <w:bCs w:val="1"/>
          <w:color w:val="auto"/>
        </w:rPr>
        <w:t xml:space="preserve">John R. Pinion II </w:t>
      </w:r>
      <w:r>
        <w:rPr>
          <w:rFonts w:ascii="Arial" w:cs="Arial" w:eastAsia="Arial" w:hAnsi="Arial"/>
          <w:sz w:val="14"/>
          <w:szCs w:val="14"/>
          <w:color w:val="auto"/>
        </w:rPr>
        <w:t>has served as our Chief Quality Officer and Executive Vice President of Translational Sciences since September 2017. From January 2016 to September 2017, he</w:t>
      </w:r>
      <w:r>
        <w:rPr>
          <w:rFonts w:ascii="Arial" w:cs="Arial" w:eastAsia="Arial" w:hAnsi="Arial"/>
          <w:sz w:val="14"/>
          <w:szCs w:val="14"/>
          <w:b w:val="1"/>
          <w:bCs w:val="1"/>
          <w:color w:val="auto"/>
        </w:rPr>
        <w:t xml:space="preserve"> </w:t>
      </w:r>
      <w:r>
        <w:rPr>
          <w:rFonts w:ascii="Arial" w:cs="Arial" w:eastAsia="Arial" w:hAnsi="Arial"/>
          <w:sz w:val="14"/>
          <w:szCs w:val="14"/>
          <w:color w:val="auto"/>
        </w:rPr>
        <w:t>served as our Executive Vice President of Analytical Sciences and Research, and from July 2015 to September 2017, as our Chief Quality Operations Officer. From July 2015 to January 2016, he served as our Senior Vice President of Analytical Sciences and Research. Prior to Ultragenyx, Mr. Pinion served in various roles with increasing responsibilities at Genentech, a pharmaceutical company, from 2005 to June 2015, including his most recent position as the Senior Vice President and Global Head of Quality and Compliance for Roche/Genentech Pharma Technical Operations from October 2009 to July 2015. Mr. Pinion currently serves on the board of directors of Aroa Biosurgery, a soft tissue regeneration company listed on the Australian Securities Exchange. Mr. Pinion holds a B.S. in Mechanical Engineering from the University of West Virginia.</w:t>
      </w:r>
    </w:p>
    <w:p>
      <w:pPr>
        <w:spacing w:after="0" w:line="136"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221E1F"/>
        </w:rPr>
        <w:t xml:space="preserve">ULTRAGENYX PHARMACEUTICAL INC. </w:t>
      </w:r>
      <w:r>
        <w:rPr>
          <w:rFonts w:ascii="Arial" w:cs="Arial" w:eastAsia="Arial" w:hAnsi="Arial"/>
          <w:sz w:val="14"/>
          <w:szCs w:val="14"/>
          <w:color w:val="7BBD3E"/>
        </w:rPr>
        <w:t>•</w:t>
      </w:r>
      <w:r>
        <w:rPr>
          <w:rFonts w:ascii="Arial" w:cs="Arial" w:eastAsia="Arial" w:hAnsi="Arial"/>
          <w:sz w:val="14"/>
          <w:szCs w:val="14"/>
          <w:b w:val="1"/>
          <w:bCs w:val="1"/>
          <w:color w:val="221E1F"/>
        </w:rPr>
        <w:t xml:space="preserve"> </w:t>
      </w:r>
      <w:r>
        <w:rPr>
          <w:rFonts w:ascii="Arial" w:cs="Arial" w:eastAsia="Arial" w:hAnsi="Arial"/>
          <w:sz w:val="14"/>
          <w:szCs w:val="14"/>
          <w:color w:val="221E1F"/>
        </w:rPr>
        <w:t>2025 Proxy Statement</w:t>
      </w:r>
      <w:r>
        <w:rPr>
          <w:rFonts w:ascii="Arial" w:cs="Arial" w:eastAsia="Arial" w:hAnsi="Arial"/>
          <w:sz w:val="14"/>
          <w:szCs w:val="14"/>
          <w:b w:val="1"/>
          <w:bCs w:val="1"/>
          <w:color w:val="221E1F"/>
        </w:rPr>
        <w:tab/>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142240</wp:posOffset>
            </wp:positionV>
            <wp:extent cx="7150735"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0735" cy="29845"/>
                    </a:xfrm>
                    <a:prstGeom prst="rect">
                      <a:avLst/>
                    </a:prstGeom>
                    <a:noFill/>
                  </pic:spPr>
                </pic:pic>
              </a:graphicData>
            </a:graphic>
          </wp:anchor>
        </w:drawing>
      </w:r>
    </w:p>
    <w:p>
      <w:pPr>
        <w:sectPr>
          <w:pgSz w:w="11900" w:h="16838" w:orient="portrait"/>
          <w:cols w:equalWidth="0" w:num="1">
            <w:col w:w="11260"/>
          </w:cols>
          <w:pgMar w:left="320" w:top="225" w:right="319" w:bottom="1440" w:gutter="0" w:footer="0" w:header="0"/>
        </w:sectPr>
      </w:pPr>
    </w:p>
    <w:bookmarkStart w:id="35" w:name="page36"/>
    <w:bookmarkEnd w:id="35"/>
    <w:p>
      <w:pPr>
        <w:spacing w:after="0"/>
        <w:rPr>
          <w:sz w:val="20"/>
          <w:szCs w:val="20"/>
          <w:color w:val="auto"/>
        </w:rPr>
      </w:pPr>
      <w:r>
        <w:rPr>
          <w:rFonts w:ascii="Arial" w:cs="Arial" w:eastAsia="Arial" w:hAnsi="Arial"/>
          <w:sz w:val="12"/>
          <w:szCs w:val="12"/>
          <w:b w:val="1"/>
          <w:bCs w:val="1"/>
          <w:u w:val="single" w:color="auto"/>
          <w:color w:val="0000EE"/>
        </w:rPr>
        <w:t>Back to Contents</w:t>
      </w:r>
    </w:p>
    <w:p>
      <w:pPr>
        <w:spacing w:after="0" w:line="128" w:lineRule="exact"/>
        <w:rPr>
          <w:sz w:val="20"/>
          <w:szCs w:val="20"/>
          <w:color w:val="auto"/>
        </w:rPr>
      </w:pPr>
    </w:p>
    <w:p>
      <w:pPr>
        <w:spacing w:after="0"/>
        <w:rPr>
          <w:sz w:val="20"/>
          <w:szCs w:val="20"/>
          <w:color w:val="auto"/>
        </w:rPr>
      </w:pPr>
      <w:r>
        <w:rPr>
          <w:rFonts w:ascii="Arial" w:cs="Arial" w:eastAsia="Arial" w:hAnsi="Arial"/>
          <w:sz w:val="31"/>
          <w:szCs w:val="31"/>
          <w:b w:val="1"/>
          <w:bCs w:val="1"/>
          <w:color w:val="7CBD3F"/>
        </w:rPr>
        <w:t>Certain Relationships and Related-Person Transactions</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Related-Person Transactions</w:t>
      </w:r>
    </w:p>
    <w:p>
      <w:pPr>
        <w:spacing w:after="0" w:line="222" w:lineRule="exact"/>
        <w:rPr>
          <w:sz w:val="20"/>
          <w:szCs w:val="20"/>
          <w:color w:val="auto"/>
        </w:rPr>
      </w:pPr>
    </w:p>
    <w:p>
      <w:pPr>
        <w:jc w:val="both"/>
        <w:ind w:right="20"/>
        <w:spacing w:after="0" w:line="260" w:lineRule="auto"/>
        <w:rPr>
          <w:sz w:val="20"/>
          <w:szCs w:val="20"/>
          <w:color w:val="auto"/>
        </w:rPr>
      </w:pPr>
      <w:r>
        <w:rPr>
          <w:rFonts w:ascii="Arial" w:cs="Arial" w:eastAsia="Arial" w:hAnsi="Arial"/>
          <w:sz w:val="14"/>
          <w:szCs w:val="14"/>
          <w:color w:val="auto"/>
        </w:rPr>
        <w:t>Since January 1, 2024, we have not become, and are not currently proposed to be, a participant in any transactions required to be disclosed in the Proxy Statement under SEC rules with any “related persons,” which are generally considered to be our directors and executive officers, nominees for director, holders of more than 5% of our outstanding common stock, and members of their immediate families.</w:t>
      </w:r>
    </w:p>
    <w:p>
      <w:pPr>
        <w:spacing w:after="0" w:line="2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Procedures for Related-Person Transactions</w:t>
      </w:r>
    </w:p>
    <w:p>
      <w:pPr>
        <w:spacing w:after="0" w:line="222" w:lineRule="exact"/>
        <w:rPr>
          <w:sz w:val="20"/>
          <w:szCs w:val="20"/>
          <w:color w:val="auto"/>
        </w:rPr>
      </w:pPr>
    </w:p>
    <w:p>
      <w:pPr>
        <w:jc w:val="both"/>
        <w:spacing w:after="0" w:line="250" w:lineRule="auto"/>
        <w:rPr>
          <w:sz w:val="20"/>
          <w:szCs w:val="20"/>
          <w:color w:val="auto"/>
        </w:rPr>
      </w:pPr>
      <w:r>
        <w:rPr>
          <w:rFonts w:ascii="Arial" w:cs="Arial" w:eastAsia="Arial" w:hAnsi="Arial"/>
          <w:sz w:val="14"/>
          <w:szCs w:val="14"/>
          <w:color w:val="auto"/>
        </w:rPr>
        <w:t>We have adopted a written related-person transactions policy that governs the review, approval, and/or ratification of transactions with a related person where the amount involved exceeds $100,000 and in which any related person has or will have a direct or indirect interest. Under the policy, a “related person” is defined as any person described in Item 404(a) of Regulation S-K and includes any director, nominee for director, or executive officer of the Company; a beneficial owner of more than five percent of any class of our voting securities; and a person who is an immediate family member of any such director, nominee for director, executive officer, or more-than-five percent beneficial owner (the term “immediate family member” includes any child, stepchild, parent, stepparent, spouse, sibling, mother-in-law, father-in-law, son-in-law, daughter-in-law, brother-in-law, or sister-in-law and any person (other than a tenant or employee) sharing the household of any such director, nominee for director, executive officer, or more-than-five percent beneficial owner).</w:t>
      </w:r>
    </w:p>
    <w:p>
      <w:pPr>
        <w:spacing w:after="0" w:line="136"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Pursuant to this policy, prior to entering into a transaction with a related person, our Chief Financial Officer (or Chief Legal Officer, in the case where the Chief Financial Officer has a direct or indirect interest in the transaction) will review the proposed transaction to determine if such transaction qualifies as a related-person transaction. If the Chief Financial Officer (or Chief Legal Officer, if applicable) determines that the proposed transaction is a related-person transaction, then the proposed transaction will be submitted to the Audit Committee for consideration at the next Audit Committee meeting; provided, however, that if the Chief Financial Officer (or Chief Legal Officer, if applicable),in consultation with the Chief Executive Officer,determines that it is not practicable or desirable to wait until the next meeting of the Audit Committee, then the Chief Financial Officer (or Chief Legal Officer, if applicable) shall submit the proposed transaction to the chairperson of the Audit Committee (who possesses delegated authority to act between meetings of the Audit Committee to pre-approve or ratify, as applicable, any related-person transaction in which the aggregate amount involved is expected to be less than $1 million).</w:t>
      </w:r>
    </w:p>
    <w:p>
      <w:pPr>
        <w:spacing w:after="0" w:line="136"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In the event that our Chief Executive Officer or Chief Financial Officer (or Chief Legal Officer, if applicable) becomes aware of a related-person transaction that has not been previously approved or previously ratified under our related-person transaction policy, the transaction, if pending or ongoing, will be promptly submitted to the Audit Committee or the chairperson of the Audit Committee for consideration. If the transaction is already completed, the Audit Committee or the chairperson of the Audit Committee shall evaluate the transaction to determine if rescission of the transaction and/or any disciplinary action is appropriate.</w:t>
      </w:r>
    </w:p>
    <w:p>
      <w:pPr>
        <w:spacing w:after="0" w:line="132" w:lineRule="exact"/>
        <w:rPr>
          <w:sz w:val="20"/>
          <w:szCs w:val="20"/>
          <w:color w:val="auto"/>
        </w:rPr>
      </w:pPr>
    </w:p>
    <w:p>
      <w:pPr>
        <w:jc w:val="both"/>
        <w:spacing w:after="0" w:line="250" w:lineRule="auto"/>
        <w:rPr>
          <w:sz w:val="20"/>
          <w:szCs w:val="20"/>
          <w:color w:val="auto"/>
        </w:rPr>
      </w:pPr>
      <w:r>
        <w:rPr>
          <w:rFonts w:ascii="Arial" w:cs="Arial" w:eastAsia="Arial" w:hAnsi="Arial"/>
          <w:sz w:val="14"/>
          <w:szCs w:val="14"/>
          <w:color w:val="auto"/>
        </w:rPr>
        <w:t>In evaluating these transactions, the Audit Committee or the chairperson of the Audit Committee, as applicable, will consider all of the relevant facts and circumstances available, including (if applicable) but not limited to: the benefits to us; the impact on a director’s independence in the event the related person is a director, an immediate family member of a director, or an entity in which a director has a position or relationship; the availability of other sources for comparable products or services; the terms of the transaction; and the terms available to unrelated third parties or to employees generally. The Audit Committee or the Chairperson of the Audit Committee, as applicable, will only approve related-person transactions that are in, or are not inconsistent with, the best interests of the Company and its stockholders, as the Audit Committee or the Chairperson of the Audit Committee determines in good faith.</w:t>
      </w:r>
    </w:p>
    <w:p>
      <w:pPr>
        <w:spacing w:after="0" w:line="136"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No member of the Audit Committee shall participate in any review, consideration or approval of any related-person transaction with respect to which such member or any of his or her immediate family members is the related person.</w:t>
      </w:r>
    </w:p>
    <w:p>
      <w:pPr>
        <w:spacing w:after="0" w:line="117"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221E1F"/>
        </w:rPr>
        <w:t xml:space="preserve">ULTRAGENYX PHARMACEUTICAL INC. </w:t>
      </w:r>
      <w:r>
        <w:rPr>
          <w:rFonts w:ascii="Arial" w:cs="Arial" w:eastAsia="Arial" w:hAnsi="Arial"/>
          <w:sz w:val="14"/>
          <w:szCs w:val="14"/>
          <w:color w:val="7BBD3E"/>
        </w:rPr>
        <w:t>•</w:t>
      </w:r>
      <w:r>
        <w:rPr>
          <w:rFonts w:ascii="Arial" w:cs="Arial" w:eastAsia="Arial" w:hAnsi="Arial"/>
          <w:sz w:val="14"/>
          <w:szCs w:val="14"/>
          <w:b w:val="1"/>
          <w:bCs w:val="1"/>
          <w:color w:val="221E1F"/>
        </w:rPr>
        <w:t xml:space="preserve"> </w:t>
      </w:r>
      <w:r>
        <w:rPr>
          <w:rFonts w:ascii="Arial" w:cs="Arial" w:eastAsia="Arial" w:hAnsi="Arial"/>
          <w:sz w:val="14"/>
          <w:szCs w:val="14"/>
          <w:color w:val="221E1F"/>
        </w:rPr>
        <w:t>2025 Proxy Statement</w:t>
      </w:r>
      <w:r>
        <w:rPr>
          <w:rFonts w:ascii="Arial" w:cs="Arial" w:eastAsia="Arial" w:hAnsi="Arial"/>
          <w:sz w:val="14"/>
          <w:szCs w:val="14"/>
          <w:b w:val="1"/>
          <w:bCs w:val="1"/>
          <w:color w:val="221E1F"/>
        </w:rPr>
        <w:tab/>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142240</wp:posOffset>
            </wp:positionV>
            <wp:extent cx="7150735"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0735" cy="29845"/>
                    </a:xfrm>
                    <a:prstGeom prst="rect">
                      <a:avLst/>
                    </a:prstGeom>
                    <a:noFill/>
                  </pic:spPr>
                </pic:pic>
              </a:graphicData>
            </a:graphic>
          </wp:anchor>
        </w:drawing>
      </w:r>
    </w:p>
    <w:p>
      <w:pPr>
        <w:sectPr>
          <w:pgSz w:w="11900" w:h="16838" w:orient="portrait"/>
          <w:cols w:equalWidth="0" w:num="1">
            <w:col w:w="11260"/>
          </w:cols>
          <w:pgMar w:left="320" w:top="225" w:right="319" w:bottom="1440" w:gutter="0" w:footer="0" w:header="0"/>
        </w:sectPr>
      </w:pPr>
    </w:p>
    <w:bookmarkStart w:id="36" w:name="page37"/>
    <w:bookmarkEnd w:id="36"/>
    <w:p>
      <w:pPr>
        <w:ind w:left="7"/>
        <w:spacing w:after="0"/>
        <w:rPr>
          <w:sz w:val="20"/>
          <w:szCs w:val="20"/>
          <w:color w:val="auto"/>
        </w:rPr>
      </w:pPr>
      <w:r>
        <w:rPr>
          <w:rFonts w:ascii="Arial" w:cs="Arial" w:eastAsia="Arial" w:hAnsi="Arial"/>
          <w:sz w:val="12"/>
          <w:szCs w:val="12"/>
          <w:b w:val="1"/>
          <w:bCs w:val="1"/>
          <w:u w:val="single" w:color="auto"/>
          <w:color w:val="0000EE"/>
        </w:rPr>
        <w:t>Back to Contents</w:t>
      </w:r>
    </w:p>
    <w:p>
      <w:pPr>
        <w:spacing w:after="0" w:line="128" w:lineRule="exact"/>
        <w:rPr>
          <w:sz w:val="20"/>
          <w:szCs w:val="20"/>
          <w:color w:val="auto"/>
        </w:rPr>
      </w:pPr>
    </w:p>
    <w:p>
      <w:pPr>
        <w:ind w:left="7"/>
        <w:spacing w:after="0"/>
        <w:rPr>
          <w:sz w:val="20"/>
          <w:szCs w:val="20"/>
          <w:color w:val="auto"/>
        </w:rPr>
      </w:pPr>
      <w:r>
        <w:rPr>
          <w:rFonts w:ascii="Arial" w:cs="Arial" w:eastAsia="Arial" w:hAnsi="Arial"/>
          <w:sz w:val="31"/>
          <w:szCs w:val="31"/>
          <w:b w:val="1"/>
          <w:bCs w:val="1"/>
          <w:color w:val="7CBD3F"/>
        </w:rPr>
        <w:t>Security Ownership of Certain Beneficial Owners and Management</w:t>
      </w:r>
    </w:p>
    <w:p>
      <w:pPr>
        <w:spacing w:after="0" w:line="352" w:lineRule="exact"/>
        <w:rPr>
          <w:sz w:val="20"/>
          <w:szCs w:val="20"/>
          <w:color w:val="auto"/>
        </w:rPr>
      </w:pPr>
    </w:p>
    <w:p>
      <w:pPr>
        <w:ind w:left="7"/>
        <w:spacing w:after="0"/>
        <w:rPr>
          <w:sz w:val="20"/>
          <w:szCs w:val="20"/>
          <w:color w:val="auto"/>
        </w:rPr>
      </w:pPr>
      <w:r>
        <w:rPr>
          <w:rFonts w:ascii="Arial" w:cs="Arial" w:eastAsia="Arial" w:hAnsi="Arial"/>
          <w:sz w:val="14"/>
          <w:szCs w:val="14"/>
          <w:color w:val="auto"/>
        </w:rPr>
        <w:t>The following table sets forth information relating to the beneficial ownership of our common stock as of March 7, 2025 (unless otherwise indicated in the footnotes), by:</w:t>
      </w:r>
    </w:p>
    <w:p>
      <w:pPr>
        <w:spacing w:after="0" w:line="165" w:lineRule="exact"/>
        <w:rPr>
          <w:sz w:val="20"/>
          <w:szCs w:val="20"/>
          <w:color w:val="auto"/>
        </w:rPr>
      </w:pPr>
    </w:p>
    <w:p>
      <w:pPr>
        <w:ind w:left="147" w:hanging="147"/>
        <w:spacing w:after="0"/>
        <w:tabs>
          <w:tab w:leader="none" w:pos="147" w:val="left"/>
        </w:tabs>
        <w:numPr>
          <w:ilvl w:val="0"/>
          <w:numId w:val="12"/>
        </w:numPr>
        <w:rPr>
          <w:rFonts w:ascii="Arial" w:cs="Arial" w:eastAsia="Arial" w:hAnsi="Arial"/>
          <w:sz w:val="14"/>
          <w:szCs w:val="14"/>
          <w:color w:val="7CBD3F"/>
        </w:rPr>
      </w:pPr>
      <w:r>
        <w:rPr>
          <w:rFonts w:ascii="Arial" w:cs="Arial" w:eastAsia="Arial" w:hAnsi="Arial"/>
          <w:sz w:val="14"/>
          <w:szCs w:val="14"/>
          <w:color w:val="auto"/>
        </w:rPr>
        <w:t>each person, or group of affiliated persons, known by us to beneficially own more than 5% of our outstanding shares of common stock;</w:t>
      </w:r>
    </w:p>
    <w:p>
      <w:pPr>
        <w:spacing w:after="0" w:line="83" w:lineRule="exact"/>
        <w:rPr>
          <w:rFonts w:ascii="Arial" w:cs="Arial" w:eastAsia="Arial" w:hAnsi="Arial"/>
          <w:sz w:val="14"/>
          <w:szCs w:val="14"/>
          <w:color w:val="7CBD3F"/>
        </w:rPr>
      </w:pPr>
    </w:p>
    <w:p>
      <w:pPr>
        <w:ind w:left="147" w:hanging="147"/>
        <w:spacing w:after="0"/>
        <w:tabs>
          <w:tab w:leader="none" w:pos="147" w:val="left"/>
        </w:tabs>
        <w:numPr>
          <w:ilvl w:val="0"/>
          <w:numId w:val="12"/>
        </w:numPr>
        <w:rPr>
          <w:rFonts w:ascii="Arial" w:cs="Arial" w:eastAsia="Arial" w:hAnsi="Arial"/>
          <w:sz w:val="14"/>
          <w:szCs w:val="14"/>
          <w:color w:val="7CBD3F"/>
        </w:rPr>
      </w:pPr>
      <w:r>
        <w:rPr>
          <w:rFonts w:ascii="Arial" w:cs="Arial" w:eastAsia="Arial" w:hAnsi="Arial"/>
          <w:sz w:val="14"/>
          <w:szCs w:val="14"/>
          <w:color w:val="auto"/>
        </w:rPr>
        <w:t>each of our directors and nominees;</w:t>
      </w:r>
    </w:p>
    <w:p>
      <w:pPr>
        <w:spacing w:after="0" w:line="83" w:lineRule="exact"/>
        <w:rPr>
          <w:rFonts w:ascii="Arial" w:cs="Arial" w:eastAsia="Arial" w:hAnsi="Arial"/>
          <w:sz w:val="14"/>
          <w:szCs w:val="14"/>
          <w:color w:val="7CBD3F"/>
        </w:rPr>
      </w:pPr>
    </w:p>
    <w:p>
      <w:pPr>
        <w:ind w:left="147" w:hanging="147"/>
        <w:spacing w:after="0"/>
        <w:tabs>
          <w:tab w:leader="none" w:pos="147" w:val="left"/>
        </w:tabs>
        <w:numPr>
          <w:ilvl w:val="0"/>
          <w:numId w:val="12"/>
        </w:numPr>
        <w:rPr>
          <w:rFonts w:ascii="Arial" w:cs="Arial" w:eastAsia="Arial" w:hAnsi="Arial"/>
          <w:sz w:val="14"/>
          <w:szCs w:val="14"/>
          <w:color w:val="7CBD3F"/>
        </w:rPr>
      </w:pPr>
      <w:r>
        <w:rPr>
          <w:rFonts w:ascii="Arial" w:cs="Arial" w:eastAsia="Arial" w:hAnsi="Arial"/>
          <w:sz w:val="14"/>
          <w:szCs w:val="14"/>
          <w:color w:val="auto"/>
        </w:rPr>
        <w:t>each of our named executive officers; and</w:t>
      </w:r>
    </w:p>
    <w:p>
      <w:pPr>
        <w:spacing w:after="0" w:line="83" w:lineRule="exact"/>
        <w:rPr>
          <w:rFonts w:ascii="Arial" w:cs="Arial" w:eastAsia="Arial" w:hAnsi="Arial"/>
          <w:sz w:val="14"/>
          <w:szCs w:val="14"/>
          <w:color w:val="7CBD3F"/>
        </w:rPr>
      </w:pPr>
    </w:p>
    <w:p>
      <w:pPr>
        <w:ind w:left="147" w:hanging="147"/>
        <w:spacing w:after="0"/>
        <w:tabs>
          <w:tab w:leader="none" w:pos="147" w:val="left"/>
        </w:tabs>
        <w:numPr>
          <w:ilvl w:val="0"/>
          <w:numId w:val="12"/>
        </w:numPr>
        <w:rPr>
          <w:rFonts w:ascii="Arial" w:cs="Arial" w:eastAsia="Arial" w:hAnsi="Arial"/>
          <w:sz w:val="14"/>
          <w:szCs w:val="14"/>
          <w:color w:val="7CBD3F"/>
        </w:rPr>
      </w:pPr>
      <w:r>
        <w:rPr>
          <w:rFonts w:ascii="Arial" w:cs="Arial" w:eastAsia="Arial" w:hAnsi="Arial"/>
          <w:sz w:val="14"/>
          <w:szCs w:val="14"/>
          <w:color w:val="auto"/>
        </w:rPr>
        <w:t>all current directors and executive officers as a group.</w:t>
      </w:r>
    </w:p>
    <w:p>
      <w:pPr>
        <w:spacing w:after="0" w:line="165" w:lineRule="exact"/>
        <w:rPr>
          <w:sz w:val="20"/>
          <w:szCs w:val="20"/>
          <w:color w:val="auto"/>
        </w:rPr>
      </w:pPr>
    </w:p>
    <w:p>
      <w:pPr>
        <w:jc w:val="both"/>
        <w:ind w:left="7" w:right="20"/>
        <w:spacing w:after="0" w:line="252" w:lineRule="auto"/>
        <w:rPr>
          <w:sz w:val="20"/>
          <w:szCs w:val="20"/>
          <w:color w:val="auto"/>
        </w:rPr>
      </w:pPr>
      <w:r>
        <w:rPr>
          <w:rFonts w:ascii="Arial" w:cs="Arial" w:eastAsia="Arial" w:hAnsi="Arial"/>
          <w:sz w:val="14"/>
          <w:szCs w:val="14"/>
          <w:color w:val="auto"/>
        </w:rPr>
        <w:t>The number of shares beneficially owned by each entity, person, director or executive officer is determined in accordance with the rules of the SEC, and the information is not necessarily indicative of beneficial ownership for any other purpose. Under such rules, beneficial ownership includes any shares over which the person has sole or shared voting power or investment power as well as any shares that the person has the right to acquire within 60 days through the exercise of any stock options, warrants or other rights. We believe, based on the information furnished to us, that except as otherwise indicated, and subject to applicable community property laws, the persons named in the table below have sole voting and investment power with respect to all shares of common stock held by that person.</w:t>
      </w:r>
    </w:p>
    <w:p>
      <w:pPr>
        <w:spacing w:after="0" w:line="134" w:lineRule="exact"/>
        <w:rPr>
          <w:sz w:val="20"/>
          <w:szCs w:val="20"/>
          <w:color w:val="auto"/>
        </w:rPr>
      </w:pPr>
    </w:p>
    <w:p>
      <w:pPr>
        <w:jc w:val="both"/>
        <w:ind w:left="7"/>
        <w:spacing w:after="0" w:line="255" w:lineRule="auto"/>
        <w:rPr>
          <w:sz w:val="20"/>
          <w:szCs w:val="20"/>
          <w:color w:val="auto"/>
        </w:rPr>
      </w:pPr>
      <w:r>
        <w:rPr>
          <w:rFonts w:ascii="Arial" w:cs="Arial" w:eastAsia="Arial" w:hAnsi="Arial"/>
          <w:sz w:val="14"/>
          <w:szCs w:val="14"/>
          <w:color w:val="auto"/>
        </w:rPr>
        <w:t>The percentage of shares beneficially owned is computed on the basis of 93,892,528 shares of our common stock outstanding as of March 7, 2025. Shares of our common stock that a person has the right to acquire within 60 days are deemed outstanding for purposes of computing the percentage ownership of the person holding such rights, but are not deemed outstanding for purposes of computing the percentage ownership of any other person, except with respect to the percentage ownership of all directors and executive officers as a group. Unless otherwise indicated below, the address for each beneficial owner listed is c/o Ultragenyx Pharmaceutical Inc., 60 Leveroni Court, Novato, California 94949.</w:t>
      </w:r>
    </w:p>
    <w:p>
      <w:pPr>
        <w:spacing w:after="0" w:line="132" w:lineRule="exact"/>
        <w:rPr>
          <w:sz w:val="20"/>
          <w:szCs w:val="20"/>
          <w:color w:val="auto"/>
        </w:rPr>
      </w:pPr>
    </w:p>
    <w:tbl>
      <w:tblPr>
        <w:tblLayout w:type="fixed"/>
        <w:tblInd w:w="7" w:type="dxa"/>
        <w:tblCellMar>
          <w:top w:w="0" w:type="dxa"/>
          <w:left w:w="0" w:type="dxa"/>
          <w:bottom w:w="0" w:type="dxa"/>
          <w:right w:w="0" w:type="dxa"/>
        </w:tblCellMar>
      </w:tblPr>
      <w:tr>
        <w:trPr>
          <w:trHeight w:val="179"/>
        </w:trPr>
        <w:tc>
          <w:tcPr>
            <w:tcW w:w="86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 and Address of Beneficial Owner</w:t>
            </w:r>
          </w:p>
        </w:tc>
        <w:tc>
          <w:tcPr>
            <w:tcW w:w="2640" w:type="dxa"/>
            <w:vAlign w:val="bottom"/>
            <w:tcBorders>
              <w:bottom w:val="single" w:sz="8" w:color="7CBD3F"/>
            </w:tcBorders>
            <w:gridSpan w:val="2"/>
          </w:tcPr>
          <w:p>
            <w:pPr>
              <w:jc w:val="right"/>
              <w:ind w:right="550"/>
              <w:spacing w:after="0"/>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67"/>
        </w:trPr>
        <w:tc>
          <w:tcPr>
            <w:tcW w:w="8620" w:type="dxa"/>
            <w:vAlign w:val="bottom"/>
            <w:tcBorders>
              <w:bottom w:val="single" w:sz="8" w:color="7CBD3F"/>
            </w:tcBorders>
            <w:vMerge w:val="continue"/>
          </w:tcPr>
          <w:p>
            <w:pPr>
              <w:spacing w:after="0"/>
              <w:rPr>
                <w:sz w:val="14"/>
                <w:szCs w:val="14"/>
                <w:color w:val="auto"/>
              </w:rPr>
            </w:pPr>
          </w:p>
        </w:tc>
        <w:tc>
          <w:tcPr>
            <w:tcW w:w="1680" w:type="dxa"/>
            <w:vAlign w:val="bottom"/>
            <w:tcBorders>
              <w:bottom w:val="single" w:sz="8" w:color="7CBD3F"/>
            </w:tcBorders>
          </w:tcPr>
          <w:p>
            <w:pPr>
              <w:jc w:val="right"/>
              <w:ind w:right="170"/>
              <w:spacing w:after="0"/>
              <w:rPr>
                <w:sz w:val="20"/>
                <w:szCs w:val="20"/>
                <w:color w:val="auto"/>
              </w:rPr>
            </w:pPr>
            <w:r>
              <w:rPr>
                <w:rFonts w:ascii="Arial" w:cs="Arial" w:eastAsia="Arial" w:hAnsi="Arial"/>
                <w:sz w:val="14"/>
                <w:szCs w:val="14"/>
                <w:b w:val="1"/>
                <w:bCs w:val="1"/>
                <w:color w:val="auto"/>
              </w:rPr>
              <w:t>Number of Shares</w:t>
            </w:r>
          </w:p>
        </w:tc>
        <w:tc>
          <w:tcPr>
            <w:tcW w:w="960" w:type="dxa"/>
            <w:vAlign w:val="bottom"/>
            <w:tcBorders>
              <w:bottom w:val="single" w:sz="8" w:color="7CBD3F"/>
            </w:tcBorders>
          </w:tcPr>
          <w:p>
            <w:pPr>
              <w:jc w:val="right"/>
              <w:spacing w:after="0"/>
              <w:rPr>
                <w:sz w:val="20"/>
                <w:szCs w:val="20"/>
                <w:color w:val="auto"/>
              </w:rPr>
            </w:pPr>
            <w:r>
              <w:rPr>
                <w:rFonts w:ascii="Arial" w:cs="Arial" w:eastAsia="Arial" w:hAnsi="Arial"/>
                <w:sz w:val="14"/>
                <w:szCs w:val="14"/>
                <w:b w:val="1"/>
                <w:bCs w:val="1"/>
                <w:color w:val="auto"/>
              </w:rPr>
              <w:t>% of Total</w:t>
            </w:r>
          </w:p>
        </w:tc>
        <w:tc>
          <w:tcPr>
            <w:tcW w:w="0" w:type="dxa"/>
            <w:vAlign w:val="bottom"/>
          </w:tcPr>
          <w:p>
            <w:pPr>
              <w:spacing w:after="0"/>
              <w:rPr>
                <w:sz w:val="1"/>
                <w:szCs w:val="1"/>
                <w:color w:val="auto"/>
              </w:rPr>
            </w:pPr>
          </w:p>
        </w:tc>
      </w:tr>
      <w:tr>
        <w:trPr>
          <w:trHeight w:val="163"/>
        </w:trPr>
        <w:tc>
          <w:tcPr>
            <w:tcW w:w="8620" w:type="dxa"/>
            <w:vAlign w:val="bottom"/>
          </w:tcPr>
          <w:p>
            <w:pPr>
              <w:ind w:left="40"/>
              <w:spacing w:after="0"/>
              <w:rPr>
                <w:sz w:val="20"/>
                <w:szCs w:val="20"/>
                <w:color w:val="auto"/>
              </w:rPr>
            </w:pPr>
            <w:r>
              <w:rPr>
                <w:rFonts w:ascii="Arial" w:cs="Arial" w:eastAsia="Arial" w:hAnsi="Arial"/>
                <w:sz w:val="14"/>
                <w:szCs w:val="14"/>
                <w:b w:val="1"/>
                <w:bCs w:val="1"/>
                <w:color w:val="auto"/>
              </w:rPr>
              <w:t>Stockholders Owning Greater than 5%:</w:t>
            </w:r>
          </w:p>
        </w:tc>
        <w:tc>
          <w:tcPr>
            <w:tcW w:w="16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8620" w:type="dxa"/>
            <w:vAlign w:val="bottom"/>
            <w:shd w:val="clear" w:color="auto" w:fill="F0F7E7"/>
          </w:tcPr>
          <w:p>
            <w:pPr>
              <w:ind w:left="40"/>
              <w:spacing w:after="0" w:line="199" w:lineRule="exact"/>
              <w:rPr>
                <w:sz w:val="20"/>
                <w:szCs w:val="20"/>
                <w:color w:val="auto"/>
              </w:rPr>
            </w:pPr>
            <w:r>
              <w:rPr>
                <w:rFonts w:ascii="Arial" w:cs="Arial" w:eastAsia="Arial" w:hAnsi="Arial"/>
                <w:sz w:val="13"/>
                <w:szCs w:val="13"/>
                <w:color w:val="auto"/>
              </w:rPr>
              <w:t>The Vanguard Group</w:t>
            </w:r>
            <w:r>
              <w:rPr>
                <w:rFonts w:ascii="Arial" w:cs="Arial" w:eastAsia="Arial" w:hAnsi="Arial"/>
                <w:sz w:val="22"/>
                <w:szCs w:val="22"/>
                <w:color w:val="auto"/>
                <w:vertAlign w:val="superscript"/>
              </w:rPr>
              <w:t>(1)</w:t>
            </w:r>
          </w:p>
        </w:tc>
        <w:tc>
          <w:tcPr>
            <w:tcW w:w="1680" w:type="dxa"/>
            <w:vAlign w:val="bottom"/>
            <w:shd w:val="clear" w:color="auto" w:fill="F0F7E7"/>
          </w:tcPr>
          <w:p>
            <w:pPr>
              <w:jc w:val="right"/>
              <w:ind w:right="170"/>
              <w:spacing w:after="0"/>
              <w:rPr>
                <w:sz w:val="20"/>
                <w:szCs w:val="20"/>
                <w:color w:val="auto"/>
              </w:rPr>
            </w:pPr>
            <w:r>
              <w:rPr>
                <w:rFonts w:ascii="Arial" w:cs="Arial" w:eastAsia="Arial" w:hAnsi="Arial"/>
                <w:sz w:val="14"/>
                <w:szCs w:val="14"/>
                <w:color w:val="auto"/>
              </w:rPr>
              <w:t>8,673,432</w:t>
            </w:r>
          </w:p>
        </w:tc>
        <w:tc>
          <w:tcPr>
            <w:tcW w:w="960" w:type="dxa"/>
            <w:vAlign w:val="bottom"/>
            <w:shd w:val="clear" w:color="auto" w:fill="F0F7E7"/>
          </w:tcPr>
          <w:p>
            <w:pPr>
              <w:jc w:val="right"/>
              <w:spacing w:after="0"/>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198"/>
        </w:trPr>
        <w:tc>
          <w:tcPr>
            <w:tcW w:w="8620" w:type="dxa"/>
            <w:vAlign w:val="bottom"/>
          </w:tcPr>
          <w:p>
            <w:pPr>
              <w:ind w:left="40"/>
              <w:spacing w:after="0" w:line="199" w:lineRule="exact"/>
              <w:rPr>
                <w:sz w:val="20"/>
                <w:szCs w:val="20"/>
                <w:color w:val="auto"/>
              </w:rPr>
            </w:pPr>
            <w:r>
              <w:rPr>
                <w:rFonts w:ascii="Arial" w:cs="Arial" w:eastAsia="Arial" w:hAnsi="Arial"/>
                <w:sz w:val="13"/>
                <w:szCs w:val="13"/>
                <w:color w:val="auto"/>
              </w:rPr>
              <w:t>BlackRock, Inc.</w:t>
            </w:r>
            <w:r>
              <w:rPr>
                <w:rFonts w:ascii="Arial" w:cs="Arial" w:eastAsia="Arial" w:hAnsi="Arial"/>
                <w:sz w:val="22"/>
                <w:szCs w:val="22"/>
                <w:color w:val="auto"/>
                <w:vertAlign w:val="superscript"/>
              </w:rPr>
              <w:t>(2)</w:t>
            </w:r>
          </w:p>
        </w:tc>
        <w:tc>
          <w:tcPr>
            <w:tcW w:w="1680" w:type="dxa"/>
            <w:vAlign w:val="bottom"/>
          </w:tcPr>
          <w:p>
            <w:pPr>
              <w:jc w:val="right"/>
              <w:ind w:right="170"/>
              <w:spacing w:after="0"/>
              <w:rPr>
                <w:sz w:val="20"/>
                <w:szCs w:val="20"/>
                <w:color w:val="auto"/>
              </w:rPr>
            </w:pPr>
            <w:r>
              <w:rPr>
                <w:rFonts w:ascii="Arial" w:cs="Arial" w:eastAsia="Arial" w:hAnsi="Arial"/>
                <w:sz w:val="14"/>
                <w:szCs w:val="14"/>
                <w:color w:val="auto"/>
              </w:rPr>
              <w:t>5,238,400</w:t>
            </w:r>
          </w:p>
        </w:tc>
        <w:tc>
          <w:tcPr>
            <w:tcW w:w="960" w:type="dxa"/>
            <w:vAlign w:val="bottom"/>
          </w:tcPr>
          <w:p>
            <w:pPr>
              <w:jc w:val="right"/>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63"/>
        </w:trPr>
        <w:tc>
          <w:tcPr>
            <w:tcW w:w="8620" w:type="dxa"/>
            <w:vAlign w:val="bottom"/>
            <w:shd w:val="clear" w:color="auto" w:fill="F0F7E7"/>
          </w:tcPr>
          <w:p>
            <w:pPr>
              <w:ind w:left="40"/>
              <w:spacing w:after="0"/>
              <w:rPr>
                <w:sz w:val="20"/>
                <w:szCs w:val="20"/>
                <w:color w:val="auto"/>
              </w:rPr>
            </w:pPr>
            <w:r>
              <w:rPr>
                <w:rFonts w:ascii="Arial" w:cs="Arial" w:eastAsia="Arial" w:hAnsi="Arial"/>
                <w:sz w:val="14"/>
                <w:szCs w:val="14"/>
                <w:b w:val="1"/>
                <w:bCs w:val="1"/>
                <w:color w:val="auto"/>
              </w:rPr>
              <w:t>Directors and Named Executive Officers:</w:t>
            </w:r>
          </w:p>
        </w:tc>
        <w:tc>
          <w:tcPr>
            <w:tcW w:w="1680" w:type="dxa"/>
            <w:vAlign w:val="bottom"/>
            <w:shd w:val="clear" w:color="auto" w:fill="F0F7E7"/>
          </w:tcPr>
          <w:p>
            <w:pPr>
              <w:spacing w:after="0"/>
              <w:rPr>
                <w:sz w:val="14"/>
                <w:szCs w:val="14"/>
                <w:color w:val="auto"/>
              </w:rPr>
            </w:pPr>
          </w:p>
        </w:tc>
        <w:tc>
          <w:tcPr>
            <w:tcW w:w="960" w:type="dxa"/>
            <w:vAlign w:val="bottom"/>
            <w:shd w:val="clear" w:color="auto" w:fill="F0F7E7"/>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8620" w:type="dxa"/>
            <w:vAlign w:val="bottom"/>
          </w:tcPr>
          <w:p>
            <w:pPr>
              <w:ind w:left="40"/>
              <w:spacing w:after="0" w:line="199" w:lineRule="exact"/>
              <w:rPr>
                <w:sz w:val="20"/>
                <w:szCs w:val="20"/>
                <w:color w:val="auto"/>
              </w:rPr>
            </w:pPr>
            <w:r>
              <w:rPr>
                <w:rFonts w:ascii="Arial" w:cs="Arial" w:eastAsia="Arial" w:hAnsi="Arial"/>
                <w:sz w:val="13"/>
                <w:szCs w:val="13"/>
                <w:color w:val="auto"/>
              </w:rPr>
              <w:t>Deborah Dunsire, M.D.</w:t>
            </w:r>
            <w:r>
              <w:rPr>
                <w:rFonts w:ascii="Arial" w:cs="Arial" w:eastAsia="Arial" w:hAnsi="Arial"/>
                <w:sz w:val="22"/>
                <w:szCs w:val="22"/>
                <w:color w:val="auto"/>
                <w:vertAlign w:val="superscript"/>
              </w:rPr>
              <w:t>(3)</w:t>
            </w:r>
          </w:p>
        </w:tc>
        <w:tc>
          <w:tcPr>
            <w:tcW w:w="1680" w:type="dxa"/>
            <w:vAlign w:val="bottom"/>
          </w:tcPr>
          <w:p>
            <w:pPr>
              <w:jc w:val="right"/>
              <w:ind w:right="170"/>
              <w:spacing w:after="0"/>
              <w:rPr>
                <w:sz w:val="20"/>
                <w:szCs w:val="20"/>
                <w:color w:val="auto"/>
              </w:rPr>
            </w:pPr>
            <w:r>
              <w:rPr>
                <w:rFonts w:ascii="Arial" w:cs="Arial" w:eastAsia="Arial" w:hAnsi="Arial"/>
                <w:sz w:val="14"/>
                <w:szCs w:val="14"/>
                <w:color w:val="auto"/>
              </w:rPr>
              <w:t>70,210</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8620" w:type="dxa"/>
            <w:vAlign w:val="bottom"/>
            <w:shd w:val="clear" w:color="auto" w:fill="F0F7E7"/>
          </w:tcPr>
          <w:p>
            <w:pPr>
              <w:ind w:left="40"/>
              <w:spacing w:after="0" w:line="199" w:lineRule="exact"/>
              <w:rPr>
                <w:sz w:val="20"/>
                <w:szCs w:val="20"/>
                <w:color w:val="auto"/>
              </w:rPr>
            </w:pPr>
            <w:r>
              <w:rPr>
                <w:rFonts w:ascii="Arial" w:cs="Arial" w:eastAsia="Arial" w:hAnsi="Arial"/>
                <w:sz w:val="13"/>
                <w:szCs w:val="13"/>
                <w:color w:val="auto"/>
              </w:rPr>
              <w:t>Matthew K. Fust</w:t>
            </w:r>
            <w:r>
              <w:rPr>
                <w:rFonts w:ascii="Arial" w:cs="Arial" w:eastAsia="Arial" w:hAnsi="Arial"/>
                <w:sz w:val="22"/>
                <w:szCs w:val="22"/>
                <w:color w:val="auto"/>
                <w:vertAlign w:val="superscript"/>
              </w:rPr>
              <w:t>(4)</w:t>
            </w:r>
          </w:p>
        </w:tc>
        <w:tc>
          <w:tcPr>
            <w:tcW w:w="1680" w:type="dxa"/>
            <w:vAlign w:val="bottom"/>
            <w:shd w:val="clear" w:color="auto" w:fill="F0F7E7"/>
          </w:tcPr>
          <w:p>
            <w:pPr>
              <w:jc w:val="right"/>
              <w:ind w:right="170"/>
              <w:spacing w:after="0"/>
              <w:rPr>
                <w:sz w:val="20"/>
                <w:szCs w:val="20"/>
                <w:color w:val="auto"/>
              </w:rPr>
            </w:pPr>
            <w:r>
              <w:rPr>
                <w:rFonts w:ascii="Arial" w:cs="Arial" w:eastAsia="Arial" w:hAnsi="Arial"/>
                <w:sz w:val="14"/>
                <w:szCs w:val="14"/>
                <w:color w:val="auto"/>
              </w:rPr>
              <w:t>61,590</w:t>
            </w:r>
          </w:p>
        </w:tc>
        <w:tc>
          <w:tcPr>
            <w:tcW w:w="960" w:type="dxa"/>
            <w:vAlign w:val="bottom"/>
            <w:shd w:val="clear" w:color="auto" w:fill="F0F7E7"/>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8620" w:type="dxa"/>
            <w:vAlign w:val="bottom"/>
          </w:tcPr>
          <w:p>
            <w:pPr>
              <w:ind w:left="40"/>
              <w:spacing w:after="0" w:line="199" w:lineRule="exact"/>
              <w:rPr>
                <w:sz w:val="20"/>
                <w:szCs w:val="20"/>
                <w:color w:val="auto"/>
              </w:rPr>
            </w:pPr>
            <w:r>
              <w:rPr>
                <w:rFonts w:ascii="Arial" w:cs="Arial" w:eastAsia="Arial" w:hAnsi="Arial"/>
                <w:sz w:val="13"/>
                <w:szCs w:val="13"/>
                <w:color w:val="auto"/>
              </w:rPr>
              <w:t>Michael Narachi</w:t>
            </w:r>
            <w:r>
              <w:rPr>
                <w:rFonts w:ascii="Arial" w:cs="Arial" w:eastAsia="Arial" w:hAnsi="Arial"/>
                <w:sz w:val="22"/>
                <w:szCs w:val="22"/>
                <w:color w:val="auto"/>
                <w:vertAlign w:val="superscript"/>
              </w:rPr>
              <w:t>(5)</w:t>
            </w:r>
          </w:p>
        </w:tc>
        <w:tc>
          <w:tcPr>
            <w:tcW w:w="1680" w:type="dxa"/>
            <w:vAlign w:val="bottom"/>
          </w:tcPr>
          <w:p>
            <w:pPr>
              <w:jc w:val="right"/>
              <w:ind w:right="170"/>
              <w:spacing w:after="0"/>
              <w:rPr>
                <w:sz w:val="20"/>
                <w:szCs w:val="20"/>
                <w:color w:val="auto"/>
              </w:rPr>
            </w:pPr>
            <w:r>
              <w:rPr>
                <w:rFonts w:ascii="Arial" w:cs="Arial" w:eastAsia="Arial" w:hAnsi="Arial"/>
                <w:sz w:val="14"/>
                <w:szCs w:val="14"/>
                <w:color w:val="auto"/>
              </w:rPr>
              <w:t>68,335</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8620" w:type="dxa"/>
            <w:vAlign w:val="bottom"/>
            <w:shd w:val="clear" w:color="auto" w:fill="F0F7E7"/>
          </w:tcPr>
          <w:p>
            <w:pPr>
              <w:ind w:left="40"/>
              <w:spacing w:after="0" w:line="199" w:lineRule="exact"/>
              <w:rPr>
                <w:sz w:val="20"/>
                <w:szCs w:val="20"/>
                <w:color w:val="auto"/>
              </w:rPr>
            </w:pPr>
            <w:r>
              <w:rPr>
                <w:rFonts w:ascii="Arial" w:cs="Arial" w:eastAsia="Arial" w:hAnsi="Arial"/>
                <w:sz w:val="13"/>
                <w:szCs w:val="13"/>
                <w:color w:val="auto"/>
              </w:rPr>
              <w:t>Amrit Ray, M.D.</w:t>
            </w:r>
            <w:r>
              <w:rPr>
                <w:rFonts w:ascii="Arial" w:cs="Arial" w:eastAsia="Arial" w:hAnsi="Arial"/>
                <w:sz w:val="22"/>
                <w:szCs w:val="22"/>
                <w:color w:val="auto"/>
                <w:vertAlign w:val="superscript"/>
              </w:rPr>
              <w:t>(6)</w:t>
            </w:r>
          </w:p>
        </w:tc>
        <w:tc>
          <w:tcPr>
            <w:tcW w:w="1680" w:type="dxa"/>
            <w:vAlign w:val="bottom"/>
            <w:shd w:val="clear" w:color="auto" w:fill="F0F7E7"/>
          </w:tcPr>
          <w:p>
            <w:pPr>
              <w:jc w:val="right"/>
              <w:ind w:right="170"/>
              <w:spacing w:after="0"/>
              <w:rPr>
                <w:sz w:val="20"/>
                <w:szCs w:val="20"/>
                <w:color w:val="auto"/>
              </w:rPr>
            </w:pPr>
            <w:r>
              <w:rPr>
                <w:rFonts w:ascii="Arial" w:cs="Arial" w:eastAsia="Arial" w:hAnsi="Arial"/>
                <w:sz w:val="14"/>
                <w:szCs w:val="14"/>
                <w:color w:val="auto"/>
              </w:rPr>
              <w:t>35,160</w:t>
            </w:r>
          </w:p>
        </w:tc>
        <w:tc>
          <w:tcPr>
            <w:tcW w:w="960" w:type="dxa"/>
            <w:vAlign w:val="bottom"/>
            <w:shd w:val="clear" w:color="auto" w:fill="F0F7E7"/>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8620" w:type="dxa"/>
            <w:vAlign w:val="bottom"/>
          </w:tcPr>
          <w:p>
            <w:pPr>
              <w:ind w:left="40"/>
              <w:spacing w:after="0" w:line="199" w:lineRule="exact"/>
              <w:rPr>
                <w:sz w:val="20"/>
                <w:szCs w:val="20"/>
                <w:color w:val="auto"/>
              </w:rPr>
            </w:pPr>
            <w:r>
              <w:rPr>
                <w:rFonts w:ascii="Arial" w:cs="Arial" w:eastAsia="Arial" w:hAnsi="Arial"/>
                <w:sz w:val="13"/>
                <w:szCs w:val="13"/>
                <w:color w:val="auto"/>
              </w:rPr>
              <w:t>Corsee D. Sanders, Ph.D.</w:t>
            </w:r>
            <w:r>
              <w:rPr>
                <w:rFonts w:ascii="Arial" w:cs="Arial" w:eastAsia="Arial" w:hAnsi="Arial"/>
                <w:sz w:val="22"/>
                <w:szCs w:val="22"/>
                <w:color w:val="auto"/>
                <w:vertAlign w:val="superscript"/>
              </w:rPr>
              <w:t>(7)</w:t>
            </w:r>
          </w:p>
        </w:tc>
        <w:tc>
          <w:tcPr>
            <w:tcW w:w="1680" w:type="dxa"/>
            <w:vAlign w:val="bottom"/>
          </w:tcPr>
          <w:p>
            <w:pPr>
              <w:jc w:val="right"/>
              <w:ind w:right="170"/>
              <w:spacing w:after="0"/>
              <w:rPr>
                <w:sz w:val="20"/>
                <w:szCs w:val="20"/>
                <w:color w:val="auto"/>
              </w:rPr>
            </w:pPr>
            <w:r>
              <w:rPr>
                <w:rFonts w:ascii="Arial" w:cs="Arial" w:eastAsia="Arial" w:hAnsi="Arial"/>
                <w:sz w:val="14"/>
                <w:szCs w:val="14"/>
                <w:color w:val="auto"/>
              </w:rPr>
              <w:t>27,274</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8620" w:type="dxa"/>
            <w:vAlign w:val="bottom"/>
            <w:shd w:val="clear" w:color="auto" w:fill="F0F7E7"/>
          </w:tcPr>
          <w:p>
            <w:pPr>
              <w:ind w:left="40"/>
              <w:spacing w:after="0" w:line="199" w:lineRule="exact"/>
              <w:rPr>
                <w:sz w:val="20"/>
                <w:szCs w:val="20"/>
                <w:color w:val="auto"/>
              </w:rPr>
            </w:pPr>
            <w:r>
              <w:rPr>
                <w:rFonts w:ascii="Arial" w:cs="Arial" w:eastAsia="Arial" w:hAnsi="Arial"/>
                <w:sz w:val="13"/>
                <w:szCs w:val="13"/>
                <w:color w:val="auto"/>
              </w:rPr>
              <w:t>Shehnaaz Suliman, M.D.</w:t>
            </w:r>
            <w:r>
              <w:rPr>
                <w:rFonts w:ascii="Arial" w:cs="Arial" w:eastAsia="Arial" w:hAnsi="Arial"/>
                <w:sz w:val="22"/>
                <w:szCs w:val="22"/>
                <w:color w:val="auto"/>
                <w:vertAlign w:val="superscript"/>
              </w:rPr>
              <w:t>(8)</w:t>
            </w:r>
          </w:p>
        </w:tc>
        <w:tc>
          <w:tcPr>
            <w:tcW w:w="1680" w:type="dxa"/>
            <w:vAlign w:val="bottom"/>
            <w:shd w:val="clear" w:color="auto" w:fill="F0F7E7"/>
          </w:tcPr>
          <w:p>
            <w:pPr>
              <w:jc w:val="right"/>
              <w:ind w:right="170"/>
              <w:spacing w:after="0"/>
              <w:rPr>
                <w:sz w:val="20"/>
                <w:szCs w:val="20"/>
                <w:color w:val="auto"/>
              </w:rPr>
            </w:pPr>
            <w:r>
              <w:rPr>
                <w:rFonts w:ascii="Arial" w:cs="Arial" w:eastAsia="Arial" w:hAnsi="Arial"/>
                <w:sz w:val="14"/>
                <w:szCs w:val="14"/>
                <w:color w:val="auto"/>
              </w:rPr>
              <w:t>61,585</w:t>
            </w:r>
          </w:p>
        </w:tc>
        <w:tc>
          <w:tcPr>
            <w:tcW w:w="960" w:type="dxa"/>
            <w:vAlign w:val="bottom"/>
            <w:shd w:val="clear" w:color="auto" w:fill="F0F7E7"/>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8620" w:type="dxa"/>
            <w:vAlign w:val="bottom"/>
          </w:tcPr>
          <w:p>
            <w:pPr>
              <w:ind w:left="40"/>
              <w:spacing w:after="0" w:line="199" w:lineRule="exact"/>
              <w:rPr>
                <w:sz w:val="20"/>
                <w:szCs w:val="20"/>
                <w:color w:val="auto"/>
              </w:rPr>
            </w:pPr>
            <w:r>
              <w:rPr>
                <w:rFonts w:ascii="Arial" w:cs="Arial" w:eastAsia="Arial" w:hAnsi="Arial"/>
                <w:sz w:val="13"/>
                <w:szCs w:val="13"/>
                <w:color w:val="auto"/>
              </w:rPr>
              <w:t>Daniel G. Welch</w:t>
            </w:r>
            <w:r>
              <w:rPr>
                <w:rFonts w:ascii="Arial" w:cs="Arial" w:eastAsia="Arial" w:hAnsi="Arial"/>
                <w:sz w:val="22"/>
                <w:szCs w:val="22"/>
                <w:color w:val="auto"/>
                <w:vertAlign w:val="superscript"/>
              </w:rPr>
              <w:t>(9)</w:t>
            </w:r>
          </w:p>
        </w:tc>
        <w:tc>
          <w:tcPr>
            <w:tcW w:w="1680" w:type="dxa"/>
            <w:vAlign w:val="bottom"/>
          </w:tcPr>
          <w:p>
            <w:pPr>
              <w:jc w:val="right"/>
              <w:ind w:right="170"/>
              <w:spacing w:after="0"/>
              <w:rPr>
                <w:sz w:val="20"/>
                <w:szCs w:val="20"/>
                <w:color w:val="auto"/>
              </w:rPr>
            </w:pPr>
            <w:r>
              <w:rPr>
                <w:rFonts w:ascii="Arial" w:cs="Arial" w:eastAsia="Arial" w:hAnsi="Arial"/>
                <w:sz w:val="14"/>
                <w:szCs w:val="14"/>
                <w:color w:val="auto"/>
              </w:rPr>
              <w:t>68,335</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8620" w:type="dxa"/>
            <w:vAlign w:val="bottom"/>
            <w:shd w:val="clear" w:color="auto" w:fill="F0F7E7"/>
          </w:tcPr>
          <w:p>
            <w:pPr>
              <w:ind w:left="40"/>
              <w:spacing w:after="0" w:line="199" w:lineRule="exact"/>
              <w:rPr>
                <w:sz w:val="20"/>
                <w:szCs w:val="20"/>
                <w:color w:val="auto"/>
              </w:rPr>
            </w:pPr>
            <w:r>
              <w:rPr>
                <w:rFonts w:ascii="Arial" w:cs="Arial" w:eastAsia="Arial" w:hAnsi="Arial"/>
                <w:sz w:val="13"/>
                <w:szCs w:val="13"/>
                <w:color w:val="auto"/>
              </w:rPr>
              <w:t>Emil D. Kakkis, M.D., Ph.D.</w:t>
            </w:r>
            <w:r>
              <w:rPr>
                <w:rFonts w:ascii="Arial" w:cs="Arial" w:eastAsia="Arial" w:hAnsi="Arial"/>
                <w:sz w:val="22"/>
                <w:szCs w:val="22"/>
                <w:color w:val="auto"/>
                <w:vertAlign w:val="superscript"/>
              </w:rPr>
              <w:t>(10)</w:t>
            </w:r>
          </w:p>
        </w:tc>
        <w:tc>
          <w:tcPr>
            <w:tcW w:w="1680" w:type="dxa"/>
            <w:vAlign w:val="bottom"/>
            <w:shd w:val="clear" w:color="auto" w:fill="F0F7E7"/>
          </w:tcPr>
          <w:p>
            <w:pPr>
              <w:jc w:val="right"/>
              <w:ind w:right="170"/>
              <w:spacing w:after="0"/>
              <w:rPr>
                <w:sz w:val="20"/>
                <w:szCs w:val="20"/>
                <w:color w:val="auto"/>
              </w:rPr>
            </w:pPr>
            <w:r>
              <w:rPr>
                <w:rFonts w:ascii="Arial" w:cs="Arial" w:eastAsia="Arial" w:hAnsi="Arial"/>
                <w:sz w:val="14"/>
                <w:szCs w:val="14"/>
                <w:color w:val="auto"/>
              </w:rPr>
              <w:t>3,293,909</w:t>
            </w:r>
          </w:p>
        </w:tc>
        <w:tc>
          <w:tcPr>
            <w:tcW w:w="960" w:type="dxa"/>
            <w:vAlign w:val="bottom"/>
            <w:shd w:val="clear" w:color="auto" w:fill="F0F7E7"/>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98"/>
        </w:trPr>
        <w:tc>
          <w:tcPr>
            <w:tcW w:w="8620" w:type="dxa"/>
            <w:vAlign w:val="bottom"/>
          </w:tcPr>
          <w:p>
            <w:pPr>
              <w:ind w:left="40"/>
              <w:spacing w:after="0" w:line="199" w:lineRule="exact"/>
              <w:rPr>
                <w:sz w:val="20"/>
                <w:szCs w:val="20"/>
                <w:color w:val="auto"/>
              </w:rPr>
            </w:pPr>
            <w:r>
              <w:rPr>
                <w:rFonts w:ascii="Arial" w:cs="Arial" w:eastAsia="Arial" w:hAnsi="Arial"/>
                <w:sz w:val="13"/>
                <w:szCs w:val="13"/>
                <w:color w:val="auto"/>
              </w:rPr>
              <w:t>Eric Crombez, M.D.</w:t>
            </w:r>
            <w:r>
              <w:rPr>
                <w:rFonts w:ascii="Arial" w:cs="Arial" w:eastAsia="Arial" w:hAnsi="Arial"/>
                <w:sz w:val="22"/>
                <w:szCs w:val="22"/>
                <w:color w:val="auto"/>
                <w:vertAlign w:val="superscript"/>
              </w:rPr>
              <w:t>(11)</w:t>
            </w:r>
          </w:p>
        </w:tc>
        <w:tc>
          <w:tcPr>
            <w:tcW w:w="1680" w:type="dxa"/>
            <w:vAlign w:val="bottom"/>
          </w:tcPr>
          <w:p>
            <w:pPr>
              <w:jc w:val="right"/>
              <w:ind w:right="170"/>
              <w:spacing w:after="0"/>
              <w:rPr>
                <w:sz w:val="20"/>
                <w:szCs w:val="20"/>
                <w:color w:val="auto"/>
              </w:rPr>
            </w:pPr>
            <w:r>
              <w:rPr>
                <w:rFonts w:ascii="Arial" w:cs="Arial" w:eastAsia="Arial" w:hAnsi="Arial"/>
                <w:sz w:val="14"/>
                <w:szCs w:val="14"/>
                <w:color w:val="auto"/>
              </w:rPr>
              <w:t>98,113</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8620" w:type="dxa"/>
            <w:vAlign w:val="bottom"/>
            <w:shd w:val="clear" w:color="auto" w:fill="F0F7E7"/>
          </w:tcPr>
          <w:p>
            <w:pPr>
              <w:ind w:left="40"/>
              <w:spacing w:after="0" w:line="199" w:lineRule="exact"/>
              <w:rPr>
                <w:sz w:val="20"/>
                <w:szCs w:val="20"/>
                <w:color w:val="auto"/>
              </w:rPr>
            </w:pPr>
            <w:r>
              <w:rPr>
                <w:rFonts w:ascii="Arial" w:cs="Arial" w:eastAsia="Arial" w:hAnsi="Arial"/>
                <w:sz w:val="13"/>
                <w:szCs w:val="13"/>
                <w:color w:val="auto"/>
              </w:rPr>
              <w:t>Erik Harris</w:t>
            </w:r>
            <w:r>
              <w:rPr>
                <w:rFonts w:ascii="Arial" w:cs="Arial" w:eastAsia="Arial" w:hAnsi="Arial"/>
                <w:sz w:val="22"/>
                <w:szCs w:val="22"/>
                <w:color w:val="auto"/>
                <w:vertAlign w:val="superscript"/>
              </w:rPr>
              <w:t>(12)</w:t>
            </w:r>
          </w:p>
        </w:tc>
        <w:tc>
          <w:tcPr>
            <w:tcW w:w="1680" w:type="dxa"/>
            <w:vAlign w:val="bottom"/>
            <w:shd w:val="clear" w:color="auto" w:fill="F0F7E7"/>
          </w:tcPr>
          <w:p>
            <w:pPr>
              <w:jc w:val="right"/>
              <w:ind w:right="170"/>
              <w:spacing w:after="0"/>
              <w:rPr>
                <w:sz w:val="20"/>
                <w:szCs w:val="20"/>
                <w:color w:val="auto"/>
              </w:rPr>
            </w:pPr>
            <w:r>
              <w:rPr>
                <w:rFonts w:ascii="Arial" w:cs="Arial" w:eastAsia="Arial" w:hAnsi="Arial"/>
                <w:sz w:val="14"/>
                <w:szCs w:val="14"/>
                <w:color w:val="auto"/>
              </w:rPr>
              <w:t>184,922</w:t>
            </w:r>
          </w:p>
        </w:tc>
        <w:tc>
          <w:tcPr>
            <w:tcW w:w="960" w:type="dxa"/>
            <w:vAlign w:val="bottom"/>
            <w:shd w:val="clear" w:color="auto" w:fill="F0F7E7"/>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8620" w:type="dxa"/>
            <w:vAlign w:val="bottom"/>
          </w:tcPr>
          <w:p>
            <w:pPr>
              <w:ind w:left="40"/>
              <w:spacing w:after="0" w:line="199" w:lineRule="exact"/>
              <w:rPr>
                <w:sz w:val="20"/>
                <w:szCs w:val="20"/>
                <w:color w:val="auto"/>
              </w:rPr>
            </w:pPr>
            <w:r>
              <w:rPr>
                <w:rFonts w:ascii="Arial" w:cs="Arial" w:eastAsia="Arial" w:hAnsi="Arial"/>
                <w:sz w:val="13"/>
                <w:szCs w:val="13"/>
                <w:color w:val="auto"/>
              </w:rPr>
              <w:t>Howard Horn</w:t>
            </w:r>
            <w:r>
              <w:rPr>
                <w:rFonts w:ascii="Arial" w:cs="Arial" w:eastAsia="Arial" w:hAnsi="Arial"/>
                <w:sz w:val="22"/>
                <w:szCs w:val="22"/>
                <w:color w:val="auto"/>
                <w:vertAlign w:val="superscript"/>
              </w:rPr>
              <w:t>(13)</w:t>
            </w:r>
          </w:p>
        </w:tc>
        <w:tc>
          <w:tcPr>
            <w:tcW w:w="1680" w:type="dxa"/>
            <w:vAlign w:val="bottom"/>
          </w:tcPr>
          <w:p>
            <w:pPr>
              <w:jc w:val="right"/>
              <w:ind w:right="170"/>
              <w:spacing w:after="0"/>
              <w:rPr>
                <w:sz w:val="20"/>
                <w:szCs w:val="20"/>
                <w:color w:val="auto"/>
              </w:rPr>
            </w:pPr>
            <w:r>
              <w:rPr>
                <w:rFonts w:ascii="Arial" w:cs="Arial" w:eastAsia="Arial" w:hAnsi="Arial"/>
                <w:sz w:val="14"/>
                <w:szCs w:val="14"/>
                <w:color w:val="auto"/>
              </w:rPr>
              <w:t>78,344</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8620" w:type="dxa"/>
            <w:vAlign w:val="bottom"/>
            <w:shd w:val="clear" w:color="auto" w:fill="F0F7E7"/>
          </w:tcPr>
          <w:p>
            <w:pPr>
              <w:ind w:left="40"/>
              <w:spacing w:after="0" w:line="199" w:lineRule="exact"/>
              <w:rPr>
                <w:sz w:val="20"/>
                <w:szCs w:val="20"/>
                <w:color w:val="auto"/>
              </w:rPr>
            </w:pPr>
            <w:r>
              <w:rPr>
                <w:rFonts w:ascii="Arial" w:cs="Arial" w:eastAsia="Arial" w:hAnsi="Arial"/>
                <w:sz w:val="13"/>
                <w:szCs w:val="13"/>
                <w:color w:val="auto"/>
              </w:rPr>
              <w:t>John R. Pinion II</w:t>
            </w:r>
            <w:r>
              <w:rPr>
                <w:rFonts w:ascii="Arial" w:cs="Arial" w:eastAsia="Arial" w:hAnsi="Arial"/>
                <w:sz w:val="22"/>
                <w:szCs w:val="22"/>
                <w:color w:val="auto"/>
                <w:vertAlign w:val="superscript"/>
              </w:rPr>
              <w:t>(14)</w:t>
            </w:r>
          </w:p>
        </w:tc>
        <w:tc>
          <w:tcPr>
            <w:tcW w:w="1680" w:type="dxa"/>
            <w:vAlign w:val="bottom"/>
            <w:shd w:val="clear" w:color="auto" w:fill="F0F7E7"/>
          </w:tcPr>
          <w:p>
            <w:pPr>
              <w:jc w:val="right"/>
              <w:ind w:right="170"/>
              <w:spacing w:after="0"/>
              <w:rPr>
                <w:sz w:val="20"/>
                <w:szCs w:val="20"/>
                <w:color w:val="auto"/>
              </w:rPr>
            </w:pPr>
            <w:r>
              <w:rPr>
                <w:rFonts w:ascii="Arial" w:cs="Arial" w:eastAsia="Arial" w:hAnsi="Arial"/>
                <w:sz w:val="14"/>
                <w:szCs w:val="14"/>
                <w:color w:val="auto"/>
              </w:rPr>
              <w:t>336,097</w:t>
            </w:r>
          </w:p>
        </w:tc>
        <w:tc>
          <w:tcPr>
            <w:tcW w:w="960" w:type="dxa"/>
            <w:vAlign w:val="bottom"/>
            <w:shd w:val="clear" w:color="auto" w:fill="F0F7E7"/>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1"/>
        </w:trPr>
        <w:tc>
          <w:tcPr>
            <w:tcW w:w="8620" w:type="dxa"/>
            <w:vAlign w:val="bottom"/>
            <w:tcBorders>
              <w:bottom w:val="single" w:sz="8" w:color="7CBD3F"/>
            </w:tcBorders>
          </w:tcPr>
          <w:p>
            <w:pPr>
              <w:ind w:left="40"/>
              <w:spacing w:after="0" w:line="199" w:lineRule="exact"/>
              <w:rPr>
                <w:sz w:val="20"/>
                <w:szCs w:val="20"/>
                <w:color w:val="auto"/>
              </w:rPr>
            </w:pPr>
            <w:r>
              <w:rPr>
                <w:rFonts w:ascii="Arial" w:cs="Arial" w:eastAsia="Arial" w:hAnsi="Arial"/>
                <w:sz w:val="13"/>
                <w:szCs w:val="13"/>
                <w:color w:val="auto"/>
              </w:rPr>
              <w:t>All current executive officers and directors as a group</w:t>
            </w:r>
            <w:r>
              <w:rPr>
                <w:rFonts w:ascii="Arial" w:cs="Arial" w:eastAsia="Arial" w:hAnsi="Arial"/>
                <w:sz w:val="22"/>
                <w:szCs w:val="22"/>
                <w:color w:val="auto"/>
                <w:vertAlign w:val="superscript"/>
              </w:rPr>
              <w:t>(15)</w:t>
            </w:r>
            <w:r>
              <w:rPr>
                <w:rFonts w:ascii="Arial" w:cs="Arial" w:eastAsia="Arial" w:hAnsi="Arial"/>
                <w:sz w:val="13"/>
                <w:szCs w:val="13"/>
                <w:color w:val="auto"/>
              </w:rPr>
              <w:t xml:space="preserve"> (15 persons)</w:t>
            </w:r>
          </w:p>
        </w:tc>
        <w:tc>
          <w:tcPr>
            <w:tcW w:w="1680" w:type="dxa"/>
            <w:vAlign w:val="bottom"/>
            <w:tcBorders>
              <w:bottom w:val="single" w:sz="8" w:color="7CBD3F"/>
            </w:tcBorders>
          </w:tcPr>
          <w:p>
            <w:pPr>
              <w:jc w:val="right"/>
              <w:ind w:right="170"/>
              <w:spacing w:after="0"/>
              <w:rPr>
                <w:sz w:val="20"/>
                <w:szCs w:val="20"/>
                <w:color w:val="auto"/>
              </w:rPr>
            </w:pPr>
            <w:r>
              <w:rPr>
                <w:rFonts w:ascii="Arial" w:cs="Arial" w:eastAsia="Arial" w:hAnsi="Arial"/>
                <w:sz w:val="14"/>
                <w:szCs w:val="14"/>
                <w:color w:val="auto"/>
              </w:rPr>
              <w:t>5,261,347</w:t>
            </w:r>
          </w:p>
        </w:tc>
        <w:tc>
          <w:tcPr>
            <w:tcW w:w="960" w:type="dxa"/>
            <w:vAlign w:val="bottom"/>
            <w:tcBorders>
              <w:bottom w:val="single" w:sz="8" w:color="7CBD3F"/>
            </w:tcBorders>
          </w:tcPr>
          <w:p>
            <w:pPr>
              <w:jc w:val="right"/>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287" w:hanging="287"/>
        <w:spacing w:after="0"/>
        <w:tabs>
          <w:tab w:leader="none" w:pos="287" w:val="left"/>
        </w:tabs>
        <w:numPr>
          <w:ilvl w:val="0"/>
          <w:numId w:val="13"/>
        </w:numPr>
        <w:rPr>
          <w:rFonts w:ascii="Arial" w:cs="Arial" w:eastAsia="Arial" w:hAnsi="Arial"/>
          <w:sz w:val="12"/>
          <w:szCs w:val="12"/>
          <w:color w:val="auto"/>
        </w:rPr>
      </w:pPr>
      <w:r>
        <w:rPr>
          <w:rFonts w:ascii="Arial" w:cs="Arial" w:eastAsia="Arial" w:hAnsi="Arial"/>
          <w:sz w:val="12"/>
          <w:szCs w:val="12"/>
          <w:color w:val="auto"/>
        </w:rPr>
        <w:t>Indicates beneficial ownership of less than 1% of the total outstanding common stock.</w:t>
      </w:r>
    </w:p>
    <w:p>
      <w:pPr>
        <w:spacing w:after="0" w:line="60" w:lineRule="exact"/>
        <w:rPr>
          <w:sz w:val="20"/>
          <w:szCs w:val="20"/>
          <w:color w:val="auto"/>
        </w:rPr>
      </w:pPr>
    </w:p>
    <w:p>
      <w:pPr>
        <w:jc w:val="both"/>
        <w:ind w:left="287" w:hanging="287"/>
        <w:spacing w:after="0" w:line="266" w:lineRule="auto"/>
        <w:tabs>
          <w:tab w:leader="none" w:pos="287" w:val="left"/>
        </w:tabs>
        <w:numPr>
          <w:ilvl w:val="0"/>
          <w:numId w:val="14"/>
        </w:numPr>
        <w:rPr>
          <w:rFonts w:ascii="Arial" w:cs="Arial" w:eastAsia="Arial" w:hAnsi="Arial"/>
          <w:sz w:val="12"/>
          <w:szCs w:val="12"/>
          <w:color w:val="auto"/>
        </w:rPr>
      </w:pPr>
      <w:r>
        <w:rPr>
          <w:rFonts w:ascii="Arial" w:cs="Arial" w:eastAsia="Arial" w:hAnsi="Arial"/>
          <w:sz w:val="12"/>
          <w:szCs w:val="12"/>
          <w:color w:val="auto"/>
        </w:rPr>
        <w:t>Based on information set forth in a Schedule 13G/A filed with the SEC on February 13, 2024 by The Vanguard Group. The Schedule 13G/A reported that, as of December 29, 2023, The Vanguard Group has shared voting power with respect to 33,125 shares, sole dispositive power with respect to 8,556,929 shares, and shared dispositive power with respect to 116,503 shares. The principal business address for The Vanguard Group is listed in such filing as 100 Vanguard Blvd., Malvern, PA 19355.</w:t>
      </w:r>
    </w:p>
    <w:p>
      <w:pPr>
        <w:spacing w:after="0" w:line="19" w:lineRule="exact"/>
        <w:rPr>
          <w:rFonts w:ascii="Arial" w:cs="Arial" w:eastAsia="Arial" w:hAnsi="Arial"/>
          <w:sz w:val="12"/>
          <w:szCs w:val="12"/>
          <w:color w:val="auto"/>
        </w:rPr>
      </w:pPr>
    </w:p>
    <w:p>
      <w:pPr>
        <w:jc w:val="both"/>
        <w:ind w:left="287" w:hanging="287"/>
        <w:spacing w:after="0" w:line="266" w:lineRule="auto"/>
        <w:tabs>
          <w:tab w:leader="none" w:pos="287" w:val="left"/>
        </w:tabs>
        <w:numPr>
          <w:ilvl w:val="0"/>
          <w:numId w:val="14"/>
        </w:numPr>
        <w:rPr>
          <w:rFonts w:ascii="Arial" w:cs="Arial" w:eastAsia="Arial" w:hAnsi="Arial"/>
          <w:sz w:val="12"/>
          <w:szCs w:val="12"/>
          <w:color w:val="auto"/>
        </w:rPr>
      </w:pPr>
      <w:r>
        <w:rPr>
          <w:rFonts w:ascii="Arial" w:cs="Arial" w:eastAsia="Arial" w:hAnsi="Arial"/>
          <w:sz w:val="12"/>
          <w:szCs w:val="12"/>
          <w:color w:val="auto"/>
        </w:rPr>
        <w:t>Based on information set forth in a Schedule 13G/A filed with the SEC on January 29, 2024 by BlackRock, Inc. The Schedule 13G/A reported that, as of December 31, 2023, BlackRock, Inc. has sole voting power with respect to 4,967,673 shares and sole dispositive power with respect to 5,238,400 shares. The principal business address for BlackRock Inc. is listed in such filing as 50 Hudson Yards, New York, NY 10001.</w:t>
      </w:r>
    </w:p>
    <w:p>
      <w:pPr>
        <w:spacing w:after="0" w:line="120"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221E1F"/>
        </w:rPr>
        <w:t xml:space="preserve">ULTRAGENYX PHARMACEUTICAL INC. </w:t>
      </w:r>
      <w:r>
        <w:rPr>
          <w:rFonts w:ascii="Arial" w:cs="Arial" w:eastAsia="Arial" w:hAnsi="Arial"/>
          <w:sz w:val="14"/>
          <w:szCs w:val="14"/>
          <w:color w:val="7BBD3E"/>
        </w:rPr>
        <w:t>•</w:t>
      </w:r>
      <w:r>
        <w:rPr>
          <w:rFonts w:ascii="Arial" w:cs="Arial" w:eastAsia="Arial" w:hAnsi="Arial"/>
          <w:sz w:val="14"/>
          <w:szCs w:val="14"/>
          <w:b w:val="1"/>
          <w:bCs w:val="1"/>
          <w:color w:val="221E1F"/>
        </w:rPr>
        <w:t xml:space="preserve"> </w:t>
      </w:r>
      <w:r>
        <w:rPr>
          <w:rFonts w:ascii="Arial" w:cs="Arial" w:eastAsia="Arial" w:hAnsi="Arial"/>
          <w:sz w:val="14"/>
          <w:szCs w:val="14"/>
          <w:color w:val="221E1F"/>
        </w:rPr>
        <w:t>2025 Proxy Statement</w:t>
      </w:r>
      <w:r>
        <w:rPr>
          <w:rFonts w:ascii="Arial" w:cs="Arial" w:eastAsia="Arial" w:hAnsi="Arial"/>
          <w:sz w:val="14"/>
          <w:szCs w:val="14"/>
          <w:b w:val="1"/>
          <w:bCs w:val="1"/>
          <w:color w:val="221E1F"/>
        </w:rPr>
        <w:tab/>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150735"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0735" cy="29845"/>
                    </a:xfrm>
                    <a:prstGeom prst="rect">
                      <a:avLst/>
                    </a:prstGeom>
                    <a:noFill/>
                  </pic:spPr>
                </pic:pic>
              </a:graphicData>
            </a:graphic>
          </wp:anchor>
        </w:drawing>
      </w:r>
    </w:p>
    <w:p>
      <w:pPr>
        <w:sectPr>
          <w:pgSz w:w="11900" w:h="16838" w:orient="portrait"/>
          <w:cols w:equalWidth="0" w:num="1">
            <w:col w:w="11267"/>
          </w:cols>
          <w:pgMar w:left="313" w:top="225" w:right="319" w:bottom="1440" w:gutter="0" w:footer="0" w:header="0"/>
        </w:sectPr>
      </w:pPr>
    </w:p>
    <w:bookmarkStart w:id="37" w:name="page38"/>
    <w:bookmarkEnd w:id="37"/>
    <w:p>
      <w:pPr>
        <w:ind w:left="7"/>
        <w:spacing w:after="0"/>
        <w:rPr>
          <w:sz w:val="20"/>
          <w:szCs w:val="20"/>
          <w:color w:val="auto"/>
        </w:rPr>
      </w:pPr>
      <w:r>
        <w:rPr>
          <w:rFonts w:ascii="Arial" w:cs="Arial" w:eastAsia="Arial" w:hAnsi="Arial"/>
          <w:sz w:val="12"/>
          <w:szCs w:val="12"/>
          <w:b w:val="1"/>
          <w:bCs w:val="1"/>
          <w:u w:val="single" w:color="auto"/>
          <w:color w:val="0000EE"/>
        </w:rPr>
        <w:t>Back to Contents</w:t>
      </w:r>
    </w:p>
    <w:p>
      <w:pPr>
        <w:spacing w:after="0" w:line="153" w:lineRule="exact"/>
        <w:rPr>
          <w:sz w:val="20"/>
          <w:szCs w:val="20"/>
          <w:color w:val="auto"/>
        </w:rPr>
      </w:pPr>
    </w:p>
    <w:p>
      <w:pPr>
        <w:ind w:left="287" w:hanging="287"/>
        <w:spacing w:after="0"/>
        <w:tabs>
          <w:tab w:leader="none" w:pos="287" w:val="left"/>
        </w:tabs>
        <w:numPr>
          <w:ilvl w:val="0"/>
          <w:numId w:val="15"/>
        </w:numPr>
        <w:rPr>
          <w:rFonts w:ascii="Arial" w:cs="Arial" w:eastAsia="Arial" w:hAnsi="Arial"/>
          <w:sz w:val="12"/>
          <w:szCs w:val="12"/>
          <w:color w:val="auto"/>
        </w:rPr>
      </w:pPr>
      <w:r>
        <w:rPr>
          <w:rFonts w:ascii="Arial" w:cs="Arial" w:eastAsia="Arial" w:hAnsi="Arial"/>
          <w:sz w:val="12"/>
          <w:szCs w:val="12"/>
          <w:color w:val="auto"/>
        </w:rPr>
        <w:t>Consists of (a) 19,730 shares of common stock, (b) 50,480 shares of common stock issuable pursuant to stock options exercisable within 60 days of the date of this table.</w:t>
      </w:r>
    </w:p>
    <w:p>
      <w:pPr>
        <w:spacing w:after="0" w:line="48" w:lineRule="exact"/>
        <w:rPr>
          <w:rFonts w:ascii="Arial" w:cs="Arial" w:eastAsia="Arial" w:hAnsi="Arial"/>
          <w:sz w:val="12"/>
          <w:szCs w:val="12"/>
          <w:color w:val="auto"/>
        </w:rPr>
      </w:pPr>
    </w:p>
    <w:p>
      <w:pPr>
        <w:ind w:left="287" w:hanging="287"/>
        <w:spacing w:after="0"/>
        <w:tabs>
          <w:tab w:leader="none" w:pos="287" w:val="left"/>
        </w:tabs>
        <w:numPr>
          <w:ilvl w:val="0"/>
          <w:numId w:val="15"/>
        </w:numPr>
        <w:rPr>
          <w:rFonts w:ascii="Arial" w:cs="Arial" w:eastAsia="Arial" w:hAnsi="Arial"/>
          <w:sz w:val="12"/>
          <w:szCs w:val="12"/>
          <w:color w:val="auto"/>
        </w:rPr>
      </w:pPr>
      <w:r>
        <w:rPr>
          <w:rFonts w:ascii="Arial" w:cs="Arial" w:eastAsia="Arial" w:hAnsi="Arial"/>
          <w:sz w:val="12"/>
          <w:szCs w:val="12"/>
          <w:color w:val="auto"/>
        </w:rPr>
        <w:t>Consists of (a) 14,860 shares of common stock and (b) 46,730 shares of common stock issuable pursuant to stock options exercisable within 60 days of the date of this table.</w:t>
      </w:r>
    </w:p>
    <w:p>
      <w:pPr>
        <w:spacing w:after="0" w:line="48" w:lineRule="exact"/>
        <w:rPr>
          <w:rFonts w:ascii="Arial" w:cs="Arial" w:eastAsia="Arial" w:hAnsi="Arial"/>
          <w:sz w:val="12"/>
          <w:szCs w:val="12"/>
          <w:color w:val="auto"/>
        </w:rPr>
      </w:pPr>
    </w:p>
    <w:p>
      <w:pPr>
        <w:ind w:left="287" w:hanging="287"/>
        <w:spacing w:after="0"/>
        <w:tabs>
          <w:tab w:leader="none" w:pos="287" w:val="left"/>
        </w:tabs>
        <w:numPr>
          <w:ilvl w:val="0"/>
          <w:numId w:val="15"/>
        </w:numPr>
        <w:rPr>
          <w:rFonts w:ascii="Arial" w:cs="Arial" w:eastAsia="Arial" w:hAnsi="Arial"/>
          <w:sz w:val="12"/>
          <w:szCs w:val="12"/>
          <w:color w:val="auto"/>
        </w:rPr>
      </w:pPr>
      <w:r>
        <w:rPr>
          <w:rFonts w:ascii="Arial" w:cs="Arial" w:eastAsia="Arial" w:hAnsi="Arial"/>
          <w:sz w:val="12"/>
          <w:szCs w:val="12"/>
          <w:color w:val="auto"/>
        </w:rPr>
        <w:t>Consists of (a) 21,605 shares of common stock and (b) 46,730 shares of common stock issuable pursuant to stock options exercisable within 60 days of the date of this table.</w:t>
      </w:r>
    </w:p>
    <w:p>
      <w:pPr>
        <w:spacing w:after="0" w:line="48" w:lineRule="exact"/>
        <w:rPr>
          <w:rFonts w:ascii="Arial" w:cs="Arial" w:eastAsia="Arial" w:hAnsi="Arial"/>
          <w:sz w:val="12"/>
          <w:szCs w:val="12"/>
          <w:color w:val="auto"/>
        </w:rPr>
      </w:pPr>
    </w:p>
    <w:p>
      <w:pPr>
        <w:ind w:left="287" w:right="20" w:hanging="287"/>
        <w:spacing w:after="0" w:line="283" w:lineRule="auto"/>
        <w:tabs>
          <w:tab w:leader="none" w:pos="287" w:val="left"/>
        </w:tabs>
        <w:numPr>
          <w:ilvl w:val="0"/>
          <w:numId w:val="15"/>
        </w:numPr>
        <w:rPr>
          <w:rFonts w:ascii="Arial" w:cs="Arial" w:eastAsia="Arial" w:hAnsi="Arial"/>
          <w:sz w:val="12"/>
          <w:szCs w:val="12"/>
          <w:color w:val="auto"/>
        </w:rPr>
      </w:pPr>
      <w:r>
        <w:rPr>
          <w:rFonts w:ascii="Arial" w:cs="Arial" w:eastAsia="Arial" w:hAnsi="Arial"/>
          <w:sz w:val="12"/>
          <w:szCs w:val="12"/>
          <w:color w:val="auto"/>
        </w:rPr>
        <w:t>Consists of (a) 10,573 shares of common stock and (b) 22,880 shares of common stock issuable pursuant to stock options exercisable within 60 days of the date of this table, and (c) 1,707 shares of common stock issuable pursuant to the vesting of RSUs within 60 days of the date of this table.</w:t>
      </w:r>
    </w:p>
    <w:p>
      <w:pPr>
        <w:ind w:left="287" w:hanging="287"/>
        <w:spacing w:after="0"/>
        <w:tabs>
          <w:tab w:leader="none" w:pos="287" w:val="left"/>
        </w:tabs>
        <w:numPr>
          <w:ilvl w:val="0"/>
          <w:numId w:val="15"/>
        </w:numPr>
        <w:rPr>
          <w:rFonts w:ascii="Arial" w:cs="Arial" w:eastAsia="Arial" w:hAnsi="Arial"/>
          <w:sz w:val="12"/>
          <w:szCs w:val="12"/>
          <w:color w:val="auto"/>
        </w:rPr>
      </w:pPr>
      <w:r>
        <w:rPr>
          <w:rFonts w:ascii="Arial" w:cs="Arial" w:eastAsia="Arial" w:hAnsi="Arial"/>
          <w:sz w:val="12"/>
          <w:szCs w:val="12"/>
          <w:color w:val="auto"/>
        </w:rPr>
        <w:t>Consists of (a) 6,664 shares of common stock and (b) 20,610 shares of common stock issuable pursuant to stock options exercisable within 60 days of the date of this table.</w:t>
      </w:r>
    </w:p>
    <w:p>
      <w:pPr>
        <w:spacing w:after="0" w:line="48" w:lineRule="exact"/>
        <w:rPr>
          <w:rFonts w:ascii="Arial" w:cs="Arial" w:eastAsia="Arial" w:hAnsi="Arial"/>
          <w:sz w:val="12"/>
          <w:szCs w:val="12"/>
          <w:color w:val="auto"/>
        </w:rPr>
      </w:pPr>
    </w:p>
    <w:p>
      <w:pPr>
        <w:ind w:left="287" w:hanging="287"/>
        <w:spacing w:after="0"/>
        <w:tabs>
          <w:tab w:leader="none" w:pos="287" w:val="left"/>
        </w:tabs>
        <w:numPr>
          <w:ilvl w:val="0"/>
          <w:numId w:val="15"/>
        </w:numPr>
        <w:rPr>
          <w:rFonts w:ascii="Arial" w:cs="Arial" w:eastAsia="Arial" w:hAnsi="Arial"/>
          <w:sz w:val="12"/>
          <w:szCs w:val="12"/>
          <w:color w:val="auto"/>
        </w:rPr>
      </w:pPr>
      <w:r>
        <w:rPr>
          <w:rFonts w:ascii="Arial" w:cs="Arial" w:eastAsia="Arial" w:hAnsi="Arial"/>
          <w:sz w:val="12"/>
          <w:szCs w:val="12"/>
          <w:color w:val="auto"/>
        </w:rPr>
        <w:t>Consists of (a) 14,855 shares of common stock and (b) 46,730 shares of common stock issuable pursuant to stock options exercisable within 60 days of the date of this table.</w:t>
      </w:r>
    </w:p>
    <w:p>
      <w:pPr>
        <w:spacing w:after="0" w:line="48" w:lineRule="exact"/>
        <w:rPr>
          <w:rFonts w:ascii="Arial" w:cs="Arial" w:eastAsia="Arial" w:hAnsi="Arial"/>
          <w:sz w:val="12"/>
          <w:szCs w:val="12"/>
          <w:color w:val="auto"/>
        </w:rPr>
      </w:pPr>
    </w:p>
    <w:p>
      <w:pPr>
        <w:ind w:left="287" w:hanging="287"/>
        <w:spacing w:after="0"/>
        <w:tabs>
          <w:tab w:leader="none" w:pos="287" w:val="left"/>
        </w:tabs>
        <w:numPr>
          <w:ilvl w:val="0"/>
          <w:numId w:val="15"/>
        </w:numPr>
        <w:rPr>
          <w:rFonts w:ascii="Arial" w:cs="Arial" w:eastAsia="Arial" w:hAnsi="Arial"/>
          <w:sz w:val="12"/>
          <w:szCs w:val="12"/>
          <w:color w:val="auto"/>
        </w:rPr>
      </w:pPr>
      <w:r>
        <w:rPr>
          <w:rFonts w:ascii="Arial" w:cs="Arial" w:eastAsia="Arial" w:hAnsi="Arial"/>
          <w:sz w:val="12"/>
          <w:szCs w:val="12"/>
          <w:color w:val="auto"/>
        </w:rPr>
        <w:t>Consists of (a) 21,605 shares of common stock and (b) 46,730 shares of common stock issuable pursuant to stock options exercisable within 60 days of the date of this table.</w:t>
      </w:r>
    </w:p>
    <w:p>
      <w:pPr>
        <w:spacing w:after="0" w:line="48" w:lineRule="exact"/>
        <w:rPr>
          <w:rFonts w:ascii="Arial" w:cs="Arial" w:eastAsia="Arial" w:hAnsi="Arial"/>
          <w:sz w:val="12"/>
          <w:szCs w:val="12"/>
          <w:color w:val="auto"/>
        </w:rPr>
      </w:pPr>
    </w:p>
    <w:p>
      <w:pPr>
        <w:jc w:val="both"/>
        <w:ind w:left="287" w:hanging="287"/>
        <w:spacing w:after="0" w:line="258" w:lineRule="auto"/>
        <w:tabs>
          <w:tab w:leader="none" w:pos="287" w:val="left"/>
        </w:tabs>
        <w:numPr>
          <w:ilvl w:val="0"/>
          <w:numId w:val="15"/>
        </w:numPr>
        <w:rPr>
          <w:rFonts w:ascii="Arial" w:cs="Arial" w:eastAsia="Arial" w:hAnsi="Arial"/>
          <w:sz w:val="12"/>
          <w:szCs w:val="12"/>
          <w:color w:val="auto"/>
        </w:rPr>
      </w:pPr>
      <w:r>
        <w:rPr>
          <w:rFonts w:ascii="Arial" w:cs="Arial" w:eastAsia="Arial" w:hAnsi="Arial"/>
          <w:sz w:val="12"/>
          <w:szCs w:val="12"/>
          <w:color w:val="auto"/>
        </w:rPr>
        <w:t>Consists of (a) 2,158,985 shares of common stock held by the Emil Kakkis and Jenny Soriano Living Trust, dated June 18, 2009, (b) 533,532 shares of common stock held by Dr. Kakkis and (c) 601,392 shares of common stock issuable pursuant to stock options exercisable within 60 days of the date of this table 4. Dr. Kakkis shares voting and dispositive power over the 2,158,985 shares of common stock held by the Emil Kakkis and Jenny Soriano Living Trust, dated June 18, 2009; each of Dr. Kakkis and Dr. Soriano is a trustee of such trust. Dr. Kakkis has sole voting and dispositive power over the 533,532 shares of common stock held by him and the 2,158,985 shares of common stock issuable pursuant to stock options held by Dr. Kakkis.</w:t>
      </w:r>
    </w:p>
    <w:p>
      <w:pPr>
        <w:spacing w:after="0" w:line="12" w:lineRule="exact"/>
        <w:rPr>
          <w:rFonts w:ascii="Arial" w:cs="Arial" w:eastAsia="Arial" w:hAnsi="Arial"/>
          <w:sz w:val="12"/>
          <w:szCs w:val="12"/>
          <w:color w:val="auto"/>
        </w:rPr>
      </w:pPr>
    </w:p>
    <w:p>
      <w:pPr>
        <w:ind w:left="287" w:right="20" w:hanging="287"/>
        <w:spacing w:after="0" w:line="283" w:lineRule="auto"/>
        <w:tabs>
          <w:tab w:leader="none" w:pos="287" w:val="left"/>
        </w:tabs>
        <w:numPr>
          <w:ilvl w:val="0"/>
          <w:numId w:val="15"/>
        </w:numPr>
        <w:rPr>
          <w:rFonts w:ascii="Arial" w:cs="Arial" w:eastAsia="Arial" w:hAnsi="Arial"/>
          <w:sz w:val="12"/>
          <w:szCs w:val="12"/>
          <w:color w:val="auto"/>
        </w:rPr>
      </w:pPr>
      <w:r>
        <w:rPr>
          <w:rFonts w:ascii="Arial" w:cs="Arial" w:eastAsia="Arial" w:hAnsi="Arial"/>
          <w:sz w:val="12"/>
          <w:szCs w:val="12"/>
          <w:color w:val="auto"/>
        </w:rPr>
        <w:t>Consists of (a) 32,081 shares of common stock and (b) 64,367 shares of common stock issuable pursuant to stock options exercisable within 60 days of the date of this table, and (c) 1,665 shares of common stock issuable pursuant to the vesting of RSUs within 60 days of the date of this table.</w:t>
      </w:r>
    </w:p>
    <w:p>
      <w:pPr>
        <w:ind w:left="287" w:hanging="287"/>
        <w:spacing w:after="0"/>
        <w:tabs>
          <w:tab w:leader="none" w:pos="287" w:val="left"/>
        </w:tabs>
        <w:numPr>
          <w:ilvl w:val="0"/>
          <w:numId w:val="15"/>
        </w:numPr>
        <w:rPr>
          <w:rFonts w:ascii="Arial" w:cs="Arial" w:eastAsia="Arial" w:hAnsi="Arial"/>
          <w:sz w:val="12"/>
          <w:szCs w:val="12"/>
          <w:color w:val="auto"/>
        </w:rPr>
      </w:pPr>
      <w:r>
        <w:rPr>
          <w:rFonts w:ascii="Arial" w:cs="Arial" w:eastAsia="Arial" w:hAnsi="Arial"/>
          <w:sz w:val="12"/>
          <w:szCs w:val="12"/>
          <w:color w:val="auto"/>
        </w:rPr>
        <w:t>Consists of (a) 41,992 shares of common stock and (b) 142,930 shares of common stock issuable pursuant to stock options exercisable within 60 days of the date of this table.</w:t>
      </w:r>
    </w:p>
    <w:p>
      <w:pPr>
        <w:spacing w:after="0" w:line="48" w:lineRule="exact"/>
        <w:rPr>
          <w:rFonts w:ascii="Arial" w:cs="Arial" w:eastAsia="Arial" w:hAnsi="Arial"/>
          <w:sz w:val="12"/>
          <w:szCs w:val="12"/>
          <w:color w:val="auto"/>
        </w:rPr>
      </w:pPr>
    </w:p>
    <w:p>
      <w:pPr>
        <w:ind w:left="287" w:hanging="287"/>
        <w:spacing w:after="0"/>
        <w:tabs>
          <w:tab w:leader="none" w:pos="287" w:val="left"/>
        </w:tabs>
        <w:numPr>
          <w:ilvl w:val="0"/>
          <w:numId w:val="15"/>
        </w:numPr>
        <w:rPr>
          <w:rFonts w:ascii="Arial" w:cs="Arial" w:eastAsia="Arial" w:hAnsi="Arial"/>
          <w:sz w:val="12"/>
          <w:szCs w:val="12"/>
          <w:color w:val="auto"/>
        </w:rPr>
      </w:pPr>
      <w:r>
        <w:rPr>
          <w:rFonts w:ascii="Arial" w:cs="Arial" w:eastAsia="Arial" w:hAnsi="Arial"/>
          <w:sz w:val="12"/>
          <w:szCs w:val="12"/>
          <w:color w:val="auto"/>
        </w:rPr>
        <w:t>Consists of (a) 15,692 shares of common stock and (b) 62,652 shares of common stock issuable pursuant to stock options exercisable within 60 days of the date of this table.</w:t>
      </w:r>
    </w:p>
    <w:p>
      <w:pPr>
        <w:spacing w:after="0" w:line="48" w:lineRule="exact"/>
        <w:rPr>
          <w:rFonts w:ascii="Arial" w:cs="Arial" w:eastAsia="Arial" w:hAnsi="Arial"/>
          <w:sz w:val="12"/>
          <w:szCs w:val="12"/>
          <w:color w:val="auto"/>
        </w:rPr>
      </w:pPr>
    </w:p>
    <w:p>
      <w:pPr>
        <w:ind w:left="287" w:hanging="287"/>
        <w:spacing w:after="0"/>
        <w:tabs>
          <w:tab w:leader="none" w:pos="287" w:val="left"/>
        </w:tabs>
        <w:numPr>
          <w:ilvl w:val="0"/>
          <w:numId w:val="15"/>
        </w:numPr>
        <w:rPr>
          <w:rFonts w:ascii="Arial" w:cs="Arial" w:eastAsia="Arial" w:hAnsi="Arial"/>
          <w:sz w:val="12"/>
          <w:szCs w:val="12"/>
          <w:color w:val="auto"/>
        </w:rPr>
      </w:pPr>
      <w:r>
        <w:rPr>
          <w:rFonts w:ascii="Arial" w:cs="Arial" w:eastAsia="Arial" w:hAnsi="Arial"/>
          <w:sz w:val="12"/>
          <w:szCs w:val="12"/>
          <w:color w:val="auto"/>
        </w:rPr>
        <w:t>Consists of (a) 66,084 shares of common stock and (b) 270,013 shares of common stock issuable pursuant to stock options exercisable within 60 days of the date of this table.</w:t>
      </w:r>
    </w:p>
    <w:p>
      <w:pPr>
        <w:spacing w:after="0" w:line="48" w:lineRule="exact"/>
        <w:rPr>
          <w:rFonts w:ascii="Arial" w:cs="Arial" w:eastAsia="Arial" w:hAnsi="Arial"/>
          <w:sz w:val="12"/>
          <w:szCs w:val="12"/>
          <w:color w:val="auto"/>
        </w:rPr>
      </w:pPr>
    </w:p>
    <w:p>
      <w:pPr>
        <w:ind w:left="287" w:hanging="287"/>
        <w:spacing w:after="0" w:line="289" w:lineRule="auto"/>
        <w:tabs>
          <w:tab w:leader="none" w:pos="287" w:val="left"/>
        </w:tabs>
        <w:numPr>
          <w:ilvl w:val="0"/>
          <w:numId w:val="15"/>
        </w:numPr>
        <w:rPr>
          <w:rFonts w:ascii="Arial" w:cs="Arial" w:eastAsia="Arial" w:hAnsi="Arial"/>
          <w:sz w:val="12"/>
          <w:szCs w:val="12"/>
          <w:color w:val="auto"/>
        </w:rPr>
      </w:pPr>
      <w:r>
        <w:rPr>
          <w:rFonts w:ascii="Arial" w:cs="Arial" w:eastAsia="Arial" w:hAnsi="Arial"/>
          <w:sz w:val="12"/>
          <w:szCs w:val="12"/>
          <w:color w:val="auto"/>
        </w:rPr>
        <w:t>Consists of (a) 3,300,328 shares of common stock, (b) 1,957,647 shares of common stock issuable pursuant to stock options that are exercisable within 60 days of the date of this table, and (c) 3,372 shares of common stock issuable pursuant to the vesting of RSUs within 60 days of the date of this table.</w:t>
      </w:r>
    </w:p>
    <w:p>
      <w:pPr>
        <w:spacing w:after="0" w:line="106"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221E1F"/>
        </w:rPr>
        <w:t xml:space="preserve">ULTRAGENYX PHARMACEUTICAL INC. </w:t>
      </w:r>
      <w:r>
        <w:rPr>
          <w:rFonts w:ascii="Arial" w:cs="Arial" w:eastAsia="Arial" w:hAnsi="Arial"/>
          <w:sz w:val="14"/>
          <w:szCs w:val="14"/>
          <w:color w:val="7BBD3E"/>
        </w:rPr>
        <w:t>•</w:t>
      </w:r>
      <w:r>
        <w:rPr>
          <w:rFonts w:ascii="Arial" w:cs="Arial" w:eastAsia="Arial" w:hAnsi="Arial"/>
          <w:sz w:val="14"/>
          <w:szCs w:val="14"/>
          <w:b w:val="1"/>
          <w:bCs w:val="1"/>
          <w:color w:val="221E1F"/>
        </w:rPr>
        <w:t xml:space="preserve"> </w:t>
      </w:r>
      <w:r>
        <w:rPr>
          <w:rFonts w:ascii="Arial" w:cs="Arial" w:eastAsia="Arial" w:hAnsi="Arial"/>
          <w:sz w:val="14"/>
          <w:szCs w:val="14"/>
          <w:color w:val="221E1F"/>
        </w:rPr>
        <w:t>2025 Proxy Statement</w:t>
      </w:r>
      <w:r>
        <w:rPr>
          <w:rFonts w:ascii="Arial" w:cs="Arial" w:eastAsia="Arial" w:hAnsi="Arial"/>
          <w:sz w:val="14"/>
          <w:szCs w:val="14"/>
          <w:b w:val="1"/>
          <w:bCs w:val="1"/>
          <w:color w:val="221E1F"/>
        </w:rPr>
        <w:tab/>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150735"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0735" cy="29845"/>
                    </a:xfrm>
                    <a:prstGeom prst="rect">
                      <a:avLst/>
                    </a:prstGeom>
                    <a:noFill/>
                  </pic:spPr>
                </pic:pic>
              </a:graphicData>
            </a:graphic>
          </wp:anchor>
        </w:drawing>
      </w:r>
    </w:p>
    <w:p>
      <w:pPr>
        <w:sectPr>
          <w:pgSz w:w="11900" w:h="16838" w:orient="portrait"/>
          <w:cols w:equalWidth="0" w:num="1">
            <w:col w:w="11267"/>
          </w:cols>
          <w:pgMar w:left="313" w:top="225" w:right="319" w:bottom="1440" w:gutter="0" w:footer="0" w:header="0"/>
        </w:sectPr>
      </w:pPr>
    </w:p>
    <w:bookmarkStart w:id="38" w:name="page39"/>
    <w:bookmarkEnd w:id="38"/>
    <w:p>
      <w:pPr>
        <w:ind w:left="7"/>
        <w:spacing w:after="0"/>
        <w:rPr>
          <w:sz w:val="20"/>
          <w:szCs w:val="20"/>
          <w:color w:val="auto"/>
        </w:rPr>
      </w:pPr>
      <w:r>
        <w:rPr>
          <w:rFonts w:ascii="Arial" w:cs="Arial" w:eastAsia="Arial" w:hAnsi="Arial"/>
          <w:sz w:val="12"/>
          <w:szCs w:val="12"/>
          <w:b w:val="1"/>
          <w:bCs w:val="1"/>
          <w:u w:val="single" w:color="auto"/>
          <w:color w:val="0000EE"/>
        </w:rPr>
        <w:t>Back to Contents</w:t>
      </w:r>
    </w:p>
    <w:p>
      <w:pPr>
        <w:spacing w:after="0" w:line="128" w:lineRule="exact"/>
        <w:rPr>
          <w:sz w:val="20"/>
          <w:szCs w:val="20"/>
          <w:color w:val="auto"/>
        </w:rPr>
      </w:pPr>
    </w:p>
    <w:p>
      <w:pPr>
        <w:ind w:left="7"/>
        <w:spacing w:after="0"/>
        <w:rPr>
          <w:sz w:val="20"/>
          <w:szCs w:val="20"/>
          <w:color w:val="auto"/>
        </w:rPr>
      </w:pPr>
      <w:r>
        <w:rPr>
          <w:rFonts w:ascii="Arial" w:cs="Arial" w:eastAsia="Arial" w:hAnsi="Arial"/>
          <w:sz w:val="31"/>
          <w:szCs w:val="31"/>
          <w:b w:val="1"/>
          <w:bCs w:val="1"/>
          <w:color w:val="7CBD3F"/>
        </w:rPr>
        <w:t>Executive Compensation</w:t>
      </w:r>
    </w:p>
    <w:p>
      <w:pPr>
        <w:spacing w:after="0" w:line="200" w:lineRule="exact"/>
        <w:rPr>
          <w:sz w:val="20"/>
          <w:szCs w:val="20"/>
          <w:color w:val="auto"/>
        </w:rPr>
      </w:pPr>
    </w:p>
    <w:p>
      <w:pPr>
        <w:spacing w:after="0" w:line="316" w:lineRule="exact"/>
        <w:rPr>
          <w:sz w:val="20"/>
          <w:szCs w:val="20"/>
          <w:color w:val="auto"/>
        </w:rPr>
      </w:pPr>
    </w:p>
    <w:p>
      <w:pPr>
        <w:ind w:left="1967"/>
        <w:spacing w:after="0"/>
        <w:rPr>
          <w:sz w:val="20"/>
          <w:szCs w:val="20"/>
          <w:color w:val="auto"/>
        </w:rPr>
      </w:pPr>
      <w:r>
        <w:rPr>
          <w:rFonts w:ascii="Arial" w:cs="Arial" w:eastAsia="Arial" w:hAnsi="Arial"/>
          <w:sz w:val="19"/>
          <w:szCs w:val="19"/>
          <w:b w:val="1"/>
          <w:bCs w:val="1"/>
          <w:color w:val="7CBD3F"/>
        </w:rPr>
        <w:t>Table of Contents</w:t>
      </w:r>
    </w:p>
    <w:p>
      <w:pPr>
        <w:spacing w:after="0" w:line="173" w:lineRule="exact"/>
        <w:rPr>
          <w:sz w:val="20"/>
          <w:szCs w:val="20"/>
          <w:color w:val="auto"/>
        </w:rPr>
      </w:pPr>
    </w:p>
    <w:tbl>
      <w:tblPr>
        <w:tblLayout w:type="fixed"/>
        <w:tblInd w:w="1967" w:type="dxa"/>
        <w:tblCellMar>
          <w:top w:w="0" w:type="dxa"/>
          <w:left w:w="0" w:type="dxa"/>
          <w:bottom w:w="0" w:type="dxa"/>
          <w:right w:w="0" w:type="dxa"/>
        </w:tblCellMar>
      </w:tblPr>
      <w:tr>
        <w:trPr>
          <w:trHeight w:val="198"/>
        </w:trPr>
        <w:tc>
          <w:tcPr>
            <w:tcW w:w="5780" w:type="dxa"/>
            <w:vAlign w:val="bottom"/>
          </w:tcPr>
          <w:p>
            <w:pPr>
              <w:spacing w:after="0"/>
              <w:rPr>
                <w:sz w:val="20"/>
                <w:szCs w:val="20"/>
                <w:color w:val="auto"/>
              </w:rPr>
            </w:pPr>
            <w:r>
              <w:rPr>
                <w:rFonts w:ascii="Arial" w:cs="Arial" w:eastAsia="Arial" w:hAnsi="Arial"/>
                <w:sz w:val="16"/>
                <w:szCs w:val="16"/>
                <w:b w:val="1"/>
                <w:bCs w:val="1"/>
                <w:color w:val="auto"/>
              </w:rPr>
              <w:t>Compensation Discussion and Analysis</w:t>
            </w:r>
          </w:p>
        </w:tc>
        <w:tc>
          <w:tcPr>
            <w:tcW w:w="1540" w:type="dxa"/>
            <w:vAlign w:val="bottom"/>
          </w:tcPr>
          <w:p>
            <w:pPr>
              <w:jc w:val="right"/>
              <w:spacing w:after="0"/>
              <w:rPr>
                <w:sz w:val="20"/>
                <w:szCs w:val="20"/>
                <w:color w:val="auto"/>
              </w:rPr>
            </w:pPr>
            <w:r>
              <w:rPr>
                <w:rFonts w:ascii="Arial" w:cs="Arial" w:eastAsia="Arial" w:hAnsi="Arial"/>
                <w:sz w:val="16"/>
                <w:szCs w:val="16"/>
                <w:b w:val="1"/>
                <w:bCs w:val="1"/>
                <w:color w:val="auto"/>
              </w:rPr>
              <w:t>37</w:t>
            </w:r>
          </w:p>
        </w:tc>
      </w:tr>
      <w:tr>
        <w:trPr>
          <w:trHeight w:val="198"/>
        </w:trPr>
        <w:tc>
          <w:tcPr>
            <w:tcW w:w="5780" w:type="dxa"/>
            <w:vAlign w:val="bottom"/>
          </w:tcPr>
          <w:p>
            <w:pPr>
              <w:spacing w:after="0"/>
              <w:rPr>
                <w:sz w:val="20"/>
                <w:szCs w:val="20"/>
                <w:color w:val="auto"/>
              </w:rPr>
            </w:pPr>
            <w:r>
              <w:rPr>
                <w:rFonts w:ascii="Arial" w:cs="Arial" w:eastAsia="Arial" w:hAnsi="Arial"/>
                <w:sz w:val="16"/>
                <w:szCs w:val="16"/>
                <w:b w:val="1"/>
                <w:bCs w:val="1"/>
                <w:color w:val="auto"/>
              </w:rPr>
              <w:t>Fiscal 2025 Compensation</w:t>
            </w:r>
          </w:p>
        </w:tc>
        <w:tc>
          <w:tcPr>
            <w:tcW w:w="1540" w:type="dxa"/>
            <w:vAlign w:val="bottom"/>
          </w:tcPr>
          <w:p>
            <w:pPr>
              <w:jc w:val="right"/>
              <w:spacing w:after="0"/>
              <w:rPr>
                <w:sz w:val="20"/>
                <w:szCs w:val="20"/>
                <w:color w:val="auto"/>
              </w:rPr>
            </w:pPr>
            <w:r>
              <w:rPr>
                <w:rFonts w:ascii="Arial" w:cs="Arial" w:eastAsia="Arial" w:hAnsi="Arial"/>
                <w:sz w:val="16"/>
                <w:szCs w:val="16"/>
                <w:b w:val="1"/>
                <w:bCs w:val="1"/>
                <w:color w:val="auto"/>
              </w:rPr>
              <w:t>49</w:t>
            </w:r>
          </w:p>
        </w:tc>
      </w:tr>
      <w:tr>
        <w:trPr>
          <w:trHeight w:val="198"/>
        </w:trPr>
        <w:tc>
          <w:tcPr>
            <w:tcW w:w="5780" w:type="dxa"/>
            <w:vAlign w:val="bottom"/>
          </w:tcPr>
          <w:p>
            <w:pPr>
              <w:spacing w:after="0"/>
              <w:rPr>
                <w:sz w:val="20"/>
                <w:szCs w:val="20"/>
                <w:color w:val="auto"/>
              </w:rPr>
            </w:pPr>
            <w:r>
              <w:rPr>
                <w:rFonts w:ascii="Arial" w:cs="Arial" w:eastAsia="Arial" w:hAnsi="Arial"/>
                <w:sz w:val="16"/>
                <w:szCs w:val="16"/>
                <w:b w:val="1"/>
                <w:bCs w:val="1"/>
                <w:color w:val="auto"/>
              </w:rPr>
              <w:t>Risk Management and Mitigation</w:t>
            </w:r>
          </w:p>
        </w:tc>
        <w:tc>
          <w:tcPr>
            <w:tcW w:w="1540" w:type="dxa"/>
            <w:vAlign w:val="bottom"/>
          </w:tcPr>
          <w:p>
            <w:pPr>
              <w:jc w:val="right"/>
              <w:spacing w:after="0"/>
              <w:rPr>
                <w:sz w:val="20"/>
                <w:szCs w:val="20"/>
                <w:color w:val="auto"/>
              </w:rPr>
            </w:pPr>
            <w:r>
              <w:rPr>
                <w:rFonts w:ascii="Arial" w:cs="Arial" w:eastAsia="Arial" w:hAnsi="Arial"/>
                <w:sz w:val="16"/>
                <w:szCs w:val="16"/>
                <w:b w:val="1"/>
                <w:bCs w:val="1"/>
                <w:color w:val="auto"/>
              </w:rPr>
              <w:t>51</w:t>
            </w:r>
          </w:p>
        </w:tc>
      </w:tr>
      <w:tr>
        <w:trPr>
          <w:trHeight w:val="198"/>
        </w:trPr>
        <w:tc>
          <w:tcPr>
            <w:tcW w:w="5780" w:type="dxa"/>
            <w:vAlign w:val="bottom"/>
          </w:tcPr>
          <w:p>
            <w:pPr>
              <w:spacing w:after="0"/>
              <w:rPr>
                <w:sz w:val="20"/>
                <w:szCs w:val="20"/>
                <w:color w:val="auto"/>
              </w:rPr>
            </w:pPr>
            <w:r>
              <w:rPr>
                <w:rFonts w:ascii="Arial" w:cs="Arial" w:eastAsia="Arial" w:hAnsi="Arial"/>
                <w:sz w:val="16"/>
                <w:szCs w:val="16"/>
                <w:b w:val="1"/>
                <w:bCs w:val="1"/>
                <w:color w:val="auto"/>
              </w:rPr>
              <w:t>Compensation Committee Report</w:t>
            </w:r>
          </w:p>
        </w:tc>
        <w:tc>
          <w:tcPr>
            <w:tcW w:w="1540" w:type="dxa"/>
            <w:vAlign w:val="bottom"/>
          </w:tcPr>
          <w:p>
            <w:pPr>
              <w:jc w:val="right"/>
              <w:spacing w:after="0"/>
              <w:rPr>
                <w:sz w:val="20"/>
                <w:szCs w:val="20"/>
                <w:color w:val="auto"/>
              </w:rPr>
            </w:pPr>
            <w:r>
              <w:rPr>
                <w:rFonts w:ascii="Arial" w:cs="Arial" w:eastAsia="Arial" w:hAnsi="Arial"/>
                <w:sz w:val="16"/>
                <w:szCs w:val="16"/>
                <w:b w:val="1"/>
                <w:bCs w:val="1"/>
                <w:color w:val="auto"/>
              </w:rPr>
              <w:t>51</w:t>
            </w:r>
          </w:p>
        </w:tc>
      </w:tr>
      <w:tr>
        <w:trPr>
          <w:trHeight w:val="198"/>
        </w:trPr>
        <w:tc>
          <w:tcPr>
            <w:tcW w:w="5780" w:type="dxa"/>
            <w:vAlign w:val="bottom"/>
          </w:tcPr>
          <w:p>
            <w:pPr>
              <w:spacing w:after="0"/>
              <w:rPr>
                <w:sz w:val="20"/>
                <w:szCs w:val="20"/>
                <w:color w:val="auto"/>
              </w:rPr>
            </w:pPr>
            <w:r>
              <w:rPr>
                <w:rFonts w:ascii="Arial" w:cs="Arial" w:eastAsia="Arial" w:hAnsi="Arial"/>
                <w:sz w:val="16"/>
                <w:szCs w:val="16"/>
                <w:b w:val="1"/>
                <w:bCs w:val="1"/>
                <w:color w:val="auto"/>
              </w:rPr>
              <w:t>Summary Compensation Table</w:t>
            </w:r>
          </w:p>
        </w:tc>
        <w:tc>
          <w:tcPr>
            <w:tcW w:w="1540" w:type="dxa"/>
            <w:vAlign w:val="bottom"/>
          </w:tcPr>
          <w:p>
            <w:pPr>
              <w:jc w:val="right"/>
              <w:spacing w:after="0"/>
              <w:rPr>
                <w:sz w:val="20"/>
                <w:szCs w:val="20"/>
                <w:color w:val="auto"/>
              </w:rPr>
            </w:pPr>
            <w:r>
              <w:rPr>
                <w:rFonts w:ascii="Arial" w:cs="Arial" w:eastAsia="Arial" w:hAnsi="Arial"/>
                <w:sz w:val="16"/>
                <w:szCs w:val="16"/>
                <w:b w:val="1"/>
                <w:bCs w:val="1"/>
                <w:color w:val="auto"/>
              </w:rPr>
              <w:t>52</w:t>
            </w:r>
          </w:p>
        </w:tc>
      </w:tr>
      <w:tr>
        <w:trPr>
          <w:trHeight w:val="198"/>
        </w:trPr>
        <w:tc>
          <w:tcPr>
            <w:tcW w:w="5780" w:type="dxa"/>
            <w:vAlign w:val="bottom"/>
          </w:tcPr>
          <w:p>
            <w:pPr>
              <w:spacing w:after="0"/>
              <w:rPr>
                <w:sz w:val="20"/>
                <w:szCs w:val="20"/>
                <w:color w:val="auto"/>
              </w:rPr>
            </w:pPr>
            <w:r>
              <w:rPr>
                <w:rFonts w:ascii="Arial" w:cs="Arial" w:eastAsia="Arial" w:hAnsi="Arial"/>
                <w:sz w:val="16"/>
                <w:szCs w:val="16"/>
                <w:b w:val="1"/>
                <w:bCs w:val="1"/>
                <w:color w:val="auto"/>
              </w:rPr>
              <w:t>Grants of Plan-Based Awards</w:t>
            </w:r>
          </w:p>
        </w:tc>
        <w:tc>
          <w:tcPr>
            <w:tcW w:w="1540" w:type="dxa"/>
            <w:vAlign w:val="bottom"/>
          </w:tcPr>
          <w:p>
            <w:pPr>
              <w:jc w:val="right"/>
              <w:spacing w:after="0"/>
              <w:rPr>
                <w:sz w:val="20"/>
                <w:szCs w:val="20"/>
                <w:color w:val="auto"/>
              </w:rPr>
            </w:pPr>
            <w:r>
              <w:rPr>
                <w:rFonts w:ascii="Arial" w:cs="Arial" w:eastAsia="Arial" w:hAnsi="Arial"/>
                <w:sz w:val="16"/>
                <w:szCs w:val="16"/>
                <w:b w:val="1"/>
                <w:bCs w:val="1"/>
                <w:color w:val="auto"/>
              </w:rPr>
              <w:t>55</w:t>
            </w:r>
          </w:p>
        </w:tc>
      </w:tr>
      <w:tr>
        <w:trPr>
          <w:trHeight w:val="198"/>
        </w:trPr>
        <w:tc>
          <w:tcPr>
            <w:tcW w:w="5780" w:type="dxa"/>
            <w:vAlign w:val="bottom"/>
          </w:tcPr>
          <w:p>
            <w:pPr>
              <w:spacing w:after="0"/>
              <w:rPr>
                <w:sz w:val="20"/>
                <w:szCs w:val="20"/>
                <w:color w:val="auto"/>
              </w:rPr>
            </w:pPr>
            <w:r>
              <w:rPr>
                <w:rFonts w:ascii="Arial" w:cs="Arial" w:eastAsia="Arial" w:hAnsi="Arial"/>
                <w:sz w:val="16"/>
                <w:szCs w:val="16"/>
                <w:b w:val="1"/>
                <w:bCs w:val="1"/>
                <w:color w:val="auto"/>
              </w:rPr>
              <w:t>Outstanding Equity Awards at December 31, 2024</w:t>
            </w:r>
          </w:p>
        </w:tc>
        <w:tc>
          <w:tcPr>
            <w:tcW w:w="1540" w:type="dxa"/>
            <w:vAlign w:val="bottom"/>
          </w:tcPr>
          <w:p>
            <w:pPr>
              <w:jc w:val="right"/>
              <w:spacing w:after="0"/>
              <w:rPr>
                <w:sz w:val="20"/>
                <w:szCs w:val="20"/>
                <w:color w:val="auto"/>
              </w:rPr>
            </w:pPr>
            <w:r>
              <w:rPr>
                <w:rFonts w:ascii="Arial" w:cs="Arial" w:eastAsia="Arial" w:hAnsi="Arial"/>
                <w:sz w:val="16"/>
                <w:szCs w:val="16"/>
                <w:b w:val="1"/>
                <w:bCs w:val="1"/>
                <w:color w:val="auto"/>
              </w:rPr>
              <w:t>56</w:t>
            </w:r>
          </w:p>
        </w:tc>
      </w:tr>
      <w:tr>
        <w:trPr>
          <w:trHeight w:val="198"/>
        </w:trPr>
        <w:tc>
          <w:tcPr>
            <w:tcW w:w="5780" w:type="dxa"/>
            <w:vAlign w:val="bottom"/>
          </w:tcPr>
          <w:p>
            <w:pPr>
              <w:spacing w:after="0"/>
              <w:rPr>
                <w:sz w:val="20"/>
                <w:szCs w:val="20"/>
                <w:color w:val="auto"/>
              </w:rPr>
            </w:pPr>
            <w:r>
              <w:rPr>
                <w:rFonts w:ascii="Arial" w:cs="Arial" w:eastAsia="Arial" w:hAnsi="Arial"/>
                <w:sz w:val="16"/>
                <w:szCs w:val="16"/>
                <w:b w:val="1"/>
                <w:bCs w:val="1"/>
                <w:color w:val="auto"/>
              </w:rPr>
              <w:t>Option Exercises and Stock Vested</w:t>
            </w:r>
          </w:p>
        </w:tc>
        <w:tc>
          <w:tcPr>
            <w:tcW w:w="1540" w:type="dxa"/>
            <w:vAlign w:val="bottom"/>
          </w:tcPr>
          <w:p>
            <w:pPr>
              <w:jc w:val="right"/>
              <w:spacing w:after="0"/>
              <w:rPr>
                <w:sz w:val="20"/>
                <w:szCs w:val="20"/>
                <w:color w:val="auto"/>
              </w:rPr>
            </w:pPr>
            <w:r>
              <w:rPr>
                <w:rFonts w:ascii="Arial" w:cs="Arial" w:eastAsia="Arial" w:hAnsi="Arial"/>
                <w:sz w:val="16"/>
                <w:szCs w:val="16"/>
                <w:b w:val="1"/>
                <w:bCs w:val="1"/>
                <w:color w:val="auto"/>
              </w:rPr>
              <w:t>57</w:t>
            </w:r>
          </w:p>
        </w:tc>
      </w:tr>
      <w:tr>
        <w:trPr>
          <w:trHeight w:val="198"/>
        </w:trPr>
        <w:tc>
          <w:tcPr>
            <w:tcW w:w="5780" w:type="dxa"/>
            <w:vAlign w:val="bottom"/>
          </w:tcPr>
          <w:p>
            <w:pPr>
              <w:spacing w:after="0"/>
              <w:rPr>
                <w:sz w:val="20"/>
                <w:szCs w:val="20"/>
                <w:color w:val="auto"/>
              </w:rPr>
            </w:pPr>
            <w:r>
              <w:rPr>
                <w:rFonts w:ascii="Arial" w:cs="Arial" w:eastAsia="Arial" w:hAnsi="Arial"/>
                <w:sz w:val="16"/>
                <w:szCs w:val="16"/>
                <w:b w:val="1"/>
                <w:bCs w:val="1"/>
                <w:color w:val="auto"/>
              </w:rPr>
              <w:t>Pension Benefits</w:t>
            </w:r>
          </w:p>
        </w:tc>
        <w:tc>
          <w:tcPr>
            <w:tcW w:w="1540" w:type="dxa"/>
            <w:vAlign w:val="bottom"/>
          </w:tcPr>
          <w:p>
            <w:pPr>
              <w:jc w:val="right"/>
              <w:spacing w:after="0"/>
              <w:rPr>
                <w:sz w:val="20"/>
                <w:szCs w:val="20"/>
                <w:color w:val="auto"/>
              </w:rPr>
            </w:pPr>
            <w:r>
              <w:rPr>
                <w:rFonts w:ascii="Arial" w:cs="Arial" w:eastAsia="Arial" w:hAnsi="Arial"/>
                <w:sz w:val="16"/>
                <w:szCs w:val="16"/>
                <w:b w:val="1"/>
                <w:bCs w:val="1"/>
                <w:color w:val="auto"/>
              </w:rPr>
              <w:t>57</w:t>
            </w:r>
          </w:p>
        </w:tc>
      </w:tr>
      <w:tr>
        <w:trPr>
          <w:trHeight w:val="198"/>
        </w:trPr>
        <w:tc>
          <w:tcPr>
            <w:tcW w:w="5780" w:type="dxa"/>
            <w:vAlign w:val="bottom"/>
          </w:tcPr>
          <w:p>
            <w:pPr>
              <w:spacing w:after="0"/>
              <w:rPr>
                <w:sz w:val="20"/>
                <w:szCs w:val="20"/>
                <w:color w:val="auto"/>
              </w:rPr>
            </w:pPr>
            <w:r>
              <w:rPr>
                <w:rFonts w:ascii="Arial" w:cs="Arial" w:eastAsia="Arial" w:hAnsi="Arial"/>
                <w:sz w:val="16"/>
                <w:szCs w:val="16"/>
                <w:b w:val="1"/>
                <w:bCs w:val="1"/>
                <w:color w:val="auto"/>
              </w:rPr>
              <w:t>Nonqualified Deferred Compensation</w:t>
            </w:r>
          </w:p>
        </w:tc>
        <w:tc>
          <w:tcPr>
            <w:tcW w:w="1540" w:type="dxa"/>
            <w:vAlign w:val="bottom"/>
          </w:tcPr>
          <w:p>
            <w:pPr>
              <w:jc w:val="right"/>
              <w:spacing w:after="0"/>
              <w:rPr>
                <w:sz w:val="20"/>
                <w:szCs w:val="20"/>
                <w:color w:val="auto"/>
              </w:rPr>
            </w:pPr>
            <w:r>
              <w:rPr>
                <w:rFonts w:ascii="Arial" w:cs="Arial" w:eastAsia="Arial" w:hAnsi="Arial"/>
                <w:sz w:val="16"/>
                <w:szCs w:val="16"/>
                <w:b w:val="1"/>
                <w:bCs w:val="1"/>
                <w:color w:val="auto"/>
              </w:rPr>
              <w:t>58</w:t>
            </w:r>
          </w:p>
        </w:tc>
      </w:tr>
      <w:tr>
        <w:trPr>
          <w:trHeight w:val="215"/>
        </w:trPr>
        <w:tc>
          <w:tcPr>
            <w:tcW w:w="5780" w:type="dxa"/>
            <w:vAlign w:val="bottom"/>
          </w:tcPr>
          <w:p>
            <w:pPr>
              <w:spacing w:after="0"/>
              <w:rPr>
                <w:sz w:val="20"/>
                <w:szCs w:val="20"/>
                <w:color w:val="auto"/>
              </w:rPr>
            </w:pPr>
            <w:r>
              <w:rPr>
                <w:rFonts w:ascii="Arial" w:cs="Arial" w:eastAsia="Arial" w:hAnsi="Arial"/>
                <w:sz w:val="16"/>
                <w:szCs w:val="16"/>
                <w:b w:val="1"/>
                <w:bCs w:val="1"/>
                <w:color w:val="auto"/>
              </w:rPr>
              <w:t>Potential Payments Upon Termination or Change of Control</w:t>
            </w:r>
          </w:p>
        </w:tc>
        <w:tc>
          <w:tcPr>
            <w:tcW w:w="1540" w:type="dxa"/>
            <w:vAlign w:val="bottom"/>
          </w:tcPr>
          <w:p>
            <w:pPr>
              <w:jc w:val="right"/>
              <w:spacing w:after="0"/>
              <w:rPr>
                <w:sz w:val="20"/>
                <w:szCs w:val="20"/>
                <w:color w:val="auto"/>
              </w:rPr>
            </w:pPr>
            <w:r>
              <w:rPr>
                <w:rFonts w:ascii="Arial" w:cs="Arial" w:eastAsia="Arial" w:hAnsi="Arial"/>
                <w:sz w:val="16"/>
                <w:szCs w:val="16"/>
                <w:b w:val="1"/>
                <w:bCs w:val="1"/>
                <w:color w:val="auto"/>
              </w:rPr>
              <w:t>59</w:t>
            </w:r>
          </w:p>
        </w:tc>
      </w:tr>
    </w:tbl>
    <w:p>
      <w:pPr>
        <w:spacing w:after="0" w:line="283" w:lineRule="exact"/>
        <w:rPr>
          <w:sz w:val="20"/>
          <w:szCs w:val="20"/>
          <w:color w:val="auto"/>
        </w:rPr>
      </w:pPr>
    </w:p>
    <w:p>
      <w:pPr>
        <w:ind w:left="7"/>
        <w:spacing w:after="0"/>
        <w:rPr>
          <w:sz w:val="20"/>
          <w:szCs w:val="20"/>
          <w:color w:val="auto"/>
        </w:rPr>
      </w:pPr>
      <w:r>
        <w:rPr>
          <w:rFonts w:ascii="Arial" w:cs="Arial" w:eastAsia="Arial" w:hAnsi="Arial"/>
          <w:sz w:val="22"/>
          <w:szCs w:val="22"/>
          <w:b w:val="1"/>
          <w:bCs w:val="1"/>
          <w:color w:val="auto"/>
        </w:rPr>
        <w:t>Compensation Discussion and Analysis</w:t>
      </w:r>
    </w:p>
    <w:p>
      <w:pPr>
        <w:spacing w:after="0" w:line="257" w:lineRule="exact"/>
        <w:rPr>
          <w:sz w:val="20"/>
          <w:szCs w:val="20"/>
          <w:color w:val="auto"/>
        </w:rPr>
      </w:pPr>
    </w:p>
    <w:p>
      <w:pPr>
        <w:ind w:left="7"/>
        <w:spacing w:after="0" w:line="278" w:lineRule="auto"/>
        <w:rPr>
          <w:sz w:val="20"/>
          <w:szCs w:val="20"/>
          <w:color w:val="auto"/>
        </w:rPr>
      </w:pPr>
      <w:r>
        <w:rPr>
          <w:rFonts w:ascii="Arial" w:cs="Arial" w:eastAsia="Arial" w:hAnsi="Arial"/>
          <w:sz w:val="14"/>
          <w:szCs w:val="14"/>
          <w:color w:val="auto"/>
        </w:rPr>
        <w:t>The following compensation discussion and analysis describes the material elements of compensation earned in fiscal 2024 by each of the executive officers identified below, who are referred to collectively as our “named executive officers.” Our named executive officers with respect to the fiscal year that ended on December 31, 2024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791845</wp:posOffset>
            </wp:positionH>
            <wp:positionV relativeFrom="paragraph">
              <wp:posOffset>104140</wp:posOffset>
            </wp:positionV>
            <wp:extent cx="5648325" cy="10350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648325" cy="10350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tbl>
      <w:tblPr>
        <w:tblLayout w:type="fixed"/>
        <w:tblInd w:w="587" w:type="dxa"/>
        <w:tblCellMar>
          <w:top w:w="0" w:type="dxa"/>
          <w:left w:w="0" w:type="dxa"/>
          <w:bottom w:w="0" w:type="dxa"/>
          <w:right w:w="0" w:type="dxa"/>
        </w:tblCellMar>
      </w:tblPr>
      <w:tr>
        <w:trPr>
          <w:trHeight w:val="163"/>
        </w:trPr>
        <w:tc>
          <w:tcPr>
            <w:tcW w:w="1840" w:type="dxa"/>
            <w:vAlign w:val="bottom"/>
          </w:tcPr>
          <w:p>
            <w:pPr>
              <w:jc w:val="center"/>
              <w:ind w:right="270"/>
              <w:spacing w:after="0"/>
              <w:rPr>
                <w:sz w:val="20"/>
                <w:szCs w:val="20"/>
                <w:color w:val="auto"/>
              </w:rPr>
            </w:pPr>
            <w:r>
              <w:rPr>
                <w:rFonts w:ascii="Arial" w:cs="Arial" w:eastAsia="Arial" w:hAnsi="Arial"/>
                <w:sz w:val="14"/>
                <w:szCs w:val="14"/>
                <w:b w:val="1"/>
                <w:bCs w:val="1"/>
                <w:color w:val="7CBD3F"/>
                <w:w w:val="99"/>
              </w:rPr>
              <w:t>EMIL D. KAKKIS, M.D.,</w:t>
            </w:r>
          </w:p>
        </w:tc>
        <w:tc>
          <w:tcPr>
            <w:tcW w:w="2200" w:type="dxa"/>
            <w:vAlign w:val="bottom"/>
          </w:tcPr>
          <w:p>
            <w:pPr>
              <w:jc w:val="center"/>
              <w:spacing w:after="0"/>
              <w:rPr>
                <w:sz w:val="20"/>
                <w:szCs w:val="20"/>
                <w:color w:val="auto"/>
              </w:rPr>
            </w:pPr>
            <w:r>
              <w:rPr>
                <w:rFonts w:ascii="Arial" w:cs="Arial" w:eastAsia="Arial" w:hAnsi="Arial"/>
                <w:sz w:val="14"/>
                <w:szCs w:val="14"/>
                <w:b w:val="1"/>
                <w:bCs w:val="1"/>
                <w:color w:val="7CBD3F"/>
              </w:rPr>
              <w:t>HOWARD HORN</w:t>
            </w:r>
          </w:p>
        </w:tc>
        <w:tc>
          <w:tcPr>
            <w:tcW w:w="2220" w:type="dxa"/>
            <w:vAlign w:val="bottom"/>
          </w:tcPr>
          <w:p>
            <w:pPr>
              <w:jc w:val="center"/>
              <w:spacing w:after="0"/>
              <w:rPr>
                <w:sz w:val="20"/>
                <w:szCs w:val="20"/>
                <w:color w:val="auto"/>
              </w:rPr>
            </w:pPr>
            <w:r>
              <w:rPr>
                <w:rFonts w:ascii="Arial" w:cs="Arial" w:eastAsia="Arial" w:hAnsi="Arial"/>
                <w:sz w:val="14"/>
                <w:szCs w:val="14"/>
                <w:b w:val="1"/>
                <w:bCs w:val="1"/>
                <w:color w:val="7CBD3F"/>
                <w:w w:val="98"/>
              </w:rPr>
              <w:t>ERIK HARRIS</w:t>
            </w:r>
          </w:p>
        </w:tc>
        <w:tc>
          <w:tcPr>
            <w:tcW w:w="2240" w:type="dxa"/>
            <w:vAlign w:val="bottom"/>
          </w:tcPr>
          <w:p>
            <w:pPr>
              <w:jc w:val="center"/>
              <w:spacing w:after="0"/>
              <w:rPr>
                <w:sz w:val="20"/>
                <w:szCs w:val="20"/>
                <w:color w:val="auto"/>
              </w:rPr>
            </w:pPr>
            <w:r>
              <w:rPr>
                <w:rFonts w:ascii="Arial" w:cs="Arial" w:eastAsia="Arial" w:hAnsi="Arial"/>
                <w:sz w:val="14"/>
                <w:szCs w:val="14"/>
                <w:b w:val="1"/>
                <w:bCs w:val="1"/>
                <w:color w:val="7CBD3F"/>
              </w:rPr>
              <w:t>ERIC CROMBEZ, M.D.</w:t>
            </w:r>
          </w:p>
        </w:tc>
        <w:tc>
          <w:tcPr>
            <w:tcW w:w="1600" w:type="dxa"/>
            <w:vAlign w:val="bottom"/>
          </w:tcPr>
          <w:p>
            <w:pPr>
              <w:jc w:val="center"/>
              <w:ind w:left="290"/>
              <w:spacing w:after="0"/>
              <w:rPr>
                <w:sz w:val="20"/>
                <w:szCs w:val="20"/>
                <w:color w:val="auto"/>
              </w:rPr>
            </w:pPr>
            <w:r>
              <w:rPr>
                <w:rFonts w:ascii="Arial" w:cs="Arial" w:eastAsia="Arial" w:hAnsi="Arial"/>
                <w:sz w:val="14"/>
                <w:szCs w:val="14"/>
                <w:b w:val="1"/>
                <w:bCs w:val="1"/>
                <w:color w:val="7CBD3F"/>
                <w:w w:val="99"/>
              </w:rPr>
              <w:t>JOHN R. PINION II</w:t>
            </w:r>
          </w:p>
        </w:tc>
      </w:tr>
      <w:tr>
        <w:trPr>
          <w:trHeight w:val="163"/>
        </w:trPr>
        <w:tc>
          <w:tcPr>
            <w:tcW w:w="1840" w:type="dxa"/>
            <w:vAlign w:val="bottom"/>
          </w:tcPr>
          <w:p>
            <w:pPr>
              <w:ind w:left="540"/>
              <w:spacing w:after="0"/>
              <w:rPr>
                <w:sz w:val="20"/>
                <w:szCs w:val="20"/>
                <w:color w:val="auto"/>
              </w:rPr>
            </w:pPr>
            <w:r>
              <w:rPr>
                <w:rFonts w:ascii="Arial" w:cs="Arial" w:eastAsia="Arial" w:hAnsi="Arial"/>
                <w:sz w:val="14"/>
                <w:szCs w:val="14"/>
                <w:b w:val="1"/>
                <w:bCs w:val="1"/>
                <w:color w:val="7CBD3F"/>
              </w:rPr>
              <w:t>PH.D.</w:t>
            </w:r>
          </w:p>
        </w:tc>
        <w:tc>
          <w:tcPr>
            <w:tcW w:w="2200" w:type="dxa"/>
            <w:vAlign w:val="bottom"/>
          </w:tcPr>
          <w:p>
            <w:pPr>
              <w:jc w:val="center"/>
              <w:spacing w:after="0"/>
              <w:rPr>
                <w:sz w:val="20"/>
                <w:szCs w:val="20"/>
                <w:color w:val="auto"/>
              </w:rPr>
            </w:pPr>
            <w:r>
              <w:rPr>
                <w:rFonts w:ascii="Arial" w:cs="Arial" w:eastAsia="Arial" w:hAnsi="Arial"/>
                <w:sz w:val="14"/>
                <w:szCs w:val="14"/>
                <w:color w:val="auto"/>
                <w:w w:val="98"/>
              </w:rPr>
              <w:t>Chief Financial Officer,</w:t>
            </w:r>
          </w:p>
        </w:tc>
        <w:tc>
          <w:tcPr>
            <w:tcW w:w="2220" w:type="dxa"/>
            <w:vAlign w:val="bottom"/>
          </w:tcPr>
          <w:p>
            <w:pPr>
              <w:jc w:val="center"/>
              <w:spacing w:after="0"/>
              <w:rPr>
                <w:sz w:val="20"/>
                <w:szCs w:val="20"/>
                <w:color w:val="auto"/>
              </w:rPr>
            </w:pPr>
            <w:r>
              <w:rPr>
                <w:rFonts w:ascii="Arial" w:cs="Arial" w:eastAsia="Arial" w:hAnsi="Arial"/>
                <w:sz w:val="14"/>
                <w:szCs w:val="14"/>
                <w:color w:val="auto"/>
                <w:w w:val="99"/>
              </w:rPr>
              <w:t>Chief Commercial Officer</w:t>
            </w:r>
          </w:p>
        </w:tc>
        <w:tc>
          <w:tcPr>
            <w:tcW w:w="2240" w:type="dxa"/>
            <w:vAlign w:val="bottom"/>
          </w:tcPr>
          <w:p>
            <w:pPr>
              <w:jc w:val="center"/>
              <w:spacing w:after="0"/>
              <w:rPr>
                <w:sz w:val="20"/>
                <w:szCs w:val="20"/>
                <w:color w:val="auto"/>
              </w:rPr>
            </w:pPr>
            <w:r>
              <w:rPr>
                <w:rFonts w:ascii="Arial" w:cs="Arial" w:eastAsia="Arial" w:hAnsi="Arial"/>
                <w:sz w:val="14"/>
                <w:szCs w:val="14"/>
                <w:color w:val="auto"/>
                <w:w w:val="99"/>
              </w:rPr>
              <w:t>Chief Medical Officer and</w:t>
            </w:r>
          </w:p>
        </w:tc>
        <w:tc>
          <w:tcPr>
            <w:tcW w:w="1600" w:type="dxa"/>
            <w:vAlign w:val="bottom"/>
          </w:tcPr>
          <w:p>
            <w:pPr>
              <w:jc w:val="center"/>
              <w:ind w:left="270"/>
              <w:spacing w:after="0"/>
              <w:rPr>
                <w:sz w:val="20"/>
                <w:szCs w:val="20"/>
                <w:color w:val="auto"/>
              </w:rPr>
            </w:pPr>
            <w:r>
              <w:rPr>
                <w:rFonts w:ascii="Arial" w:cs="Arial" w:eastAsia="Arial" w:hAnsi="Arial"/>
                <w:sz w:val="14"/>
                <w:szCs w:val="14"/>
                <w:color w:val="auto"/>
              </w:rPr>
              <w:t>Chief Quality Officer</w:t>
            </w:r>
          </w:p>
        </w:tc>
      </w:tr>
      <w:tr>
        <w:trPr>
          <w:trHeight w:val="163"/>
        </w:trPr>
        <w:tc>
          <w:tcPr>
            <w:tcW w:w="1840" w:type="dxa"/>
            <w:vAlign w:val="bottom"/>
          </w:tcPr>
          <w:p>
            <w:pPr>
              <w:jc w:val="center"/>
              <w:ind w:right="290"/>
              <w:spacing w:after="0"/>
              <w:rPr>
                <w:sz w:val="20"/>
                <w:szCs w:val="20"/>
                <w:color w:val="auto"/>
              </w:rPr>
            </w:pPr>
            <w:r>
              <w:rPr>
                <w:rFonts w:ascii="Arial" w:cs="Arial" w:eastAsia="Arial" w:hAnsi="Arial"/>
                <w:sz w:val="14"/>
                <w:szCs w:val="14"/>
                <w:color w:val="auto"/>
              </w:rPr>
              <w:t>President and Chief</w:t>
            </w:r>
          </w:p>
        </w:tc>
        <w:tc>
          <w:tcPr>
            <w:tcW w:w="2200" w:type="dxa"/>
            <w:vAlign w:val="bottom"/>
          </w:tcPr>
          <w:p>
            <w:pPr>
              <w:jc w:val="center"/>
              <w:spacing w:after="0"/>
              <w:rPr>
                <w:sz w:val="20"/>
                <w:szCs w:val="20"/>
                <w:color w:val="auto"/>
              </w:rPr>
            </w:pPr>
            <w:r>
              <w:rPr>
                <w:rFonts w:ascii="Arial" w:cs="Arial" w:eastAsia="Arial" w:hAnsi="Arial"/>
                <w:sz w:val="14"/>
                <w:szCs w:val="14"/>
                <w:color w:val="auto"/>
              </w:rPr>
              <w:t>Corporate Strategy and</w:t>
            </w:r>
          </w:p>
        </w:tc>
        <w:tc>
          <w:tcPr>
            <w:tcW w:w="2220" w:type="dxa"/>
            <w:vAlign w:val="bottom"/>
          </w:tcPr>
          <w:p>
            <w:pPr>
              <w:jc w:val="center"/>
              <w:spacing w:after="0"/>
              <w:rPr>
                <w:sz w:val="20"/>
                <w:szCs w:val="20"/>
                <w:color w:val="auto"/>
              </w:rPr>
            </w:pPr>
            <w:r>
              <w:rPr>
                <w:rFonts w:ascii="Arial" w:cs="Arial" w:eastAsia="Arial" w:hAnsi="Arial"/>
                <w:sz w:val="14"/>
                <w:szCs w:val="14"/>
                <w:color w:val="auto"/>
                <w:w w:val="99"/>
              </w:rPr>
              <w:t>and Executive Vice</w:t>
            </w:r>
          </w:p>
        </w:tc>
        <w:tc>
          <w:tcPr>
            <w:tcW w:w="2240" w:type="dxa"/>
            <w:vAlign w:val="bottom"/>
          </w:tcPr>
          <w:p>
            <w:pPr>
              <w:jc w:val="center"/>
              <w:spacing w:after="0"/>
              <w:rPr>
                <w:sz w:val="20"/>
                <w:szCs w:val="20"/>
                <w:color w:val="auto"/>
              </w:rPr>
            </w:pPr>
            <w:r>
              <w:rPr>
                <w:rFonts w:ascii="Arial" w:cs="Arial" w:eastAsia="Arial" w:hAnsi="Arial"/>
                <w:sz w:val="14"/>
                <w:szCs w:val="14"/>
                <w:color w:val="auto"/>
                <w:w w:val="99"/>
              </w:rPr>
              <w:t>Executive Vice President</w:t>
            </w:r>
          </w:p>
        </w:tc>
        <w:tc>
          <w:tcPr>
            <w:tcW w:w="1600" w:type="dxa"/>
            <w:vAlign w:val="bottom"/>
          </w:tcPr>
          <w:p>
            <w:pPr>
              <w:jc w:val="center"/>
              <w:ind w:left="290"/>
              <w:spacing w:after="0"/>
              <w:rPr>
                <w:sz w:val="20"/>
                <w:szCs w:val="20"/>
                <w:color w:val="auto"/>
              </w:rPr>
            </w:pPr>
            <w:r>
              <w:rPr>
                <w:rFonts w:ascii="Arial" w:cs="Arial" w:eastAsia="Arial" w:hAnsi="Arial"/>
                <w:sz w:val="14"/>
                <w:szCs w:val="14"/>
                <w:color w:val="auto"/>
              </w:rPr>
              <w:t>and Executive</w:t>
            </w:r>
          </w:p>
        </w:tc>
      </w:tr>
      <w:tr>
        <w:trPr>
          <w:trHeight w:val="163"/>
        </w:trPr>
        <w:tc>
          <w:tcPr>
            <w:tcW w:w="1840" w:type="dxa"/>
            <w:vAlign w:val="bottom"/>
          </w:tcPr>
          <w:p>
            <w:pPr>
              <w:jc w:val="center"/>
              <w:ind w:right="290"/>
              <w:spacing w:after="0"/>
              <w:rPr>
                <w:sz w:val="20"/>
                <w:szCs w:val="20"/>
                <w:color w:val="auto"/>
              </w:rPr>
            </w:pPr>
            <w:r>
              <w:rPr>
                <w:rFonts w:ascii="Arial" w:cs="Arial" w:eastAsia="Arial" w:hAnsi="Arial"/>
                <w:sz w:val="14"/>
                <w:szCs w:val="14"/>
                <w:color w:val="auto"/>
                <w:w w:val="98"/>
              </w:rPr>
              <w:t>Executive Officer</w:t>
            </w:r>
          </w:p>
        </w:tc>
        <w:tc>
          <w:tcPr>
            <w:tcW w:w="2200" w:type="dxa"/>
            <w:vAlign w:val="bottom"/>
          </w:tcPr>
          <w:p>
            <w:pPr>
              <w:jc w:val="center"/>
              <w:spacing w:after="0"/>
              <w:rPr>
                <w:sz w:val="20"/>
                <w:szCs w:val="20"/>
                <w:color w:val="auto"/>
              </w:rPr>
            </w:pPr>
            <w:r>
              <w:rPr>
                <w:rFonts w:ascii="Arial" w:cs="Arial" w:eastAsia="Arial" w:hAnsi="Arial"/>
                <w:sz w:val="14"/>
                <w:szCs w:val="14"/>
                <w:color w:val="auto"/>
                <w:w w:val="99"/>
              </w:rPr>
              <w:t>Executive Vice President</w:t>
            </w:r>
          </w:p>
        </w:tc>
        <w:tc>
          <w:tcPr>
            <w:tcW w:w="2220" w:type="dxa"/>
            <w:vAlign w:val="bottom"/>
          </w:tcPr>
          <w:p>
            <w:pPr>
              <w:jc w:val="center"/>
              <w:spacing w:after="0"/>
              <w:rPr>
                <w:sz w:val="20"/>
                <w:szCs w:val="20"/>
                <w:color w:val="auto"/>
              </w:rPr>
            </w:pPr>
            <w:r>
              <w:rPr>
                <w:rFonts w:ascii="Arial" w:cs="Arial" w:eastAsia="Arial" w:hAnsi="Arial"/>
                <w:sz w:val="14"/>
                <w:szCs w:val="14"/>
                <w:color w:val="auto"/>
                <w:w w:val="97"/>
              </w:rPr>
              <w:t>President</w:t>
            </w:r>
          </w:p>
        </w:tc>
        <w:tc>
          <w:tcPr>
            <w:tcW w:w="2240" w:type="dxa"/>
            <w:vAlign w:val="bottom"/>
          </w:tcPr>
          <w:p>
            <w:pPr>
              <w:spacing w:after="0"/>
              <w:rPr>
                <w:sz w:val="14"/>
                <w:szCs w:val="14"/>
                <w:color w:val="auto"/>
              </w:rPr>
            </w:pPr>
          </w:p>
        </w:tc>
        <w:tc>
          <w:tcPr>
            <w:tcW w:w="1600" w:type="dxa"/>
            <w:vAlign w:val="bottom"/>
          </w:tcPr>
          <w:p>
            <w:pPr>
              <w:jc w:val="center"/>
              <w:ind w:left="270"/>
              <w:spacing w:after="0"/>
              <w:rPr>
                <w:sz w:val="20"/>
                <w:szCs w:val="20"/>
                <w:color w:val="auto"/>
              </w:rPr>
            </w:pPr>
            <w:r>
              <w:rPr>
                <w:rFonts w:ascii="Arial" w:cs="Arial" w:eastAsia="Arial" w:hAnsi="Arial"/>
                <w:sz w:val="14"/>
                <w:szCs w:val="14"/>
                <w:color w:val="auto"/>
                <w:w w:val="99"/>
              </w:rPr>
              <w:t>Vice President</w:t>
            </w:r>
          </w:p>
        </w:tc>
      </w:tr>
      <w:tr>
        <w:trPr>
          <w:trHeight w:val="163"/>
        </w:trPr>
        <w:tc>
          <w:tcPr>
            <w:tcW w:w="18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600" w:type="dxa"/>
            <w:vAlign w:val="bottom"/>
          </w:tcPr>
          <w:p>
            <w:pPr>
              <w:jc w:val="center"/>
              <w:ind w:left="270"/>
              <w:spacing w:after="0"/>
              <w:rPr>
                <w:sz w:val="20"/>
                <w:szCs w:val="20"/>
                <w:color w:val="auto"/>
              </w:rPr>
            </w:pPr>
            <w:r>
              <w:rPr>
                <w:rFonts w:ascii="Arial" w:cs="Arial" w:eastAsia="Arial" w:hAnsi="Arial"/>
                <w:sz w:val="14"/>
                <w:szCs w:val="14"/>
                <w:color w:val="auto"/>
                <w:w w:val="98"/>
              </w:rPr>
              <w:t>of Translational</w:t>
            </w:r>
          </w:p>
        </w:tc>
      </w:tr>
      <w:tr>
        <w:trPr>
          <w:trHeight w:val="185"/>
        </w:trPr>
        <w:tc>
          <w:tcPr>
            <w:tcW w:w="184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600" w:type="dxa"/>
            <w:vAlign w:val="bottom"/>
          </w:tcPr>
          <w:p>
            <w:pPr>
              <w:jc w:val="center"/>
              <w:ind w:left="290"/>
              <w:spacing w:after="0"/>
              <w:rPr>
                <w:sz w:val="20"/>
                <w:szCs w:val="20"/>
                <w:color w:val="auto"/>
              </w:rPr>
            </w:pPr>
            <w:r>
              <w:rPr>
                <w:rFonts w:ascii="Arial" w:cs="Arial" w:eastAsia="Arial" w:hAnsi="Arial"/>
                <w:sz w:val="14"/>
                <w:szCs w:val="14"/>
                <w:color w:val="auto"/>
                <w:w w:val="98"/>
              </w:rPr>
              <w:t>Sciences</w:t>
            </w:r>
          </w:p>
        </w:tc>
      </w:tr>
    </w:tbl>
    <w:p>
      <w:pPr>
        <w:spacing w:after="0" w:line="153" w:lineRule="exact"/>
        <w:rPr>
          <w:sz w:val="20"/>
          <w:szCs w:val="20"/>
          <w:color w:val="auto"/>
        </w:rPr>
      </w:pPr>
    </w:p>
    <w:p>
      <w:pPr>
        <w:ind w:left="7"/>
        <w:spacing w:after="0"/>
        <w:rPr>
          <w:sz w:val="20"/>
          <w:szCs w:val="20"/>
          <w:color w:val="auto"/>
        </w:rPr>
      </w:pPr>
      <w:r>
        <w:rPr>
          <w:rFonts w:ascii="Arial" w:cs="Arial" w:eastAsia="Arial" w:hAnsi="Arial"/>
          <w:sz w:val="14"/>
          <w:szCs w:val="14"/>
          <w:color w:val="auto"/>
        </w:rPr>
        <w:t>These persons constitute our principal executive officer, our principal financial offer and our three other most highly paid executive officers serving during fiscal 2024.</w:t>
      </w:r>
    </w:p>
    <w:p>
      <w:pPr>
        <w:spacing w:after="0" w:line="201" w:lineRule="exact"/>
        <w:rPr>
          <w:sz w:val="20"/>
          <w:szCs w:val="20"/>
          <w:color w:val="auto"/>
        </w:rPr>
      </w:pPr>
    </w:p>
    <w:p>
      <w:pPr>
        <w:ind w:left="7"/>
        <w:spacing w:after="0"/>
        <w:rPr>
          <w:sz w:val="20"/>
          <w:szCs w:val="20"/>
          <w:color w:val="auto"/>
        </w:rPr>
      </w:pPr>
      <w:r>
        <w:rPr>
          <w:rFonts w:ascii="Arial" w:cs="Arial" w:eastAsia="Arial" w:hAnsi="Arial"/>
          <w:sz w:val="19"/>
          <w:szCs w:val="19"/>
          <w:b w:val="1"/>
          <w:bCs w:val="1"/>
          <w:color w:val="7CBD3F"/>
        </w:rPr>
        <w:t>Business Highlights</w:t>
      </w:r>
    </w:p>
    <w:p>
      <w:pPr>
        <w:spacing w:after="0" w:line="166" w:lineRule="exact"/>
        <w:rPr>
          <w:sz w:val="20"/>
          <w:szCs w:val="20"/>
          <w:color w:val="auto"/>
        </w:rPr>
      </w:pPr>
    </w:p>
    <w:p>
      <w:pPr>
        <w:ind w:left="7"/>
        <w:spacing w:after="0" w:line="278" w:lineRule="auto"/>
        <w:rPr>
          <w:sz w:val="20"/>
          <w:szCs w:val="20"/>
          <w:color w:val="auto"/>
        </w:rPr>
      </w:pPr>
      <w:r>
        <w:rPr>
          <w:rFonts w:ascii="Arial" w:cs="Arial" w:eastAsia="Arial" w:hAnsi="Arial"/>
          <w:sz w:val="14"/>
          <w:szCs w:val="14"/>
          <w:color w:val="auto"/>
        </w:rPr>
        <w:t>2024 was a pivotal year for the Company as we expanded access and grew revenue from our four global commercial products while also advancing our six late-stage programs in serious genetic conditions. The following company performance highlights from the year directly contributed to achievement under our 2024 annual incentive program.</w:t>
      </w:r>
    </w:p>
    <w:p>
      <w:pPr>
        <w:spacing w:after="0" w:line="114" w:lineRule="exact"/>
        <w:rPr>
          <w:sz w:val="20"/>
          <w:szCs w:val="20"/>
          <w:color w:val="auto"/>
        </w:rPr>
      </w:pPr>
    </w:p>
    <w:p>
      <w:pPr>
        <w:ind w:left="7"/>
        <w:spacing w:after="0"/>
        <w:rPr>
          <w:sz w:val="20"/>
          <w:szCs w:val="20"/>
          <w:color w:val="auto"/>
        </w:rPr>
      </w:pPr>
      <w:r>
        <w:rPr>
          <w:rFonts w:ascii="Arial" w:cs="Arial" w:eastAsia="Arial" w:hAnsi="Arial"/>
          <w:sz w:val="16"/>
          <w:szCs w:val="16"/>
          <w:b w:val="1"/>
          <w:bCs w:val="1"/>
          <w:i w:val="1"/>
          <w:iCs w:val="1"/>
          <w:color w:val="auto"/>
        </w:rPr>
        <w:t>Financial and Commercial Highlights in 2024</w:t>
      </w:r>
    </w:p>
    <w:p>
      <w:pPr>
        <w:spacing w:after="0" w:line="156" w:lineRule="exact"/>
        <w:rPr>
          <w:sz w:val="20"/>
          <w:szCs w:val="20"/>
          <w:color w:val="auto"/>
        </w:rPr>
      </w:pPr>
    </w:p>
    <w:p>
      <w:pPr>
        <w:ind w:left="147" w:hanging="147"/>
        <w:spacing w:after="0" w:line="278" w:lineRule="auto"/>
        <w:tabs>
          <w:tab w:leader="none" w:pos="147" w:val="left"/>
        </w:tabs>
        <w:numPr>
          <w:ilvl w:val="0"/>
          <w:numId w:val="16"/>
        </w:numPr>
        <w:rPr>
          <w:rFonts w:ascii="Arial" w:cs="Arial" w:eastAsia="Arial" w:hAnsi="Arial"/>
          <w:sz w:val="14"/>
          <w:szCs w:val="14"/>
          <w:color w:val="7CBD3F"/>
        </w:rPr>
      </w:pPr>
      <w:r>
        <w:rPr>
          <w:rFonts w:ascii="Arial" w:cs="Arial" w:eastAsia="Arial" w:hAnsi="Arial"/>
          <w:sz w:val="14"/>
          <w:szCs w:val="14"/>
          <w:color w:val="auto"/>
        </w:rPr>
        <w:t>Raised our total revenue guidance in mid-2024 to the range of $530 million to $550 million and exceeded the upper end of the revised guidance range with total revenue of $560 million for the year. Total revenue in 2024 represented 29% growth compared to 2023.</w:t>
      </w:r>
    </w:p>
    <w:p>
      <w:pPr>
        <w:spacing w:after="0" w:line="36" w:lineRule="exact"/>
        <w:rPr>
          <w:rFonts w:ascii="Arial" w:cs="Arial" w:eastAsia="Arial" w:hAnsi="Arial"/>
          <w:sz w:val="14"/>
          <w:szCs w:val="14"/>
          <w:color w:val="7CBD3F"/>
        </w:rPr>
      </w:pPr>
    </w:p>
    <w:p>
      <w:pPr>
        <w:ind w:left="147" w:hanging="147"/>
        <w:spacing w:after="0"/>
        <w:tabs>
          <w:tab w:leader="none" w:pos="147" w:val="left"/>
        </w:tabs>
        <w:numPr>
          <w:ilvl w:val="0"/>
          <w:numId w:val="16"/>
        </w:numPr>
        <w:rPr>
          <w:rFonts w:ascii="Arial" w:cs="Arial" w:eastAsia="Arial" w:hAnsi="Arial"/>
          <w:sz w:val="14"/>
          <w:szCs w:val="14"/>
          <w:color w:val="7CBD3F"/>
        </w:rPr>
      </w:pPr>
      <w:r>
        <w:rPr>
          <w:rFonts w:ascii="Arial" w:cs="Arial" w:eastAsia="Arial" w:hAnsi="Arial"/>
          <w:sz w:val="14"/>
          <w:szCs w:val="14"/>
          <w:color w:val="auto"/>
        </w:rPr>
        <w:t>Generated 2024 Crysvita</w:t>
      </w:r>
      <w:r>
        <w:rPr>
          <w:rFonts w:ascii="Arial" w:cs="Arial" w:eastAsia="Arial" w:hAnsi="Arial"/>
          <w:sz w:val="23"/>
          <w:szCs w:val="23"/>
          <w:color w:val="auto"/>
          <w:vertAlign w:val="superscript"/>
        </w:rPr>
        <w:t>®</w:t>
      </w:r>
      <w:r>
        <w:rPr>
          <w:rFonts w:ascii="Arial" w:cs="Arial" w:eastAsia="Arial" w:hAnsi="Arial"/>
          <w:sz w:val="14"/>
          <w:szCs w:val="14"/>
          <w:color w:val="auto"/>
        </w:rPr>
        <w:t xml:space="preserve"> product sales from Latin America and Turkey, where we lead commercialization activities of $135 million, representing 78% growth compared to 2023.</w:t>
      </w:r>
    </w:p>
    <w:p>
      <w:pPr>
        <w:spacing w:after="0" w:line="45" w:lineRule="exact"/>
        <w:rPr>
          <w:rFonts w:ascii="Arial" w:cs="Arial" w:eastAsia="Arial" w:hAnsi="Arial"/>
          <w:sz w:val="14"/>
          <w:szCs w:val="14"/>
          <w:color w:val="7CBD3F"/>
        </w:rPr>
      </w:pPr>
    </w:p>
    <w:p>
      <w:pPr>
        <w:ind w:left="147" w:hanging="147"/>
        <w:spacing w:after="0"/>
        <w:tabs>
          <w:tab w:leader="none" w:pos="147" w:val="left"/>
        </w:tabs>
        <w:numPr>
          <w:ilvl w:val="0"/>
          <w:numId w:val="16"/>
        </w:numPr>
        <w:rPr>
          <w:rFonts w:ascii="Arial" w:cs="Arial" w:eastAsia="Arial" w:hAnsi="Arial"/>
          <w:sz w:val="14"/>
          <w:szCs w:val="14"/>
          <w:color w:val="7CBD3F"/>
        </w:rPr>
      </w:pPr>
      <w:r>
        <w:rPr>
          <w:rFonts w:ascii="Arial" w:cs="Arial" w:eastAsia="Arial" w:hAnsi="Arial"/>
          <w:sz w:val="14"/>
          <w:szCs w:val="14"/>
          <w:color w:val="auto"/>
        </w:rPr>
        <w:t>Continued commercial expansion outside of the United States with Evkeeza</w:t>
      </w:r>
      <w:r>
        <w:rPr>
          <w:rFonts w:ascii="Arial" w:cs="Arial" w:eastAsia="Arial" w:hAnsi="Arial"/>
          <w:sz w:val="23"/>
          <w:szCs w:val="23"/>
          <w:color w:val="auto"/>
          <w:vertAlign w:val="superscript"/>
        </w:rPr>
        <w:t>®</w:t>
      </w:r>
      <w:r>
        <w:rPr>
          <w:rFonts w:ascii="Arial" w:cs="Arial" w:eastAsia="Arial" w:hAnsi="Arial"/>
          <w:sz w:val="14"/>
          <w:szCs w:val="14"/>
          <w:color w:val="auto"/>
        </w:rPr>
        <w:t xml:space="preserve"> launches in Canada, Europe and Japan.</w:t>
      </w:r>
    </w:p>
    <w:p>
      <w:pPr>
        <w:spacing w:after="0" w:line="63" w:lineRule="exact"/>
        <w:rPr>
          <w:sz w:val="20"/>
          <w:szCs w:val="20"/>
          <w:color w:val="auto"/>
        </w:rPr>
      </w:pPr>
    </w:p>
    <w:p>
      <w:pPr>
        <w:ind w:left="7"/>
        <w:spacing w:after="0"/>
        <w:rPr>
          <w:sz w:val="20"/>
          <w:szCs w:val="20"/>
          <w:color w:val="auto"/>
        </w:rPr>
      </w:pPr>
      <w:r>
        <w:rPr>
          <w:rFonts w:ascii="Arial" w:cs="Arial" w:eastAsia="Arial" w:hAnsi="Arial"/>
          <w:sz w:val="16"/>
          <w:szCs w:val="16"/>
          <w:b w:val="1"/>
          <w:bCs w:val="1"/>
          <w:i w:val="1"/>
          <w:iCs w:val="1"/>
          <w:color w:val="auto"/>
        </w:rPr>
        <w:t>Clinical Program Highlights in 2024</w:t>
      </w:r>
    </w:p>
    <w:p>
      <w:pPr>
        <w:spacing w:after="0" w:line="158" w:lineRule="exact"/>
        <w:rPr>
          <w:sz w:val="20"/>
          <w:szCs w:val="20"/>
          <w:color w:val="auto"/>
        </w:rPr>
      </w:pPr>
    </w:p>
    <w:p>
      <w:pPr>
        <w:ind w:left="147" w:hanging="147"/>
        <w:spacing w:after="0"/>
        <w:tabs>
          <w:tab w:leader="none" w:pos="147" w:val="left"/>
        </w:tabs>
        <w:numPr>
          <w:ilvl w:val="0"/>
          <w:numId w:val="17"/>
        </w:numPr>
        <w:rPr>
          <w:rFonts w:ascii="Arial" w:cs="Arial" w:eastAsia="Arial" w:hAnsi="Arial"/>
          <w:sz w:val="14"/>
          <w:szCs w:val="14"/>
          <w:color w:val="7CBD3F"/>
        </w:rPr>
      </w:pPr>
      <w:r>
        <w:rPr>
          <w:rFonts w:ascii="Arial" w:cs="Arial" w:eastAsia="Arial" w:hAnsi="Arial"/>
          <w:sz w:val="14"/>
          <w:szCs w:val="14"/>
          <w:i w:val="1"/>
          <w:iCs w:val="1"/>
          <w:color w:val="auto"/>
        </w:rPr>
        <w:t>UX143 for the treatment of Osteogenesis Imperfect (OI).</w:t>
      </w:r>
    </w:p>
    <w:p>
      <w:pPr>
        <w:spacing w:after="0" w:line="81" w:lineRule="exact"/>
        <w:rPr>
          <w:rFonts w:ascii="Arial" w:cs="Arial" w:eastAsia="Arial" w:hAnsi="Arial"/>
          <w:sz w:val="14"/>
          <w:szCs w:val="14"/>
          <w:color w:val="7CBD3F"/>
        </w:rPr>
      </w:pPr>
    </w:p>
    <w:p>
      <w:pPr>
        <w:jc w:val="both"/>
        <w:ind w:left="307" w:hanging="155"/>
        <w:spacing w:after="0" w:line="260" w:lineRule="auto"/>
        <w:tabs>
          <w:tab w:leader="none" w:pos="307" w:val="left"/>
        </w:tabs>
        <w:numPr>
          <w:ilvl w:val="1"/>
          <w:numId w:val="17"/>
        </w:numPr>
        <w:rPr>
          <w:rFonts w:ascii="Arial" w:cs="Arial" w:eastAsia="Arial" w:hAnsi="Arial"/>
          <w:sz w:val="14"/>
          <w:szCs w:val="14"/>
          <w:color w:val="auto"/>
        </w:rPr>
      </w:pPr>
      <w:r>
        <w:rPr>
          <w:rFonts w:ascii="Arial" w:cs="Arial" w:eastAsia="Arial" w:hAnsi="Arial"/>
          <w:sz w:val="14"/>
          <w:szCs w:val="14"/>
          <w:color w:val="auto"/>
        </w:rPr>
        <w:t xml:space="preserve">Announced positive 14-month results from the Phase 2 portion of the ongoing Phase 2/3 </w:t>
      </w:r>
      <w:r>
        <w:rPr>
          <w:rFonts w:ascii="Arial" w:cs="Arial" w:eastAsia="Arial" w:hAnsi="Arial"/>
          <w:sz w:val="14"/>
          <w:szCs w:val="14"/>
          <w:i w:val="1"/>
          <w:iCs w:val="1"/>
          <w:color w:val="auto"/>
        </w:rPr>
        <w:t>Orbit</w:t>
      </w:r>
      <w:r>
        <w:rPr>
          <w:rFonts w:ascii="Arial" w:cs="Arial" w:eastAsia="Arial" w:hAnsi="Arial"/>
          <w:sz w:val="14"/>
          <w:szCs w:val="14"/>
          <w:color w:val="auto"/>
        </w:rPr>
        <w:t xml:space="preserve"> study demonstrating that, as of the data cut-off date, treatment with setrusumab continued to show statistically significant reductions in the incidence of fractures in patients with OI compared to the pre-treatment period and also resulted in ongoing and meaningful improvements in lumbar spine bone mineral density at month 12 without evidence of plateau.</w:t>
      </w:r>
    </w:p>
    <w:p>
      <w:pPr>
        <w:spacing w:after="0" w:line="48" w:lineRule="exact"/>
        <w:rPr>
          <w:rFonts w:ascii="Arial" w:cs="Arial" w:eastAsia="Arial" w:hAnsi="Arial"/>
          <w:sz w:val="14"/>
          <w:szCs w:val="14"/>
          <w:color w:val="auto"/>
        </w:rPr>
      </w:pPr>
    </w:p>
    <w:p>
      <w:pPr>
        <w:ind w:left="307" w:hanging="155"/>
        <w:spacing w:after="0"/>
        <w:tabs>
          <w:tab w:leader="none" w:pos="307" w:val="left"/>
        </w:tabs>
        <w:numPr>
          <w:ilvl w:val="1"/>
          <w:numId w:val="17"/>
        </w:numPr>
        <w:rPr>
          <w:rFonts w:ascii="Arial" w:cs="Arial" w:eastAsia="Arial" w:hAnsi="Arial"/>
          <w:sz w:val="14"/>
          <w:szCs w:val="14"/>
          <w:color w:val="auto"/>
        </w:rPr>
      </w:pPr>
      <w:r>
        <w:rPr>
          <w:rFonts w:ascii="Arial" w:cs="Arial" w:eastAsia="Arial" w:hAnsi="Arial"/>
          <w:sz w:val="14"/>
          <w:szCs w:val="14"/>
          <w:color w:val="auto"/>
        </w:rPr>
        <w:t>Received Breakthrough Designation from the FDA as a treatment to reduce the risk of fracture associated with OI Type I, III, or IV in patients 2 years of age and older.</w:t>
      </w:r>
    </w:p>
    <w:p>
      <w:pPr>
        <w:spacing w:after="0" w:line="85" w:lineRule="exact"/>
        <w:rPr>
          <w:rFonts w:ascii="Arial" w:cs="Arial" w:eastAsia="Arial" w:hAnsi="Arial"/>
          <w:sz w:val="14"/>
          <w:szCs w:val="14"/>
          <w:color w:val="auto"/>
        </w:rPr>
      </w:pPr>
    </w:p>
    <w:p>
      <w:pPr>
        <w:ind w:left="147" w:hanging="147"/>
        <w:spacing w:after="0"/>
        <w:tabs>
          <w:tab w:leader="none" w:pos="147" w:val="left"/>
        </w:tabs>
        <w:numPr>
          <w:ilvl w:val="0"/>
          <w:numId w:val="17"/>
        </w:numPr>
        <w:rPr>
          <w:rFonts w:ascii="Arial" w:cs="Arial" w:eastAsia="Arial" w:hAnsi="Arial"/>
          <w:sz w:val="14"/>
          <w:szCs w:val="14"/>
          <w:color w:val="7CBD3F"/>
        </w:rPr>
      </w:pPr>
      <w:r>
        <w:rPr>
          <w:rFonts w:ascii="Arial" w:cs="Arial" w:eastAsia="Arial" w:hAnsi="Arial"/>
          <w:sz w:val="14"/>
          <w:szCs w:val="14"/>
          <w:i w:val="1"/>
          <w:iCs w:val="1"/>
          <w:color w:val="auto"/>
        </w:rPr>
        <w:t>GTX-102 for the treatment of Angelman syndrome</w:t>
      </w:r>
    </w:p>
    <w:p>
      <w:pPr>
        <w:spacing w:after="0" w:line="81" w:lineRule="exact"/>
        <w:rPr>
          <w:rFonts w:ascii="Arial" w:cs="Arial" w:eastAsia="Arial" w:hAnsi="Arial"/>
          <w:sz w:val="14"/>
          <w:szCs w:val="14"/>
          <w:color w:val="7CBD3F"/>
        </w:rPr>
      </w:pPr>
    </w:p>
    <w:p>
      <w:pPr>
        <w:jc w:val="both"/>
        <w:ind w:left="307" w:right="20" w:hanging="155"/>
        <w:spacing w:after="0" w:line="260" w:lineRule="auto"/>
        <w:tabs>
          <w:tab w:leader="none" w:pos="307" w:val="left"/>
        </w:tabs>
        <w:numPr>
          <w:ilvl w:val="1"/>
          <w:numId w:val="17"/>
        </w:numPr>
        <w:rPr>
          <w:rFonts w:ascii="Arial" w:cs="Arial" w:eastAsia="Arial" w:hAnsi="Arial"/>
          <w:sz w:val="14"/>
          <w:szCs w:val="14"/>
          <w:color w:val="auto"/>
        </w:rPr>
      </w:pPr>
      <w:r>
        <w:rPr>
          <w:rFonts w:ascii="Arial" w:cs="Arial" w:eastAsia="Arial" w:hAnsi="Arial"/>
          <w:sz w:val="14"/>
          <w:szCs w:val="14"/>
          <w:color w:val="auto"/>
        </w:rPr>
        <w:t>Announced positive interim data from the Phase 1/2 study reflecting that as of the data cut-off date, patients in the Expansion Cohorts A &amp; B treated with GTX-102 showed rapid and clinically meaningful improvement across multiple domains consistent with or exceeding Dose Escalation Cohorts 4-7 data at Day 170. As of the data cut-off date, treatment of the Dose Escalation Cohorts 4-7 showed long-term increasing and sustained clinical benefit far exceeding natural history data at Day 758.</w:t>
      </w:r>
    </w:p>
    <w:p>
      <w:pPr>
        <w:spacing w:after="0" w:line="48" w:lineRule="exact"/>
        <w:rPr>
          <w:rFonts w:ascii="Arial" w:cs="Arial" w:eastAsia="Arial" w:hAnsi="Arial"/>
          <w:sz w:val="14"/>
          <w:szCs w:val="14"/>
          <w:color w:val="auto"/>
        </w:rPr>
      </w:pPr>
    </w:p>
    <w:p>
      <w:pPr>
        <w:ind w:left="307" w:hanging="155"/>
        <w:spacing w:after="0"/>
        <w:tabs>
          <w:tab w:leader="none" w:pos="307" w:val="left"/>
        </w:tabs>
        <w:numPr>
          <w:ilvl w:val="1"/>
          <w:numId w:val="17"/>
        </w:numPr>
        <w:rPr>
          <w:rFonts w:ascii="Arial" w:cs="Arial" w:eastAsia="Arial" w:hAnsi="Arial"/>
          <w:sz w:val="14"/>
          <w:szCs w:val="14"/>
          <w:color w:val="auto"/>
        </w:rPr>
      </w:pPr>
      <w:r>
        <w:rPr>
          <w:rFonts w:ascii="Arial" w:cs="Arial" w:eastAsia="Arial" w:hAnsi="Arial"/>
          <w:sz w:val="14"/>
          <w:szCs w:val="14"/>
          <w:color w:val="auto"/>
        </w:rPr>
        <w:t xml:space="preserve">Began enrollment in our global Phase 3 </w:t>
      </w:r>
      <w:r>
        <w:rPr>
          <w:rFonts w:ascii="Arial" w:cs="Arial" w:eastAsia="Arial" w:hAnsi="Arial"/>
          <w:sz w:val="14"/>
          <w:szCs w:val="14"/>
          <w:i w:val="1"/>
          <w:iCs w:val="1"/>
          <w:color w:val="auto"/>
        </w:rPr>
        <w:t>Aspire</w:t>
      </w:r>
      <w:r>
        <w:rPr>
          <w:rFonts w:ascii="Arial" w:cs="Arial" w:eastAsia="Arial" w:hAnsi="Arial"/>
          <w:sz w:val="14"/>
          <w:szCs w:val="14"/>
          <w:color w:val="auto"/>
        </w:rPr>
        <w:t xml:space="preserve"> study.</w:t>
      </w:r>
    </w:p>
    <w:p>
      <w:pPr>
        <w:spacing w:after="0" w:line="165"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221E1F"/>
        </w:rPr>
        <w:t xml:space="preserve">ULTRAGENYX PHARMACEUTICAL INC. </w:t>
      </w:r>
      <w:r>
        <w:rPr>
          <w:rFonts w:ascii="Arial" w:cs="Arial" w:eastAsia="Arial" w:hAnsi="Arial"/>
          <w:sz w:val="14"/>
          <w:szCs w:val="14"/>
          <w:color w:val="7BBD3E"/>
        </w:rPr>
        <w:t>•</w:t>
      </w:r>
      <w:r>
        <w:rPr>
          <w:rFonts w:ascii="Arial" w:cs="Arial" w:eastAsia="Arial" w:hAnsi="Arial"/>
          <w:sz w:val="14"/>
          <w:szCs w:val="14"/>
          <w:b w:val="1"/>
          <w:bCs w:val="1"/>
          <w:color w:val="221E1F"/>
        </w:rPr>
        <w:t xml:space="preserve"> </w:t>
      </w:r>
      <w:r>
        <w:rPr>
          <w:rFonts w:ascii="Arial" w:cs="Arial" w:eastAsia="Arial" w:hAnsi="Arial"/>
          <w:sz w:val="14"/>
          <w:szCs w:val="14"/>
          <w:color w:val="221E1F"/>
        </w:rPr>
        <w:t>2025 Proxy Statement</w:t>
      </w:r>
      <w:r>
        <w:rPr>
          <w:rFonts w:ascii="Arial" w:cs="Arial" w:eastAsia="Arial" w:hAnsi="Arial"/>
          <w:sz w:val="14"/>
          <w:szCs w:val="14"/>
          <w:b w:val="1"/>
          <w:bCs w:val="1"/>
          <w:color w:val="221E1F"/>
        </w:rPr>
        <w:tab/>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150735"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0735" cy="29845"/>
                    </a:xfrm>
                    <a:prstGeom prst="rect">
                      <a:avLst/>
                    </a:prstGeom>
                    <a:noFill/>
                  </pic:spPr>
                </pic:pic>
              </a:graphicData>
            </a:graphic>
          </wp:anchor>
        </w:drawing>
      </w:r>
    </w:p>
    <w:p>
      <w:pPr>
        <w:sectPr>
          <w:pgSz w:w="11900" w:h="16838" w:orient="portrait"/>
          <w:cols w:equalWidth="0" w:num="1">
            <w:col w:w="11267"/>
          </w:cols>
          <w:pgMar w:left="313" w:top="225" w:right="319" w:bottom="1440" w:gutter="0" w:footer="0" w:header="0"/>
        </w:sectPr>
      </w:pPr>
    </w:p>
    <w:bookmarkStart w:id="39" w:name="page40"/>
    <w:bookmarkEnd w:id="39"/>
    <w:p>
      <w:pPr>
        <w:ind w:left="7"/>
        <w:spacing w:after="0"/>
        <w:rPr>
          <w:sz w:val="20"/>
          <w:szCs w:val="20"/>
          <w:color w:val="auto"/>
        </w:rPr>
      </w:pPr>
      <w:r>
        <w:rPr>
          <w:rFonts w:ascii="Arial" w:cs="Arial" w:eastAsia="Arial" w:hAnsi="Arial"/>
          <w:sz w:val="12"/>
          <w:szCs w:val="12"/>
          <w:b w:val="1"/>
          <w:bCs w:val="1"/>
          <w:u w:val="single" w:color="auto"/>
          <w:color w:val="0000EE"/>
        </w:rPr>
        <w:t>Back to Contents</w:t>
      </w:r>
    </w:p>
    <w:p>
      <w:pPr>
        <w:spacing w:after="0" w:line="151" w:lineRule="exact"/>
        <w:rPr>
          <w:sz w:val="20"/>
          <w:szCs w:val="20"/>
          <w:color w:val="auto"/>
        </w:rPr>
      </w:pPr>
    </w:p>
    <w:p>
      <w:pPr>
        <w:ind w:left="147" w:hanging="147"/>
        <w:spacing w:after="0"/>
        <w:tabs>
          <w:tab w:leader="none" w:pos="147" w:val="left"/>
        </w:tabs>
        <w:numPr>
          <w:ilvl w:val="0"/>
          <w:numId w:val="18"/>
        </w:numPr>
        <w:rPr>
          <w:rFonts w:ascii="Arial" w:cs="Arial" w:eastAsia="Arial" w:hAnsi="Arial"/>
          <w:sz w:val="14"/>
          <w:szCs w:val="14"/>
          <w:color w:val="7CBD3F"/>
        </w:rPr>
      </w:pPr>
      <w:r>
        <w:rPr>
          <w:rFonts w:ascii="Arial" w:cs="Arial" w:eastAsia="Arial" w:hAnsi="Arial"/>
          <w:sz w:val="14"/>
          <w:szCs w:val="14"/>
          <w:i w:val="1"/>
          <w:iCs w:val="1"/>
          <w:color w:val="auto"/>
        </w:rPr>
        <w:t>UX111 for the treatment of Sanfilippo syndrome type A (MPS IIIA)</w:t>
      </w:r>
    </w:p>
    <w:p>
      <w:pPr>
        <w:spacing w:after="0" w:line="81" w:lineRule="exact"/>
        <w:rPr>
          <w:rFonts w:ascii="Arial" w:cs="Arial" w:eastAsia="Arial" w:hAnsi="Arial"/>
          <w:sz w:val="14"/>
          <w:szCs w:val="14"/>
          <w:color w:val="7CBD3F"/>
        </w:rPr>
      </w:pPr>
    </w:p>
    <w:p>
      <w:pPr>
        <w:ind w:left="307" w:hanging="155"/>
        <w:spacing w:after="0" w:line="278" w:lineRule="auto"/>
        <w:tabs>
          <w:tab w:leader="none" w:pos="307" w:val="left"/>
        </w:tabs>
        <w:numPr>
          <w:ilvl w:val="1"/>
          <w:numId w:val="18"/>
        </w:numPr>
        <w:rPr>
          <w:rFonts w:ascii="Arial" w:cs="Arial" w:eastAsia="Arial" w:hAnsi="Arial"/>
          <w:sz w:val="14"/>
          <w:szCs w:val="14"/>
          <w:color w:val="auto"/>
        </w:rPr>
      </w:pPr>
      <w:r>
        <w:rPr>
          <w:rFonts w:ascii="Arial" w:cs="Arial" w:eastAsia="Arial" w:hAnsi="Arial"/>
          <w:sz w:val="14"/>
          <w:szCs w:val="14"/>
          <w:color w:val="auto"/>
        </w:rPr>
        <w:t>Jointly sponsored a workshop with the Regan-Udall Foundation for the FDA on qualifying biomarkers to support accelerated approval in rare disease drug development – an example of the way we are leading and driving changes in the field of rare disease.</w:t>
      </w:r>
    </w:p>
    <w:p>
      <w:pPr>
        <w:spacing w:after="0" w:line="35" w:lineRule="exact"/>
        <w:rPr>
          <w:rFonts w:ascii="Arial" w:cs="Arial" w:eastAsia="Arial" w:hAnsi="Arial"/>
          <w:sz w:val="14"/>
          <w:szCs w:val="14"/>
          <w:color w:val="auto"/>
        </w:rPr>
      </w:pPr>
    </w:p>
    <w:p>
      <w:pPr>
        <w:ind w:left="307" w:right="20" w:hanging="155"/>
        <w:spacing w:after="0" w:line="278" w:lineRule="auto"/>
        <w:tabs>
          <w:tab w:leader="none" w:pos="307" w:val="left"/>
        </w:tabs>
        <w:numPr>
          <w:ilvl w:val="1"/>
          <w:numId w:val="18"/>
        </w:numPr>
        <w:rPr>
          <w:rFonts w:ascii="Arial" w:cs="Arial" w:eastAsia="Arial" w:hAnsi="Arial"/>
          <w:sz w:val="14"/>
          <w:szCs w:val="14"/>
          <w:color w:val="auto"/>
        </w:rPr>
      </w:pPr>
      <w:r>
        <w:rPr>
          <w:rFonts w:ascii="Arial" w:cs="Arial" w:eastAsia="Arial" w:hAnsi="Arial"/>
          <w:sz w:val="14"/>
          <w:szCs w:val="14"/>
          <w:color w:val="auto"/>
        </w:rPr>
        <w:t>Submitted our BLA to the FDA, which was subsequently accepted and granted priority review by the FDA, positioning UX111 to becoming our first commercialized gene therapy product, if approved.</w:t>
      </w:r>
    </w:p>
    <w:p>
      <w:pPr>
        <w:spacing w:after="0" w:line="37" w:lineRule="exact"/>
        <w:rPr>
          <w:rFonts w:ascii="Arial" w:cs="Arial" w:eastAsia="Arial" w:hAnsi="Arial"/>
          <w:sz w:val="14"/>
          <w:szCs w:val="14"/>
          <w:color w:val="auto"/>
        </w:rPr>
      </w:pPr>
    </w:p>
    <w:p>
      <w:pPr>
        <w:ind w:left="147" w:hanging="147"/>
        <w:spacing w:after="0"/>
        <w:tabs>
          <w:tab w:leader="none" w:pos="147" w:val="left"/>
        </w:tabs>
        <w:numPr>
          <w:ilvl w:val="0"/>
          <w:numId w:val="18"/>
        </w:numPr>
        <w:rPr>
          <w:rFonts w:ascii="Arial" w:cs="Arial" w:eastAsia="Arial" w:hAnsi="Arial"/>
          <w:sz w:val="14"/>
          <w:szCs w:val="14"/>
          <w:color w:val="7CBD3F"/>
        </w:rPr>
      </w:pPr>
      <w:r>
        <w:rPr>
          <w:rFonts w:ascii="Arial" w:cs="Arial" w:eastAsia="Arial" w:hAnsi="Arial"/>
          <w:sz w:val="14"/>
          <w:szCs w:val="14"/>
          <w:i w:val="1"/>
          <w:iCs w:val="1"/>
          <w:color w:val="auto"/>
        </w:rPr>
        <w:t>DTX401 for the treatment of Glycogen Storage Disease Type Ia, or GSDIa</w:t>
      </w:r>
    </w:p>
    <w:p>
      <w:pPr>
        <w:spacing w:after="0" w:line="81" w:lineRule="exact"/>
        <w:rPr>
          <w:rFonts w:ascii="Arial" w:cs="Arial" w:eastAsia="Arial" w:hAnsi="Arial"/>
          <w:sz w:val="14"/>
          <w:szCs w:val="14"/>
          <w:color w:val="7CBD3F"/>
        </w:rPr>
      </w:pPr>
    </w:p>
    <w:p>
      <w:pPr>
        <w:jc w:val="both"/>
        <w:ind w:left="307" w:right="20" w:hanging="155"/>
        <w:spacing w:after="0" w:line="260" w:lineRule="auto"/>
        <w:tabs>
          <w:tab w:leader="none" w:pos="307" w:val="left"/>
        </w:tabs>
        <w:numPr>
          <w:ilvl w:val="1"/>
          <w:numId w:val="18"/>
        </w:numPr>
        <w:rPr>
          <w:rFonts w:ascii="Arial" w:cs="Arial" w:eastAsia="Arial" w:hAnsi="Arial"/>
          <w:sz w:val="14"/>
          <w:szCs w:val="14"/>
          <w:color w:val="auto"/>
        </w:rPr>
      </w:pPr>
      <w:r>
        <w:rPr>
          <w:rFonts w:ascii="Arial" w:cs="Arial" w:eastAsia="Arial" w:hAnsi="Arial"/>
          <w:sz w:val="14"/>
          <w:szCs w:val="14"/>
          <w:color w:val="auto"/>
        </w:rPr>
        <w:t xml:space="preserve">Announced positive topline results in May 2024 from our Phase 3 </w:t>
      </w:r>
      <w:r>
        <w:rPr>
          <w:rFonts w:ascii="Arial" w:cs="Arial" w:eastAsia="Arial" w:hAnsi="Arial"/>
          <w:sz w:val="14"/>
          <w:szCs w:val="14"/>
          <w:i w:val="1"/>
          <w:iCs w:val="1"/>
          <w:color w:val="auto"/>
        </w:rPr>
        <w:t>GlucoGene</w:t>
      </w:r>
      <w:r>
        <w:rPr>
          <w:rFonts w:ascii="Arial" w:cs="Arial" w:eastAsia="Arial" w:hAnsi="Arial"/>
          <w:sz w:val="14"/>
          <w:szCs w:val="14"/>
          <w:color w:val="auto"/>
        </w:rPr>
        <w:t xml:space="preserve"> study for the treatment of patients aged eight years and older with the study achieving its primary endpoint, demonstrating that treatment with DTX401 resulted in a statistically significant and clinically meaningful reduction in daily cornstarch intake compared with placebo at Week 48. In November 2024, we announced positive updated, longer-term Phase 3 data from the study.</w:t>
      </w:r>
    </w:p>
    <w:p>
      <w:pPr>
        <w:spacing w:after="0" w:line="50" w:lineRule="exact"/>
        <w:rPr>
          <w:rFonts w:ascii="Arial" w:cs="Arial" w:eastAsia="Arial" w:hAnsi="Arial"/>
          <w:sz w:val="14"/>
          <w:szCs w:val="14"/>
          <w:color w:val="auto"/>
        </w:rPr>
      </w:pPr>
    </w:p>
    <w:p>
      <w:pPr>
        <w:ind w:left="147" w:hanging="147"/>
        <w:spacing w:after="0"/>
        <w:tabs>
          <w:tab w:leader="none" w:pos="147" w:val="left"/>
        </w:tabs>
        <w:numPr>
          <w:ilvl w:val="0"/>
          <w:numId w:val="18"/>
        </w:numPr>
        <w:rPr>
          <w:rFonts w:ascii="Arial" w:cs="Arial" w:eastAsia="Arial" w:hAnsi="Arial"/>
          <w:sz w:val="14"/>
          <w:szCs w:val="14"/>
          <w:color w:val="7CBD3F"/>
        </w:rPr>
      </w:pPr>
      <w:r>
        <w:rPr>
          <w:rFonts w:ascii="Arial" w:cs="Arial" w:eastAsia="Arial" w:hAnsi="Arial"/>
          <w:sz w:val="14"/>
          <w:szCs w:val="14"/>
          <w:i w:val="1"/>
          <w:iCs w:val="1"/>
          <w:color w:val="auto"/>
        </w:rPr>
        <w:t>UX701 for the treatment of Wilson disease</w:t>
      </w:r>
    </w:p>
    <w:p>
      <w:pPr>
        <w:spacing w:after="0" w:line="81" w:lineRule="exact"/>
        <w:rPr>
          <w:rFonts w:ascii="Arial" w:cs="Arial" w:eastAsia="Arial" w:hAnsi="Arial"/>
          <w:sz w:val="14"/>
          <w:szCs w:val="14"/>
          <w:color w:val="7CBD3F"/>
        </w:rPr>
      </w:pPr>
    </w:p>
    <w:p>
      <w:pPr>
        <w:ind w:left="307" w:hanging="155"/>
        <w:spacing w:after="0" w:line="278" w:lineRule="auto"/>
        <w:tabs>
          <w:tab w:leader="none" w:pos="307" w:val="left"/>
        </w:tabs>
        <w:numPr>
          <w:ilvl w:val="1"/>
          <w:numId w:val="18"/>
        </w:numPr>
        <w:rPr>
          <w:rFonts w:ascii="Arial" w:cs="Arial" w:eastAsia="Arial" w:hAnsi="Arial"/>
          <w:sz w:val="14"/>
          <w:szCs w:val="14"/>
          <w:color w:val="auto"/>
        </w:rPr>
      </w:pPr>
      <w:r>
        <w:rPr>
          <w:rFonts w:ascii="Arial" w:cs="Arial" w:eastAsia="Arial" w:hAnsi="Arial"/>
          <w:sz w:val="14"/>
          <w:szCs w:val="14"/>
          <w:color w:val="auto"/>
        </w:rPr>
        <w:t xml:space="preserve">Announced positive data from the dose-finding stage of the </w:t>
      </w:r>
      <w:r>
        <w:rPr>
          <w:rFonts w:ascii="Arial" w:cs="Arial" w:eastAsia="Arial" w:hAnsi="Arial"/>
          <w:sz w:val="14"/>
          <w:szCs w:val="14"/>
          <w:i w:val="1"/>
          <w:iCs w:val="1"/>
          <w:color w:val="auto"/>
        </w:rPr>
        <w:t>Cyprus2</w:t>
      </w:r>
      <w:r>
        <w:rPr>
          <w:rFonts w:ascii="Arial" w:cs="Arial" w:eastAsia="Arial" w:hAnsi="Arial"/>
          <w:sz w:val="14"/>
          <w:szCs w:val="14"/>
          <w:color w:val="auto"/>
        </w:rPr>
        <w:t>+ study of UX701 that demonstrated clinical activity as well as improvements in copper metabolism for patients treated in Stage 1 of the study and our plans to initiate a fourth dose-finding cohort to enhance the efficiency and efficacy of the gene therapy.</w:t>
      </w:r>
    </w:p>
    <w:p>
      <w:pPr>
        <w:spacing w:after="0" w:line="37" w:lineRule="exact"/>
        <w:rPr>
          <w:rFonts w:ascii="Arial" w:cs="Arial" w:eastAsia="Arial" w:hAnsi="Arial"/>
          <w:sz w:val="14"/>
          <w:szCs w:val="14"/>
          <w:color w:val="auto"/>
        </w:rPr>
      </w:pPr>
    </w:p>
    <w:p>
      <w:pPr>
        <w:ind w:left="147" w:hanging="147"/>
        <w:spacing w:after="0"/>
        <w:tabs>
          <w:tab w:leader="none" w:pos="147" w:val="left"/>
        </w:tabs>
        <w:numPr>
          <w:ilvl w:val="0"/>
          <w:numId w:val="18"/>
        </w:numPr>
        <w:rPr>
          <w:rFonts w:ascii="Arial" w:cs="Arial" w:eastAsia="Arial" w:hAnsi="Arial"/>
          <w:sz w:val="14"/>
          <w:szCs w:val="14"/>
          <w:color w:val="7CBD3F"/>
        </w:rPr>
      </w:pPr>
      <w:r>
        <w:rPr>
          <w:rFonts w:ascii="Arial" w:cs="Arial" w:eastAsia="Arial" w:hAnsi="Arial"/>
          <w:sz w:val="14"/>
          <w:szCs w:val="14"/>
          <w:i w:val="1"/>
          <w:iCs w:val="1"/>
          <w:color w:val="auto"/>
        </w:rPr>
        <w:t>DTX301 for the treatment of Ornithine Transcarbamylase, or OTC, deficiency</w:t>
      </w:r>
    </w:p>
    <w:p>
      <w:pPr>
        <w:spacing w:after="0" w:line="81" w:lineRule="exact"/>
        <w:rPr>
          <w:rFonts w:ascii="Arial" w:cs="Arial" w:eastAsia="Arial" w:hAnsi="Arial"/>
          <w:sz w:val="14"/>
          <w:szCs w:val="14"/>
          <w:color w:val="7CBD3F"/>
        </w:rPr>
      </w:pPr>
    </w:p>
    <w:p>
      <w:pPr>
        <w:ind w:left="307" w:hanging="155"/>
        <w:spacing w:after="0"/>
        <w:tabs>
          <w:tab w:leader="none" w:pos="307" w:val="left"/>
        </w:tabs>
        <w:numPr>
          <w:ilvl w:val="1"/>
          <w:numId w:val="18"/>
        </w:numPr>
        <w:rPr>
          <w:rFonts w:ascii="Arial" w:cs="Arial" w:eastAsia="Arial" w:hAnsi="Arial"/>
          <w:sz w:val="14"/>
          <w:szCs w:val="14"/>
          <w:color w:val="auto"/>
        </w:rPr>
      </w:pPr>
      <w:r>
        <w:rPr>
          <w:rFonts w:ascii="Arial" w:cs="Arial" w:eastAsia="Arial" w:hAnsi="Arial"/>
          <w:sz w:val="14"/>
          <w:szCs w:val="14"/>
          <w:color w:val="auto"/>
        </w:rPr>
        <w:t>Continued enrollment of our Phase 3 study of DTX301.</w:t>
      </w:r>
    </w:p>
    <w:p>
      <w:pPr>
        <w:spacing w:after="0" w:line="201" w:lineRule="exact"/>
        <w:rPr>
          <w:sz w:val="20"/>
          <w:szCs w:val="20"/>
          <w:color w:val="auto"/>
        </w:rPr>
      </w:pPr>
    </w:p>
    <w:p>
      <w:pPr>
        <w:ind w:left="7"/>
        <w:spacing w:after="0"/>
        <w:rPr>
          <w:sz w:val="20"/>
          <w:szCs w:val="20"/>
          <w:color w:val="auto"/>
        </w:rPr>
      </w:pPr>
      <w:r>
        <w:rPr>
          <w:rFonts w:ascii="Arial" w:cs="Arial" w:eastAsia="Arial" w:hAnsi="Arial"/>
          <w:sz w:val="19"/>
          <w:szCs w:val="19"/>
          <w:b w:val="1"/>
          <w:bCs w:val="1"/>
          <w:color w:val="7CBD3F"/>
        </w:rPr>
        <w:t>Stockholder Outreach</w:t>
      </w:r>
    </w:p>
    <w:p>
      <w:pPr>
        <w:spacing w:after="0" w:line="208"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Stockholder Advisory Vote on Executive Compensation</w:t>
      </w:r>
    </w:p>
    <w:p>
      <w:pPr>
        <w:spacing w:after="0" w:line="158" w:lineRule="exact"/>
        <w:rPr>
          <w:sz w:val="20"/>
          <w:szCs w:val="20"/>
          <w:color w:val="auto"/>
        </w:rPr>
      </w:pPr>
    </w:p>
    <w:p>
      <w:pPr>
        <w:jc w:val="both"/>
        <w:ind w:left="7"/>
        <w:spacing w:after="0" w:line="252" w:lineRule="auto"/>
        <w:rPr>
          <w:sz w:val="20"/>
          <w:szCs w:val="20"/>
          <w:color w:val="auto"/>
        </w:rPr>
      </w:pPr>
      <w:r>
        <w:rPr>
          <w:rFonts w:ascii="Arial" w:cs="Arial" w:eastAsia="Arial" w:hAnsi="Arial"/>
          <w:sz w:val="14"/>
          <w:szCs w:val="14"/>
          <w:color w:val="auto"/>
        </w:rPr>
        <w:t>Each year, our stockholders are provided the opportunity to cast an advisory vote on the compensation of our named executive officers, or the “say-on-pay” vote, and the Compensation Committee considers the outcome of the prior year’s say-on-pay vote when making decisions relating to the compensation of our named executive officers and our executive compensation programs. We received 74% support for our say-on-pay proposal at our 2024 Annual Meeting. While this result reflects broad support of our compensation philosophy and pay practices, we were nevertheless disappointed by the outcome. In light of this result, we are continuing to engage with our stockholders as we have in prior years, reflecting our commitment to engagement, communication and transparency.</w:t>
      </w:r>
    </w:p>
    <w:p>
      <w:pPr>
        <w:spacing w:after="0" w:line="176"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Stockholder Engagement</w:t>
      </w:r>
    </w:p>
    <w:p>
      <w:pPr>
        <w:spacing w:after="0" w:line="158" w:lineRule="exact"/>
        <w:rPr>
          <w:sz w:val="20"/>
          <w:szCs w:val="20"/>
          <w:color w:val="auto"/>
        </w:rPr>
      </w:pPr>
    </w:p>
    <w:p>
      <w:pPr>
        <w:jc w:val="both"/>
        <w:ind w:left="7"/>
        <w:spacing w:after="0" w:line="247" w:lineRule="auto"/>
        <w:rPr>
          <w:sz w:val="20"/>
          <w:szCs w:val="20"/>
          <w:color w:val="auto"/>
        </w:rPr>
      </w:pPr>
      <w:r>
        <w:rPr>
          <w:rFonts w:ascii="Arial" w:cs="Arial" w:eastAsia="Arial" w:hAnsi="Arial"/>
          <w:sz w:val="14"/>
          <w:szCs w:val="14"/>
          <w:color w:val="auto"/>
        </w:rPr>
        <w:t>We regularly engage with our stockholders to solicit their feedback on a variety of topics, including our equity plan, executive compensation, corporate governance, corporate responsibility and other topics in order to gain a better understanding of their perspective on these issues. Stockholder feedback is important, and the information we glean from these engagements is highly valued. Stockholders also regularly meet with members of our senior management team to discuss our strategy and review our business, goals and performance. During our recent engagement season, we reached out to stockholders representing approximately 70% of our outstanding shares as of September 30, 2024, including almost all of our top 25 largest stockholders and met with those who responded to our engagement request, representing approximately 25% of our outstanding shares as of September 30, 2024. Participants at these meetings included our Chief Legal Officer, our Chief Human Resources Officer and Michael Narachi, an independent director and Chairperson of our Compensation Committee. Topics discussed during the meetings included our equity plan, executive compensation, corporate governance and sustainability matters. Our Board and management team reviewed and considered feedback received throughout our engagement activities and adopted certain changes in response to such feedback as described below.</w:t>
      </w:r>
    </w:p>
    <w:p>
      <w:pPr>
        <w:sectPr>
          <w:pgSz w:w="11900" w:h="16838" w:orient="portrait"/>
          <w:cols w:equalWidth="0" w:num="1">
            <w:col w:w="11267"/>
          </w:cols>
          <w:pgMar w:left="313" w:top="225" w:right="319" w:bottom="1440" w:gutter="0" w:footer="0" w:header="0"/>
        </w:sectPr>
      </w:pPr>
    </w:p>
    <w:p>
      <w:pPr>
        <w:spacing w:after="0" w:line="183"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Outcomes from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108585</wp:posOffset>
            </wp:positionV>
            <wp:extent cx="3427730" cy="16256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427730" cy="162560"/>
                    </a:xfrm>
                    <a:prstGeom prst="rect">
                      <a:avLst/>
                    </a:prstGeom>
                    <a:noFill/>
                  </pic:spPr>
                </pic:pic>
              </a:graphicData>
            </a:graphic>
          </wp:anchor>
        </w:drawing>
      </w:r>
    </w:p>
    <w:p>
      <w:pPr>
        <w:spacing w:after="0" w:line="185" w:lineRule="exact"/>
        <w:rPr>
          <w:sz w:val="20"/>
          <w:szCs w:val="20"/>
          <w:color w:val="auto"/>
        </w:rPr>
      </w:pPr>
    </w:p>
    <w:p>
      <w:pPr>
        <w:ind w:left="47"/>
        <w:spacing w:after="0"/>
        <w:rPr>
          <w:sz w:val="20"/>
          <w:szCs w:val="20"/>
          <w:color w:val="auto"/>
        </w:rPr>
      </w:pPr>
      <w:r>
        <w:rPr>
          <w:rFonts w:ascii="Arial" w:cs="Arial" w:eastAsia="Arial" w:hAnsi="Arial"/>
          <w:sz w:val="14"/>
          <w:szCs w:val="14"/>
          <w:b w:val="1"/>
          <w:bCs w:val="1"/>
          <w:color w:val="FFFFFF"/>
        </w:rPr>
        <w:t>Feedback Received</w:t>
      </w:r>
    </w:p>
    <w:p>
      <w:pPr>
        <w:spacing w:after="0" w:line="49" w:lineRule="exact"/>
        <w:rPr>
          <w:sz w:val="20"/>
          <w:szCs w:val="20"/>
          <w:color w:val="auto"/>
        </w:rPr>
      </w:pPr>
    </w:p>
    <w:p>
      <w:pPr>
        <w:ind w:left="47"/>
        <w:spacing w:after="0"/>
        <w:rPr>
          <w:sz w:val="20"/>
          <w:szCs w:val="20"/>
          <w:color w:val="auto"/>
        </w:rPr>
      </w:pPr>
      <w:r>
        <w:rPr>
          <w:rFonts w:ascii="Arial" w:cs="Arial" w:eastAsia="Arial" w:hAnsi="Arial"/>
          <w:sz w:val="13"/>
          <w:szCs w:val="13"/>
          <w:color w:val="auto"/>
        </w:rPr>
        <w:t>More of executive’s compensation should be based on performance and “at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7"/>
        <w:spacing w:after="0"/>
        <w:rPr>
          <w:sz w:val="20"/>
          <w:szCs w:val="20"/>
          <w:color w:val="auto"/>
        </w:rPr>
      </w:pPr>
      <w:r>
        <w:rPr>
          <w:rFonts w:ascii="Arial" w:cs="Arial" w:eastAsia="Arial" w:hAnsi="Arial"/>
          <w:sz w:val="14"/>
          <w:szCs w:val="14"/>
          <w:color w:val="auto"/>
        </w:rPr>
        <w:t>Greater transparency related to corporate goals and goals achievement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-100965</wp:posOffset>
            </wp:positionV>
            <wp:extent cx="3427730" cy="762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42773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475615</wp:posOffset>
            </wp:positionV>
            <wp:extent cx="3427730" cy="762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42773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4"/>
          <w:szCs w:val="14"/>
          <w:b w:val="1"/>
          <w:bCs w:val="1"/>
          <w:color w:val="FFFFFF"/>
        </w:rPr>
        <w:t>Action Taken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-123190</wp:posOffset>
            </wp:positionV>
            <wp:extent cx="3501390" cy="16256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501390" cy="162560"/>
                    </a:xfrm>
                    <a:prstGeom prst="rect">
                      <a:avLst/>
                    </a:prstGeom>
                    <a:noFill/>
                  </pic:spPr>
                </pic:pic>
              </a:graphicData>
            </a:graphic>
          </wp:anchor>
        </w:drawing>
      </w:r>
    </w:p>
    <w:p>
      <w:pPr>
        <w:spacing w:after="0" w:line="29" w:lineRule="exact"/>
        <w:rPr>
          <w:sz w:val="20"/>
          <w:szCs w:val="20"/>
          <w:color w:val="auto"/>
        </w:rPr>
      </w:pPr>
    </w:p>
    <w:p>
      <w:pPr>
        <w:ind w:right="80"/>
        <w:spacing w:after="0" w:line="255" w:lineRule="auto"/>
        <w:rPr>
          <w:sz w:val="20"/>
          <w:szCs w:val="20"/>
          <w:color w:val="auto"/>
        </w:rPr>
      </w:pPr>
      <w:r>
        <w:rPr>
          <w:rFonts w:ascii="Arial" w:cs="Arial" w:eastAsia="Arial" w:hAnsi="Arial"/>
          <w:sz w:val="14"/>
          <w:szCs w:val="14"/>
          <w:color w:val="auto"/>
        </w:rPr>
        <w:t>We have increased the percentage of PSUs from 33% to 50% for our executive officers (excluding our Chief Executive Officer) for the 2025 equity awards. For our Chief Executive Officer, we maintained the percentage of PSUs of 60% for 2024 and 2025 annual grants.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-426085</wp:posOffset>
            </wp:positionV>
            <wp:extent cx="177800" cy="1778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77800" cy="177800"/>
                    </a:xfrm>
                    <a:prstGeom prst="rect">
                      <a:avLst/>
                    </a:prstGeom>
                    <a:noFill/>
                  </pic:spPr>
                </pic:pic>
              </a:graphicData>
            </a:graphic>
          </wp:anchor>
        </w:drawing>
      </w:r>
    </w:p>
    <w:p>
      <w:pPr>
        <w:spacing w:after="0" w:line="30" w:lineRule="exact"/>
        <w:rPr>
          <w:sz w:val="20"/>
          <w:szCs w:val="20"/>
          <w:color w:val="auto"/>
        </w:rPr>
      </w:pPr>
    </w:p>
    <w:p>
      <w:pPr>
        <w:ind w:right="220"/>
        <w:spacing w:after="0" w:line="273" w:lineRule="auto"/>
        <w:rPr>
          <w:sz w:val="20"/>
          <w:szCs w:val="20"/>
          <w:color w:val="auto"/>
        </w:rPr>
      </w:pPr>
      <w:r>
        <w:rPr>
          <w:rFonts w:ascii="Arial" w:cs="Arial" w:eastAsia="Arial" w:hAnsi="Arial"/>
          <w:sz w:val="13"/>
          <w:szCs w:val="13"/>
          <w:color w:val="auto"/>
        </w:rPr>
        <w:t>We have also incorporated a “cap” on the portion of the PSUs subject to relative TSR performance for 2025 such that no more than the target number of PSUs may be earned if our absolute TSR is negative, regardless of our relative TSR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-4445</wp:posOffset>
            </wp:positionV>
            <wp:extent cx="3501390" cy="762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501390" cy="7620"/>
                    </a:xfrm>
                    <a:prstGeom prst="rect">
                      <a:avLst/>
                    </a:prstGeom>
                    <a:noFill/>
                  </pic:spPr>
                </pic:pic>
              </a:graphicData>
            </a:graphic>
          </wp:anchor>
        </w:drawing>
      </w:r>
    </w:p>
    <w:p>
      <w:pPr>
        <w:jc w:val="both"/>
        <w:ind w:right="380"/>
        <w:spacing w:after="0" w:line="263" w:lineRule="auto"/>
        <w:rPr>
          <w:sz w:val="20"/>
          <w:szCs w:val="20"/>
          <w:color w:val="auto"/>
        </w:rPr>
      </w:pPr>
      <w:r>
        <w:rPr>
          <w:rFonts w:ascii="Arial" w:cs="Arial" w:eastAsia="Arial" w:hAnsi="Arial"/>
          <w:sz w:val="14"/>
          <w:szCs w:val="14"/>
          <w:color w:val="auto"/>
        </w:rPr>
        <w:t>We have included a more detailed summary regarding our bonus program and the impact of corporate goals and individual goals achievements on the bonus payout.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-221615</wp:posOffset>
            </wp:positionV>
            <wp:extent cx="177800" cy="1778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77800" cy="177800"/>
                    </a:xfrm>
                    <a:prstGeom prst="rect">
                      <a:avLst/>
                    </a:prstGeom>
                    <a:noFill/>
                  </pic:spPr>
                </pic:pic>
              </a:graphicData>
            </a:graphic>
          </wp:anchor>
        </w:drawing>
      </w:r>
    </w:p>
    <w:p>
      <w:pPr>
        <w:spacing w:after="0" w:line="25" w:lineRule="exact"/>
        <w:rPr>
          <w:sz w:val="20"/>
          <w:szCs w:val="20"/>
          <w:color w:val="auto"/>
        </w:rPr>
      </w:pPr>
    </w:p>
    <w:p>
      <w:pPr>
        <w:jc w:val="both"/>
        <w:ind w:right="380"/>
        <w:spacing w:after="0" w:line="260" w:lineRule="auto"/>
        <w:rPr>
          <w:sz w:val="20"/>
          <w:szCs w:val="20"/>
          <w:color w:val="auto"/>
        </w:rPr>
      </w:pPr>
      <w:r>
        <w:rPr>
          <w:rFonts w:ascii="Arial" w:cs="Arial" w:eastAsia="Arial" w:hAnsi="Arial"/>
          <w:sz w:val="14"/>
          <w:szCs w:val="14"/>
          <w:color w:val="auto"/>
        </w:rPr>
        <w:t>We have also included additional detailed disclosure related to achievement of our corporate goals, including the achievement of each goal category. See the section below entitled “Annual Bonuses”.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-12700</wp:posOffset>
            </wp:positionV>
            <wp:extent cx="3501390" cy="762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501390" cy="7620"/>
                    </a:xfrm>
                    <a:prstGeom prst="rect">
                      <a:avLst/>
                    </a:prstGeom>
                    <a:noFill/>
                  </pic:spPr>
                </pic:pic>
              </a:graphicData>
            </a:graphic>
          </wp:anchor>
        </w:drawing>
      </w:r>
    </w:p>
    <w:p>
      <w:pPr>
        <w:spacing w:after="0" w:line="121"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221E1F"/>
        </w:rPr>
        <w:t xml:space="preserve">ULTRAGENYX PHARMACEUTICAL INC. </w:t>
      </w:r>
      <w:r>
        <w:rPr>
          <w:rFonts w:ascii="Arial" w:cs="Arial" w:eastAsia="Arial" w:hAnsi="Arial"/>
          <w:sz w:val="14"/>
          <w:szCs w:val="14"/>
          <w:color w:val="7BBD3E"/>
        </w:rPr>
        <w:t>•</w:t>
      </w:r>
      <w:r>
        <w:rPr>
          <w:rFonts w:ascii="Arial" w:cs="Arial" w:eastAsia="Arial" w:hAnsi="Arial"/>
          <w:sz w:val="14"/>
          <w:szCs w:val="14"/>
          <w:b w:val="1"/>
          <w:bCs w:val="1"/>
          <w:color w:val="221E1F"/>
        </w:rPr>
        <w:t xml:space="preserve"> </w:t>
      </w:r>
      <w:r>
        <w:rPr>
          <w:rFonts w:ascii="Arial" w:cs="Arial" w:eastAsia="Arial" w:hAnsi="Arial"/>
          <w:sz w:val="14"/>
          <w:szCs w:val="14"/>
          <w:color w:val="221E1F"/>
        </w:rPr>
        <w:t>2025 Proxy Statement</w:t>
      </w:r>
      <w:r>
        <w:rPr>
          <w:rFonts w:ascii="Arial" w:cs="Arial" w:eastAsia="Arial" w:hAnsi="Arial"/>
          <w:sz w:val="14"/>
          <w:szCs w:val="14"/>
          <w:b w:val="1"/>
          <w:bCs w:val="1"/>
          <w:color w:val="221E1F"/>
        </w:rPr>
        <w:tab/>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142240</wp:posOffset>
            </wp:positionV>
            <wp:extent cx="7150735"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0735" cy="29845"/>
                    </a:xfrm>
                    <a:prstGeom prst="rect">
                      <a:avLst/>
                    </a:prstGeom>
                    <a:noFill/>
                  </pic:spPr>
                </pic:pic>
              </a:graphicData>
            </a:graphic>
          </wp:anchor>
        </w:drawing>
      </w:r>
    </w:p>
    <w:p>
      <w:pPr>
        <w:sectPr>
          <w:pgSz w:w="11900" w:h="16838" w:orient="portrait"/>
          <w:cols w:equalWidth="0" w:num="2">
            <w:col w:w="5067" w:space="720"/>
            <w:col w:w="5480"/>
          </w:cols>
          <w:pgMar w:left="313" w:top="225" w:right="319" w:bottom="1440" w:gutter="0" w:footer="0" w:header="0"/>
          <w:type w:val="continuous"/>
        </w:sectPr>
      </w:pPr>
    </w:p>
    <w:bookmarkStart w:id="40" w:name="page41"/>
    <w:bookmarkEnd w:id="40"/>
    <w:p>
      <w:pPr>
        <w:spacing w:after="0"/>
        <w:rPr>
          <w:sz w:val="20"/>
          <w:szCs w:val="20"/>
          <w:color w:val="auto"/>
        </w:rPr>
      </w:pPr>
      <w:r>
        <w:rPr>
          <w:rFonts w:ascii="Arial" w:cs="Arial" w:eastAsia="Arial" w:hAnsi="Arial"/>
          <w:sz w:val="12"/>
          <w:szCs w:val="12"/>
          <w:b w:val="1"/>
          <w:bCs w:val="1"/>
          <w:u w:val="single" w:color="auto"/>
          <w:color w:val="0000EE"/>
        </w:rPr>
        <w:t>Back to Contents</w:t>
      </w:r>
    </w:p>
    <w:p>
      <w:pPr>
        <w:spacing w:after="0" w:line="138" w:lineRule="exact"/>
        <w:rPr>
          <w:sz w:val="20"/>
          <w:szCs w:val="20"/>
          <w:color w:val="auto"/>
        </w:rPr>
      </w:pPr>
    </w:p>
    <w:p>
      <w:pPr>
        <w:spacing w:after="0"/>
        <w:rPr>
          <w:sz w:val="20"/>
          <w:szCs w:val="20"/>
          <w:color w:val="auto"/>
        </w:rPr>
      </w:pPr>
      <w:r>
        <w:rPr>
          <w:rFonts w:ascii="Arial" w:cs="Arial" w:eastAsia="Arial" w:hAnsi="Arial"/>
          <w:sz w:val="19"/>
          <w:szCs w:val="19"/>
          <w:b w:val="1"/>
          <w:bCs w:val="1"/>
          <w:color w:val="7CBD3F"/>
        </w:rPr>
        <w:t>Compensation Highlights</w:t>
      </w:r>
    </w:p>
    <w:p>
      <w:pPr>
        <w:spacing w:after="0" w:line="212" w:lineRule="exact"/>
        <w:rPr>
          <w:sz w:val="20"/>
          <w:szCs w:val="20"/>
          <w:color w:val="auto"/>
        </w:rPr>
      </w:pPr>
    </w:p>
    <w:p>
      <w:pPr>
        <w:jc w:val="both"/>
        <w:ind w:right="20"/>
        <w:spacing w:after="0" w:line="260" w:lineRule="auto"/>
        <w:rPr>
          <w:sz w:val="20"/>
          <w:szCs w:val="20"/>
          <w:color w:val="auto"/>
        </w:rPr>
      </w:pPr>
      <w:r>
        <w:rPr>
          <w:rFonts w:ascii="Arial" w:cs="Arial" w:eastAsia="Arial" w:hAnsi="Arial"/>
          <w:sz w:val="14"/>
          <w:szCs w:val="14"/>
          <w:color w:val="auto"/>
        </w:rPr>
        <w:t>As described below under “Compensation Philosophy and Objectives”, our Compensation Committee believes that executive compensation should be directly linked to short-term and long-term performance and should result in long-term value creation for stockholders. A few of the key decisions made by the Compensation Committee aligned with such philosophy are as follows:</w:t>
      </w:r>
    </w:p>
    <w:p>
      <w:pPr>
        <w:spacing w:after="0" w:line="130" w:lineRule="exact"/>
        <w:rPr>
          <w:sz w:val="20"/>
          <w:szCs w:val="20"/>
          <w:color w:val="auto"/>
        </w:rPr>
      </w:pPr>
    </w:p>
    <w:p>
      <w:pPr>
        <w:jc w:val="both"/>
        <w:ind w:left="420" w:right="20" w:hanging="147"/>
        <w:spacing w:after="0" w:line="280" w:lineRule="auto"/>
        <w:tabs>
          <w:tab w:leader="none" w:pos="420" w:val="left"/>
        </w:tabs>
        <w:numPr>
          <w:ilvl w:val="0"/>
          <w:numId w:val="19"/>
        </w:numPr>
        <w:rPr>
          <w:rFonts w:ascii="Arial" w:cs="Arial" w:eastAsia="Arial" w:hAnsi="Arial"/>
          <w:sz w:val="13"/>
          <w:szCs w:val="13"/>
          <w:color w:val="4D4D4D"/>
        </w:rPr>
      </w:pPr>
      <w:r>
        <w:rPr>
          <w:rFonts w:ascii="Arial" w:cs="Arial" w:eastAsia="Arial" w:hAnsi="Arial"/>
          <w:sz w:val="13"/>
          <w:szCs w:val="13"/>
          <w:b w:val="1"/>
          <w:bCs w:val="1"/>
          <w:i w:val="1"/>
          <w:iCs w:val="1"/>
          <w:color w:val="auto"/>
        </w:rPr>
        <w:t xml:space="preserve">Modest (or no) base salary adjustments in 2024; no base salary increase for CEO in 2025: </w:t>
      </w:r>
      <w:r>
        <w:rPr>
          <w:rFonts w:ascii="Arial" w:cs="Arial" w:eastAsia="Arial" w:hAnsi="Arial"/>
          <w:sz w:val="13"/>
          <w:szCs w:val="13"/>
          <w:color w:val="auto"/>
        </w:rPr>
        <w:t>Base salary increases in 2024 were 4% for Dr. Kakkis, our Chief Executive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Officer, and 3% for each of Mr. Harris and Mr. Pinion. Mr. Horn who joined our company in October 2023 did not receive a base salary increase in 2024. Dr. Crombez received a base salary increase of 15% to align closer to the median for similar roles at peer companies. Salary increases were generally based on competitive market positioning and individual performance and were aligned to increases provided to all employees in good performance standing. In 2025, Dr. Kakkis opted not to receive a base salary increase.</w:t>
      </w:r>
    </w:p>
    <w:p>
      <w:pPr>
        <w:spacing w:after="0" w:line="118" w:lineRule="exact"/>
        <w:rPr>
          <w:rFonts w:ascii="Arial" w:cs="Arial" w:eastAsia="Arial" w:hAnsi="Arial"/>
          <w:sz w:val="13"/>
          <w:szCs w:val="13"/>
          <w:color w:val="4D4D4D"/>
        </w:rPr>
      </w:pPr>
    </w:p>
    <w:p>
      <w:pPr>
        <w:jc w:val="both"/>
        <w:ind w:left="420" w:hanging="147"/>
        <w:spacing w:after="0" w:line="255" w:lineRule="auto"/>
        <w:tabs>
          <w:tab w:leader="none" w:pos="420" w:val="left"/>
        </w:tabs>
        <w:numPr>
          <w:ilvl w:val="0"/>
          <w:numId w:val="19"/>
        </w:numPr>
        <w:rPr>
          <w:rFonts w:ascii="Arial" w:cs="Arial" w:eastAsia="Arial" w:hAnsi="Arial"/>
          <w:sz w:val="14"/>
          <w:szCs w:val="14"/>
          <w:color w:val="4D4D4D"/>
        </w:rPr>
      </w:pPr>
      <w:r>
        <w:rPr>
          <w:rFonts w:ascii="Arial" w:cs="Arial" w:eastAsia="Arial" w:hAnsi="Arial"/>
          <w:sz w:val="14"/>
          <w:szCs w:val="14"/>
          <w:b w:val="1"/>
          <w:bCs w:val="1"/>
          <w:i w:val="1"/>
          <w:iCs w:val="1"/>
          <w:color w:val="auto"/>
        </w:rPr>
        <w:t xml:space="preserve">Increasing emphasis on performance-based awards: </w:t>
      </w:r>
      <w:r>
        <w:rPr>
          <w:rFonts w:ascii="Arial" w:cs="Arial" w:eastAsia="Arial" w:hAnsi="Arial"/>
          <w:sz w:val="14"/>
          <w:szCs w:val="14"/>
          <w:color w:val="auto"/>
        </w:rPr>
        <w:t>We maintained our equity mix at one-third of each PSUs, RSUs and stock options for named executive officers other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than our Chief Executive Officer for 2024 annual grants but we increased the percentage of PSUs to 50% for the 2025 annual grant for our named executive officers (other than our Chief Executive Officer) without increasing the size of the pay package. For our Chief Executive Officer, PSUs were 60% of his annual grants in 2024 and 2025, consistent with the allocation implemented in 2023.</w:t>
      </w:r>
    </w:p>
    <w:p>
      <w:pPr>
        <w:spacing w:after="0" w:line="131" w:lineRule="exact"/>
        <w:rPr>
          <w:rFonts w:ascii="Arial" w:cs="Arial" w:eastAsia="Arial" w:hAnsi="Arial"/>
          <w:sz w:val="14"/>
          <w:szCs w:val="14"/>
          <w:color w:val="4D4D4D"/>
        </w:rPr>
      </w:pPr>
    </w:p>
    <w:p>
      <w:pPr>
        <w:ind w:left="420" w:right="20" w:hanging="147"/>
        <w:spacing w:after="0" w:line="278" w:lineRule="auto"/>
        <w:tabs>
          <w:tab w:leader="none" w:pos="420" w:val="left"/>
        </w:tabs>
        <w:numPr>
          <w:ilvl w:val="0"/>
          <w:numId w:val="19"/>
        </w:numPr>
        <w:rPr>
          <w:rFonts w:ascii="Arial" w:cs="Arial" w:eastAsia="Arial" w:hAnsi="Arial"/>
          <w:sz w:val="14"/>
          <w:szCs w:val="14"/>
          <w:color w:val="4D4D4D"/>
        </w:rPr>
      </w:pPr>
      <w:r>
        <w:rPr>
          <w:rFonts w:ascii="Arial" w:cs="Arial" w:eastAsia="Arial" w:hAnsi="Arial"/>
          <w:sz w:val="14"/>
          <w:szCs w:val="14"/>
          <w:b w:val="1"/>
          <w:bCs w:val="1"/>
          <w:i w:val="1"/>
          <w:iCs w:val="1"/>
          <w:color w:val="auto"/>
        </w:rPr>
        <w:t xml:space="preserve">Lengthening the time horizon for strategic performance portion of the PSUs: </w:t>
      </w:r>
      <w:r>
        <w:rPr>
          <w:rFonts w:ascii="Arial" w:cs="Arial" w:eastAsia="Arial" w:hAnsi="Arial"/>
          <w:sz w:val="14"/>
          <w:szCs w:val="14"/>
          <w:color w:val="auto"/>
        </w:rPr>
        <w:t>We lengthened the performance period for the strategic performance portion of the PSUs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from two years to three years and, in doing so, we will require sustained performance over a longer-term timeframe.</w:t>
      </w:r>
    </w:p>
    <w:p>
      <w:pPr>
        <w:spacing w:after="0" w:line="116" w:lineRule="exact"/>
        <w:rPr>
          <w:rFonts w:ascii="Arial" w:cs="Arial" w:eastAsia="Arial" w:hAnsi="Arial"/>
          <w:sz w:val="14"/>
          <w:szCs w:val="14"/>
          <w:color w:val="4D4D4D"/>
        </w:rPr>
      </w:pPr>
    </w:p>
    <w:p>
      <w:pPr>
        <w:ind w:left="420" w:right="20" w:hanging="147"/>
        <w:spacing w:after="0" w:line="278" w:lineRule="auto"/>
        <w:tabs>
          <w:tab w:leader="none" w:pos="420" w:val="left"/>
        </w:tabs>
        <w:numPr>
          <w:ilvl w:val="0"/>
          <w:numId w:val="19"/>
        </w:numPr>
        <w:rPr>
          <w:rFonts w:ascii="Arial" w:cs="Arial" w:eastAsia="Arial" w:hAnsi="Arial"/>
          <w:sz w:val="14"/>
          <w:szCs w:val="14"/>
          <w:color w:val="4D4D4D"/>
        </w:rPr>
      </w:pPr>
      <w:r>
        <w:rPr>
          <w:rFonts w:ascii="Arial" w:cs="Arial" w:eastAsia="Arial" w:hAnsi="Arial"/>
          <w:sz w:val="14"/>
          <w:szCs w:val="14"/>
          <w:b w:val="1"/>
          <w:bCs w:val="1"/>
          <w:i w:val="1"/>
          <w:iCs w:val="1"/>
          <w:color w:val="auto"/>
        </w:rPr>
        <w:t xml:space="preserve">Increasing emphasis on relative TSR portion and the strategic performance portion of PSU awards: </w:t>
      </w:r>
      <w:r>
        <w:rPr>
          <w:rFonts w:ascii="Arial" w:cs="Arial" w:eastAsia="Arial" w:hAnsi="Arial"/>
          <w:sz w:val="14"/>
          <w:szCs w:val="14"/>
          <w:color w:val="auto"/>
        </w:rPr>
        <w:t>We shifted the PSU award mix to 1/3 for each of the revenue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portion (decrease), strategic performance portion (increase), and relative TSR portion (increase) to add rigor and complexity to our PSU program.</w:t>
      </w:r>
    </w:p>
    <w:p>
      <w:pPr>
        <w:spacing w:after="0" w:line="116" w:lineRule="exact"/>
        <w:rPr>
          <w:rFonts w:ascii="Arial" w:cs="Arial" w:eastAsia="Arial" w:hAnsi="Arial"/>
          <w:sz w:val="14"/>
          <w:szCs w:val="14"/>
          <w:color w:val="4D4D4D"/>
        </w:rPr>
      </w:pPr>
    </w:p>
    <w:p>
      <w:pPr>
        <w:ind w:left="420" w:right="20" w:hanging="147"/>
        <w:spacing w:after="0" w:line="278" w:lineRule="auto"/>
        <w:tabs>
          <w:tab w:leader="none" w:pos="420" w:val="left"/>
        </w:tabs>
        <w:numPr>
          <w:ilvl w:val="0"/>
          <w:numId w:val="19"/>
        </w:numPr>
        <w:rPr>
          <w:rFonts w:ascii="Arial" w:cs="Arial" w:eastAsia="Arial" w:hAnsi="Arial"/>
          <w:sz w:val="14"/>
          <w:szCs w:val="14"/>
          <w:color w:val="4D4D4D"/>
        </w:rPr>
      </w:pPr>
      <w:r>
        <w:rPr>
          <w:rFonts w:ascii="Arial" w:cs="Arial" w:eastAsia="Arial" w:hAnsi="Arial"/>
          <w:sz w:val="14"/>
          <w:szCs w:val="14"/>
          <w:b w:val="1"/>
          <w:bCs w:val="1"/>
          <w:i w:val="1"/>
          <w:iCs w:val="1"/>
          <w:color w:val="auto"/>
        </w:rPr>
        <w:t xml:space="preserve">Further limit PSU upside: </w:t>
      </w:r>
      <w:r>
        <w:rPr>
          <w:rFonts w:ascii="Arial" w:cs="Arial" w:eastAsia="Arial" w:hAnsi="Arial"/>
          <w:sz w:val="14"/>
          <w:szCs w:val="14"/>
          <w:color w:val="auto"/>
        </w:rPr>
        <w:t>Beginning in 2025, the relative TSR portion of the PSUs is subject to a “cap” such that no more than the target number of PSUs may be earned if</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our absolute TSR is negative, regardless of our relative TSR performance.</w:t>
      </w:r>
    </w:p>
    <w:p>
      <w:pPr>
        <w:spacing w:after="0" w:line="116" w:lineRule="exact"/>
        <w:rPr>
          <w:rFonts w:ascii="Arial" w:cs="Arial" w:eastAsia="Arial" w:hAnsi="Arial"/>
          <w:sz w:val="14"/>
          <w:szCs w:val="14"/>
          <w:color w:val="4D4D4D"/>
        </w:rPr>
      </w:pPr>
    </w:p>
    <w:p>
      <w:pPr>
        <w:ind w:left="420" w:hanging="147"/>
        <w:spacing w:after="0"/>
        <w:tabs>
          <w:tab w:leader="none" w:pos="420" w:val="left"/>
        </w:tabs>
        <w:numPr>
          <w:ilvl w:val="0"/>
          <w:numId w:val="19"/>
        </w:numPr>
        <w:rPr>
          <w:rFonts w:ascii="Arial" w:cs="Arial" w:eastAsia="Arial" w:hAnsi="Arial"/>
          <w:sz w:val="14"/>
          <w:szCs w:val="14"/>
          <w:color w:val="4D4D4D"/>
        </w:rPr>
      </w:pPr>
      <w:r>
        <w:rPr>
          <w:rFonts w:ascii="Arial" w:cs="Arial" w:eastAsia="Arial" w:hAnsi="Arial"/>
          <w:sz w:val="14"/>
          <w:szCs w:val="14"/>
          <w:b w:val="1"/>
          <w:bCs w:val="1"/>
          <w:i w:val="1"/>
          <w:iCs w:val="1"/>
          <w:color w:val="auto"/>
        </w:rPr>
        <w:t xml:space="preserve">PSU payouts linked to performance: </w:t>
      </w:r>
      <w:r>
        <w:rPr>
          <w:rFonts w:ascii="Arial" w:cs="Arial" w:eastAsia="Arial" w:hAnsi="Arial"/>
          <w:sz w:val="14"/>
          <w:szCs w:val="14"/>
          <w:color w:val="auto"/>
        </w:rPr>
        <w:t>Our revenue portion of the 2023 PSUs paid out below target, at 74%.</w:t>
      </w:r>
    </w:p>
    <w:p>
      <w:pPr>
        <w:spacing w:after="0" w:line="165" w:lineRule="exact"/>
        <w:rPr>
          <w:rFonts w:ascii="Arial" w:cs="Arial" w:eastAsia="Arial" w:hAnsi="Arial"/>
          <w:sz w:val="14"/>
          <w:szCs w:val="14"/>
          <w:color w:val="4D4D4D"/>
        </w:rPr>
      </w:pPr>
    </w:p>
    <w:p>
      <w:pPr>
        <w:ind w:left="420" w:right="20" w:hanging="147"/>
        <w:spacing w:after="0" w:line="278" w:lineRule="auto"/>
        <w:tabs>
          <w:tab w:leader="none" w:pos="420" w:val="left"/>
        </w:tabs>
        <w:numPr>
          <w:ilvl w:val="0"/>
          <w:numId w:val="19"/>
        </w:numPr>
        <w:rPr>
          <w:rFonts w:ascii="Arial" w:cs="Arial" w:eastAsia="Arial" w:hAnsi="Arial"/>
          <w:sz w:val="14"/>
          <w:szCs w:val="14"/>
          <w:color w:val="4D4D4D"/>
        </w:rPr>
      </w:pPr>
      <w:r>
        <w:rPr>
          <w:rFonts w:ascii="Arial" w:cs="Arial" w:eastAsia="Arial" w:hAnsi="Arial"/>
          <w:sz w:val="14"/>
          <w:szCs w:val="14"/>
          <w:b w:val="1"/>
          <w:bCs w:val="1"/>
          <w:i w:val="1"/>
          <w:iCs w:val="1"/>
          <w:color w:val="auto"/>
        </w:rPr>
        <w:t xml:space="preserve">Pay mix is highly “at risk”: </w:t>
      </w:r>
      <w:r>
        <w:rPr>
          <w:rFonts w:ascii="Arial" w:cs="Arial" w:eastAsia="Arial" w:hAnsi="Arial"/>
          <w:sz w:val="14"/>
          <w:szCs w:val="14"/>
          <w:color w:val="auto"/>
        </w:rPr>
        <w:t>The percentage of pay that is “at risk” for our CEO and named executive officers is 94% and 85%, respectively, helping us align pay with</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1602105</wp:posOffset>
            </wp:positionH>
            <wp:positionV relativeFrom="paragraph">
              <wp:posOffset>81915</wp:posOffset>
            </wp:positionV>
            <wp:extent cx="3945890" cy="155448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945890" cy="1554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221E1F"/>
        </w:rPr>
        <w:t xml:space="preserve">ULTRAGENYX PHARMACEUTICAL INC. </w:t>
      </w:r>
      <w:r>
        <w:rPr>
          <w:rFonts w:ascii="Arial" w:cs="Arial" w:eastAsia="Arial" w:hAnsi="Arial"/>
          <w:sz w:val="14"/>
          <w:szCs w:val="14"/>
          <w:color w:val="7BBD3E"/>
        </w:rPr>
        <w:t>•</w:t>
      </w:r>
      <w:r>
        <w:rPr>
          <w:rFonts w:ascii="Arial" w:cs="Arial" w:eastAsia="Arial" w:hAnsi="Arial"/>
          <w:sz w:val="14"/>
          <w:szCs w:val="14"/>
          <w:b w:val="1"/>
          <w:bCs w:val="1"/>
          <w:color w:val="221E1F"/>
        </w:rPr>
        <w:t xml:space="preserve"> </w:t>
      </w:r>
      <w:r>
        <w:rPr>
          <w:rFonts w:ascii="Arial" w:cs="Arial" w:eastAsia="Arial" w:hAnsi="Arial"/>
          <w:sz w:val="14"/>
          <w:szCs w:val="14"/>
          <w:color w:val="221E1F"/>
        </w:rPr>
        <w:t>2025 Proxy Statement</w:t>
      </w:r>
      <w:r>
        <w:rPr>
          <w:rFonts w:ascii="Arial" w:cs="Arial" w:eastAsia="Arial" w:hAnsi="Arial"/>
          <w:sz w:val="14"/>
          <w:szCs w:val="14"/>
          <w:b w:val="1"/>
          <w:bCs w:val="1"/>
          <w:color w:val="221E1F"/>
        </w:rPr>
        <w:tab/>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142240</wp:posOffset>
            </wp:positionV>
            <wp:extent cx="7150735"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0735" cy="29845"/>
                    </a:xfrm>
                    <a:prstGeom prst="rect">
                      <a:avLst/>
                    </a:prstGeom>
                    <a:noFill/>
                  </pic:spPr>
                </pic:pic>
              </a:graphicData>
            </a:graphic>
          </wp:anchor>
        </w:drawing>
      </w:r>
    </w:p>
    <w:p>
      <w:pPr>
        <w:sectPr>
          <w:pgSz w:w="11900" w:h="16838" w:orient="portrait"/>
          <w:cols w:equalWidth="0" w:num="1">
            <w:col w:w="11260"/>
          </w:cols>
          <w:pgMar w:left="320" w:top="225" w:right="319" w:bottom="1440" w:gutter="0" w:footer="0" w:header="0"/>
        </w:sectPr>
      </w:pPr>
    </w:p>
    <w:bookmarkStart w:id="41" w:name="page42"/>
    <w:bookmarkEnd w:id="41"/>
    <w:p>
      <w:pPr>
        <w:ind w:left="7"/>
        <w:spacing w:after="0"/>
        <w:rPr>
          <w:sz w:val="20"/>
          <w:szCs w:val="20"/>
          <w:color w:val="auto"/>
        </w:rPr>
      </w:pPr>
      <w:r>
        <w:rPr>
          <w:rFonts w:ascii="Arial" w:cs="Arial" w:eastAsia="Arial" w:hAnsi="Arial"/>
          <w:sz w:val="12"/>
          <w:szCs w:val="12"/>
          <w:b w:val="1"/>
          <w:bCs w:val="1"/>
          <w:u w:val="single" w:color="auto"/>
          <w:color w:val="0000EE"/>
        </w:rPr>
        <w:t>Back to Contents</w:t>
      </w:r>
    </w:p>
    <w:p>
      <w:pPr>
        <w:spacing w:after="0" w:line="138" w:lineRule="exact"/>
        <w:rPr>
          <w:sz w:val="20"/>
          <w:szCs w:val="20"/>
          <w:color w:val="auto"/>
        </w:rPr>
      </w:pPr>
    </w:p>
    <w:p>
      <w:pPr>
        <w:ind w:left="7"/>
        <w:spacing w:after="0"/>
        <w:rPr>
          <w:sz w:val="20"/>
          <w:szCs w:val="20"/>
          <w:color w:val="auto"/>
        </w:rPr>
      </w:pPr>
      <w:r>
        <w:rPr>
          <w:rFonts w:ascii="Arial" w:cs="Arial" w:eastAsia="Arial" w:hAnsi="Arial"/>
          <w:sz w:val="19"/>
          <w:szCs w:val="19"/>
          <w:b w:val="1"/>
          <w:bCs w:val="1"/>
          <w:color w:val="7CBD3F"/>
        </w:rPr>
        <w:t>CEO Realizable Compensation</w:t>
      </w:r>
    </w:p>
    <w:p>
      <w:pPr>
        <w:spacing w:after="0" w:line="212" w:lineRule="exact"/>
        <w:rPr>
          <w:sz w:val="20"/>
          <w:szCs w:val="20"/>
          <w:color w:val="auto"/>
        </w:rPr>
      </w:pPr>
    </w:p>
    <w:p>
      <w:pPr>
        <w:jc w:val="both"/>
        <w:ind w:left="7" w:right="20"/>
        <w:spacing w:after="0" w:line="278" w:lineRule="auto"/>
        <w:rPr>
          <w:sz w:val="20"/>
          <w:szCs w:val="20"/>
          <w:color w:val="auto"/>
        </w:rPr>
      </w:pPr>
      <w:r>
        <w:rPr>
          <w:rFonts w:ascii="Arial" w:cs="Arial" w:eastAsia="Arial" w:hAnsi="Arial"/>
          <w:sz w:val="14"/>
          <w:szCs w:val="14"/>
          <w:color w:val="auto"/>
        </w:rPr>
        <w:t>To ensure ongoing alignment to the compensation philosophy, in 2024 our Compensation Committee evaluated the relationship between the target and realizable value of the compensation granted to our CEO from 2022 through 2024.</w:t>
      </w:r>
    </w:p>
    <w:p>
      <w:pPr>
        <w:spacing w:after="0" w:line="117" w:lineRule="exact"/>
        <w:rPr>
          <w:sz w:val="20"/>
          <w:szCs w:val="20"/>
          <w:color w:val="auto"/>
        </w:rPr>
      </w:pPr>
    </w:p>
    <w:p>
      <w:pPr>
        <w:jc w:val="both"/>
        <w:ind w:left="7"/>
        <w:spacing w:after="0" w:line="260" w:lineRule="auto"/>
        <w:rPr>
          <w:sz w:val="20"/>
          <w:szCs w:val="20"/>
          <w:color w:val="auto"/>
        </w:rPr>
      </w:pPr>
      <w:r>
        <w:rPr>
          <w:rFonts w:ascii="Arial" w:cs="Arial" w:eastAsia="Arial" w:hAnsi="Arial"/>
          <w:sz w:val="14"/>
          <w:szCs w:val="14"/>
          <w:color w:val="auto"/>
        </w:rPr>
        <w:t>The average realizable pay of our CEO over 2022 through 2024 is lower than the average target compensation for such three-year period, primarily as a result of the decrease in value of in-flight equity awards resulting from our stock performance as of the end of 2024 and the payouts from PSUs issued in 2022 and 2023 that paid out below target, as reflected in the following chart and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1621155</wp:posOffset>
            </wp:positionH>
            <wp:positionV relativeFrom="paragraph">
              <wp:posOffset>90170</wp:posOffset>
            </wp:positionV>
            <wp:extent cx="3908425" cy="2294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908425" cy="2294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87" w:hanging="287"/>
        <w:spacing w:after="0"/>
        <w:tabs>
          <w:tab w:leader="none" w:pos="287" w:val="left"/>
        </w:tabs>
        <w:numPr>
          <w:ilvl w:val="0"/>
          <w:numId w:val="20"/>
        </w:numPr>
        <w:rPr>
          <w:rFonts w:ascii="Arial" w:cs="Arial" w:eastAsia="Arial" w:hAnsi="Arial"/>
          <w:sz w:val="12"/>
          <w:szCs w:val="12"/>
          <w:color w:val="auto"/>
        </w:rPr>
      </w:pPr>
      <w:r>
        <w:rPr>
          <w:rFonts w:ascii="Arial" w:cs="Arial" w:eastAsia="Arial" w:hAnsi="Arial"/>
          <w:sz w:val="12"/>
          <w:szCs w:val="12"/>
          <w:color w:val="auto"/>
        </w:rPr>
        <w:t>Target value represents the base salary rate in effect in each year, target annual bonus, and the grant date fair value of long-term incentive awards (PSUs and RSUs).</w:t>
      </w:r>
    </w:p>
    <w:p>
      <w:pPr>
        <w:spacing w:after="0" w:line="48" w:lineRule="exact"/>
        <w:rPr>
          <w:rFonts w:ascii="Arial" w:cs="Arial" w:eastAsia="Arial" w:hAnsi="Arial"/>
          <w:sz w:val="12"/>
          <w:szCs w:val="12"/>
          <w:color w:val="auto"/>
        </w:rPr>
      </w:pPr>
    </w:p>
    <w:p>
      <w:pPr>
        <w:jc w:val="both"/>
        <w:ind w:left="287" w:hanging="287"/>
        <w:spacing w:after="0" w:line="258" w:lineRule="auto"/>
        <w:tabs>
          <w:tab w:leader="none" w:pos="287" w:val="left"/>
        </w:tabs>
        <w:numPr>
          <w:ilvl w:val="0"/>
          <w:numId w:val="20"/>
        </w:numPr>
        <w:rPr>
          <w:rFonts w:ascii="Arial" w:cs="Arial" w:eastAsia="Arial" w:hAnsi="Arial"/>
          <w:sz w:val="12"/>
          <w:szCs w:val="12"/>
          <w:color w:val="auto"/>
        </w:rPr>
      </w:pPr>
      <w:r>
        <w:rPr>
          <w:rFonts w:ascii="Arial" w:cs="Arial" w:eastAsia="Arial" w:hAnsi="Arial"/>
          <w:sz w:val="12"/>
          <w:szCs w:val="12"/>
          <w:color w:val="auto"/>
        </w:rPr>
        <w:t>Realizable value is calculated as the sum of the compensation deliverable in each year, including actual salary paid, annual bonus earned, and the value of long-term incentive plan components (PSUs, RSUs, and stock options) as valued on December 31, 2024 using our year-end stock price of $42.07 per share. The realizable value for PSUs granted in 2022 was adjusted to reflect the recent payout at 25% of target. The realizable value for PSUs granted in 2023 was adjusted to reflect recent payouts based on Revenue and Strategic performance, and the Relative TSR payout was assumed to be at 100% of target. The realizable value for PSUs granted in 2024 (for which the performance period has not ended) assumes payout at 100%.</w:t>
      </w:r>
    </w:p>
    <w:p>
      <w:pPr>
        <w:spacing w:after="0" w:line="160" w:lineRule="exact"/>
        <w:rPr>
          <w:sz w:val="20"/>
          <w:szCs w:val="20"/>
          <w:color w:val="auto"/>
        </w:rPr>
      </w:pPr>
    </w:p>
    <w:p>
      <w:pPr>
        <w:ind w:left="7"/>
        <w:spacing w:after="0"/>
        <w:rPr>
          <w:sz w:val="20"/>
          <w:szCs w:val="20"/>
          <w:color w:val="auto"/>
        </w:rPr>
      </w:pPr>
      <w:r>
        <w:rPr>
          <w:rFonts w:ascii="Arial" w:cs="Arial" w:eastAsia="Arial" w:hAnsi="Arial"/>
          <w:sz w:val="19"/>
          <w:szCs w:val="19"/>
          <w:b w:val="1"/>
          <w:bCs w:val="1"/>
          <w:color w:val="7CBD3F"/>
        </w:rPr>
        <w:t>Compensation Philosophy and Objectives</w:t>
      </w:r>
    </w:p>
    <w:p>
      <w:pPr>
        <w:spacing w:after="0" w:line="166" w:lineRule="exact"/>
        <w:rPr>
          <w:sz w:val="20"/>
          <w:szCs w:val="20"/>
          <w:color w:val="auto"/>
        </w:rPr>
      </w:pPr>
    </w:p>
    <w:p>
      <w:pPr>
        <w:jc w:val="both"/>
        <w:ind w:left="7"/>
        <w:spacing w:after="0" w:line="252" w:lineRule="auto"/>
        <w:rPr>
          <w:sz w:val="20"/>
          <w:szCs w:val="20"/>
          <w:color w:val="auto"/>
        </w:rPr>
      </w:pPr>
      <w:r>
        <w:rPr>
          <w:rFonts w:ascii="Arial" w:cs="Arial" w:eastAsia="Arial" w:hAnsi="Arial"/>
          <w:sz w:val="14"/>
          <w:szCs w:val="14"/>
          <w:color w:val="auto"/>
        </w:rPr>
        <w:t>Our philosophy in setting compensation policies for executive officers has two fundamental objectives: (1) to attract and retain a highly-skilled team of executives and (2) to align our executives’ interests with those of our stockholders by rewarding short-term and long-term performance and tying compensation to increases in stockholder value. The Compensation Committee believes that executive compensation should be directly linked to both continuous improvements in corporate performance (pay for performance) and accomplishments that are expected to increase stockholder value. In furtherance of this goal, the Compensation Committee has adhered to the following guidelines as a foundation for decisions that affect the levels of compensation:</w:t>
      </w:r>
    </w:p>
    <w:p>
      <w:pPr>
        <w:spacing w:after="0" w:line="134" w:lineRule="exact"/>
        <w:rPr>
          <w:sz w:val="20"/>
          <w:szCs w:val="20"/>
          <w:color w:val="auto"/>
        </w:rPr>
      </w:pPr>
    </w:p>
    <w:p>
      <w:pPr>
        <w:ind w:left="147" w:right="20" w:hanging="147"/>
        <w:spacing w:after="0" w:line="278" w:lineRule="auto"/>
        <w:tabs>
          <w:tab w:leader="none" w:pos="147" w:val="left"/>
        </w:tabs>
        <w:numPr>
          <w:ilvl w:val="0"/>
          <w:numId w:val="21"/>
        </w:numPr>
        <w:rPr>
          <w:rFonts w:ascii="Arial" w:cs="Arial" w:eastAsia="Arial" w:hAnsi="Arial"/>
          <w:sz w:val="14"/>
          <w:szCs w:val="14"/>
          <w:color w:val="7CBD3F"/>
        </w:rPr>
      </w:pPr>
      <w:r>
        <w:rPr>
          <w:rFonts w:ascii="Arial" w:cs="Arial" w:eastAsia="Arial" w:hAnsi="Arial"/>
          <w:sz w:val="14"/>
          <w:szCs w:val="14"/>
          <w:color w:val="auto"/>
        </w:rPr>
        <w:t>provide a competitive total compensation package that enables us to attract and retain highly qualified executives with the skills and experience required for the achievement of business goals;</w:t>
      </w:r>
    </w:p>
    <w:p>
      <w:pPr>
        <w:spacing w:after="0" w:line="35" w:lineRule="exact"/>
        <w:rPr>
          <w:rFonts w:ascii="Arial" w:cs="Arial" w:eastAsia="Arial" w:hAnsi="Arial"/>
          <w:sz w:val="14"/>
          <w:szCs w:val="14"/>
          <w:color w:val="7CBD3F"/>
        </w:rPr>
      </w:pPr>
    </w:p>
    <w:p>
      <w:pPr>
        <w:ind w:left="147" w:hanging="147"/>
        <w:spacing w:after="0"/>
        <w:tabs>
          <w:tab w:leader="none" w:pos="147" w:val="left"/>
        </w:tabs>
        <w:numPr>
          <w:ilvl w:val="0"/>
          <w:numId w:val="21"/>
        </w:numPr>
        <w:rPr>
          <w:rFonts w:ascii="Arial" w:cs="Arial" w:eastAsia="Arial" w:hAnsi="Arial"/>
          <w:sz w:val="14"/>
          <w:szCs w:val="14"/>
          <w:color w:val="7CBD3F"/>
        </w:rPr>
      </w:pPr>
      <w:r>
        <w:rPr>
          <w:rFonts w:ascii="Arial" w:cs="Arial" w:eastAsia="Arial" w:hAnsi="Arial"/>
          <w:sz w:val="14"/>
          <w:szCs w:val="14"/>
          <w:color w:val="auto"/>
        </w:rPr>
        <w:t>align compensation elements with our annual goals and long-term business strategies and objectives;</w:t>
      </w:r>
    </w:p>
    <w:p>
      <w:pPr>
        <w:spacing w:after="0" w:line="83" w:lineRule="exact"/>
        <w:rPr>
          <w:rFonts w:ascii="Arial" w:cs="Arial" w:eastAsia="Arial" w:hAnsi="Arial"/>
          <w:sz w:val="14"/>
          <w:szCs w:val="14"/>
          <w:color w:val="7CBD3F"/>
        </w:rPr>
      </w:pPr>
    </w:p>
    <w:p>
      <w:pPr>
        <w:ind w:left="147" w:hanging="147"/>
        <w:spacing w:after="0" w:line="278" w:lineRule="auto"/>
        <w:tabs>
          <w:tab w:leader="none" w:pos="147" w:val="left"/>
        </w:tabs>
        <w:numPr>
          <w:ilvl w:val="0"/>
          <w:numId w:val="21"/>
        </w:numPr>
        <w:rPr>
          <w:rFonts w:ascii="Arial" w:cs="Arial" w:eastAsia="Arial" w:hAnsi="Arial"/>
          <w:sz w:val="14"/>
          <w:szCs w:val="14"/>
          <w:color w:val="7CBD3F"/>
        </w:rPr>
      </w:pPr>
      <w:r>
        <w:rPr>
          <w:rFonts w:ascii="Arial" w:cs="Arial" w:eastAsia="Arial" w:hAnsi="Arial"/>
          <w:sz w:val="14"/>
          <w:szCs w:val="14"/>
          <w:color w:val="auto"/>
        </w:rPr>
        <w:t>promote the achievement of key strategic and financial performance measures by linking short-term and long-term cash and equity incentives to the achievement of measurable corporate and individual performance goals and objectives; and</w:t>
      </w:r>
    </w:p>
    <w:p>
      <w:pPr>
        <w:spacing w:after="0" w:line="35" w:lineRule="exact"/>
        <w:rPr>
          <w:rFonts w:ascii="Arial" w:cs="Arial" w:eastAsia="Arial" w:hAnsi="Arial"/>
          <w:sz w:val="14"/>
          <w:szCs w:val="14"/>
          <w:color w:val="7CBD3F"/>
        </w:rPr>
      </w:pPr>
    </w:p>
    <w:p>
      <w:pPr>
        <w:ind w:left="147" w:hanging="147"/>
        <w:spacing w:after="0"/>
        <w:tabs>
          <w:tab w:leader="none" w:pos="147" w:val="left"/>
        </w:tabs>
        <w:numPr>
          <w:ilvl w:val="0"/>
          <w:numId w:val="21"/>
        </w:numPr>
        <w:rPr>
          <w:rFonts w:ascii="Arial" w:cs="Arial" w:eastAsia="Arial" w:hAnsi="Arial"/>
          <w:sz w:val="14"/>
          <w:szCs w:val="14"/>
          <w:color w:val="7CBD3F"/>
        </w:rPr>
      </w:pPr>
      <w:r>
        <w:rPr>
          <w:rFonts w:ascii="Arial" w:cs="Arial" w:eastAsia="Arial" w:hAnsi="Arial"/>
          <w:sz w:val="14"/>
          <w:szCs w:val="14"/>
          <w:color w:val="auto"/>
        </w:rPr>
        <w:t>align executives’ incentives with the creation of stockholder value.</w:t>
      </w:r>
    </w:p>
    <w:p>
      <w:pPr>
        <w:spacing w:after="0" w:line="165" w:lineRule="exact"/>
        <w:rPr>
          <w:sz w:val="20"/>
          <w:szCs w:val="20"/>
          <w:color w:val="auto"/>
        </w:rPr>
      </w:pPr>
    </w:p>
    <w:p>
      <w:pPr>
        <w:jc w:val="both"/>
        <w:ind w:left="7"/>
        <w:spacing w:after="0" w:line="255" w:lineRule="auto"/>
        <w:rPr>
          <w:sz w:val="20"/>
          <w:szCs w:val="20"/>
          <w:color w:val="auto"/>
        </w:rPr>
      </w:pPr>
      <w:r>
        <w:rPr>
          <w:rFonts w:ascii="Arial" w:cs="Arial" w:eastAsia="Arial" w:hAnsi="Arial"/>
          <w:sz w:val="14"/>
          <w:szCs w:val="14"/>
          <w:color w:val="auto"/>
        </w:rPr>
        <w:t>The Compensation Committee has historically compensated executive officers with three primary compensation components: a base salary, an annual bonus opportunity, and equity-based compensation. The Compensation Committee believes that cash compensation in the form of base salary and an annual bonus opportunity provides our executive officers with short-term rewards for success in achieving annual goals and objectives, and that long-term compensation through the award of stock options, RSUs and PSUs aligns the objectives of management with those of our stockholders with respect to long-term performance and success of the Company.</w:t>
      </w:r>
    </w:p>
    <w:p>
      <w:pPr>
        <w:spacing w:after="0" w:line="132" w:lineRule="exact"/>
        <w:rPr>
          <w:sz w:val="20"/>
          <w:szCs w:val="20"/>
          <w:color w:val="auto"/>
        </w:rPr>
      </w:pPr>
    </w:p>
    <w:p>
      <w:pPr>
        <w:jc w:val="both"/>
        <w:ind w:left="7"/>
        <w:spacing w:after="0" w:line="255" w:lineRule="auto"/>
        <w:rPr>
          <w:sz w:val="20"/>
          <w:szCs w:val="20"/>
          <w:color w:val="auto"/>
        </w:rPr>
      </w:pPr>
      <w:r>
        <w:rPr>
          <w:rFonts w:ascii="Arial" w:cs="Arial" w:eastAsia="Arial" w:hAnsi="Arial"/>
          <w:sz w:val="14"/>
          <w:szCs w:val="14"/>
          <w:color w:val="auto"/>
        </w:rPr>
        <w:t>In setting compensation levels for our executive officers, the Compensation Committee does not formulaically benchmark against any one specific reference point. Instead, it considers a variety of factors, including peer group survey data, tenure, role, responsibilities, performance, and competitive market practices. Compensation paid to our named executive officers is delivered primarily through at-risk pay, based on both short-term and long-term incentives, including the achievement of corporate and individual goals and objectives.</w:t>
      </w:r>
    </w:p>
    <w:p>
      <w:pPr>
        <w:spacing w:after="0" w:line="132" w:lineRule="exact"/>
        <w:rPr>
          <w:sz w:val="20"/>
          <w:szCs w:val="20"/>
          <w:color w:val="auto"/>
        </w:rPr>
      </w:pPr>
    </w:p>
    <w:p>
      <w:pPr>
        <w:jc w:val="both"/>
        <w:ind w:left="7"/>
        <w:spacing w:after="0" w:line="278" w:lineRule="auto"/>
        <w:rPr>
          <w:sz w:val="20"/>
          <w:szCs w:val="20"/>
          <w:color w:val="auto"/>
        </w:rPr>
      </w:pPr>
      <w:r>
        <w:rPr>
          <w:rFonts w:ascii="Arial" w:cs="Arial" w:eastAsia="Arial" w:hAnsi="Arial"/>
          <w:sz w:val="14"/>
          <w:szCs w:val="14"/>
          <w:color w:val="auto"/>
        </w:rPr>
        <w:t>In addition to our compensation elements, the following compensation program features are designed to align our executive team’s interests with stockholder interests and market best practices.</w:t>
      </w:r>
    </w:p>
    <w:p>
      <w:pPr>
        <w:spacing w:after="0" w:line="117"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221E1F"/>
        </w:rPr>
        <w:t xml:space="preserve">ULTRAGENYX PHARMACEUTICAL INC. </w:t>
      </w:r>
      <w:r>
        <w:rPr>
          <w:rFonts w:ascii="Arial" w:cs="Arial" w:eastAsia="Arial" w:hAnsi="Arial"/>
          <w:sz w:val="14"/>
          <w:szCs w:val="14"/>
          <w:color w:val="7BBD3E"/>
        </w:rPr>
        <w:t>•</w:t>
      </w:r>
      <w:r>
        <w:rPr>
          <w:rFonts w:ascii="Arial" w:cs="Arial" w:eastAsia="Arial" w:hAnsi="Arial"/>
          <w:sz w:val="14"/>
          <w:szCs w:val="14"/>
          <w:b w:val="1"/>
          <w:bCs w:val="1"/>
          <w:color w:val="221E1F"/>
        </w:rPr>
        <w:t xml:space="preserve"> </w:t>
      </w:r>
      <w:r>
        <w:rPr>
          <w:rFonts w:ascii="Arial" w:cs="Arial" w:eastAsia="Arial" w:hAnsi="Arial"/>
          <w:sz w:val="14"/>
          <w:szCs w:val="14"/>
          <w:color w:val="221E1F"/>
        </w:rPr>
        <w:t>2025 Proxy Statement</w:t>
      </w:r>
      <w:r>
        <w:rPr>
          <w:rFonts w:ascii="Arial" w:cs="Arial" w:eastAsia="Arial" w:hAnsi="Arial"/>
          <w:sz w:val="14"/>
          <w:szCs w:val="14"/>
          <w:b w:val="1"/>
          <w:bCs w:val="1"/>
          <w:color w:val="221E1F"/>
        </w:rPr>
        <w:tab/>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150735"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0735" cy="29845"/>
                    </a:xfrm>
                    <a:prstGeom prst="rect">
                      <a:avLst/>
                    </a:prstGeom>
                    <a:noFill/>
                  </pic:spPr>
                </pic:pic>
              </a:graphicData>
            </a:graphic>
          </wp:anchor>
        </w:drawing>
      </w:r>
    </w:p>
    <w:p>
      <w:pPr>
        <w:sectPr>
          <w:pgSz w:w="11900" w:h="16838" w:orient="portrait"/>
          <w:cols w:equalWidth="0" w:num="1">
            <w:col w:w="11267"/>
          </w:cols>
          <w:pgMar w:left="313" w:top="225" w:right="319" w:bottom="1440" w:gutter="0" w:footer="0" w:header="0"/>
        </w:sectPr>
      </w:pPr>
    </w:p>
    <w:bookmarkStart w:id="42" w:name="page43"/>
    <w:bookmarkEnd w:id="42"/>
    <w:p>
      <w:pPr>
        <w:spacing w:after="0"/>
        <w:rPr>
          <w:sz w:val="20"/>
          <w:szCs w:val="20"/>
          <w:color w:val="auto"/>
        </w:rPr>
      </w:pPr>
      <w:r>
        <w:rPr>
          <w:rFonts w:ascii="Arial" w:cs="Arial" w:eastAsia="Arial" w:hAnsi="Arial"/>
          <w:sz w:val="12"/>
          <w:szCs w:val="12"/>
          <w:b w:val="1"/>
          <w:bCs w:val="1"/>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102235</wp:posOffset>
            </wp:positionV>
            <wp:extent cx="3472180" cy="16256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472180" cy="162560"/>
                    </a:xfrm>
                    <a:prstGeom prst="rect">
                      <a:avLst/>
                    </a:prstGeom>
                    <a:noFill/>
                  </pic:spPr>
                </pic:pic>
              </a:graphicData>
            </a:graphic>
          </wp:anchor>
        </w:drawing>
      </w:r>
    </w:p>
    <w:p>
      <w:pPr>
        <w:spacing w:after="0" w:line="17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FFFFFF"/>
        </w:rPr>
        <w:t>What 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46355</wp:posOffset>
            </wp:positionV>
            <wp:extent cx="3472180" cy="286512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472180" cy="2865120"/>
                    </a:xfrm>
                    <a:prstGeom prst="rect">
                      <a:avLst/>
                    </a:prstGeom>
                    <a:noFill/>
                  </pic:spPr>
                </pic:pic>
              </a:graphicData>
            </a:graphic>
          </wp:anchor>
        </w:drawing>
      </w:r>
    </w:p>
    <w:p>
      <w:pPr>
        <w:spacing w:after="0" w:line="6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Our Compensation Committee is comprised solely of independent directors.</w:t>
      </w:r>
    </w:p>
    <w:p>
      <w:pPr>
        <w:spacing w:after="0" w:line="224" w:lineRule="exact"/>
        <w:rPr>
          <w:sz w:val="20"/>
          <w:szCs w:val="20"/>
          <w:color w:val="auto"/>
        </w:rPr>
      </w:pPr>
    </w:p>
    <w:p>
      <w:pPr>
        <w:ind w:left="520" w:right="20"/>
        <w:spacing w:after="0" w:line="260" w:lineRule="auto"/>
        <w:rPr>
          <w:sz w:val="20"/>
          <w:szCs w:val="20"/>
          <w:color w:val="auto"/>
        </w:rPr>
      </w:pPr>
      <w:r>
        <w:rPr>
          <w:rFonts w:ascii="Arial" w:cs="Arial" w:eastAsia="Arial" w:hAnsi="Arial"/>
          <w:sz w:val="14"/>
          <w:szCs w:val="14"/>
          <w:color w:val="auto"/>
        </w:rPr>
        <w:t>Our Compensation Committee engages its own independent, external compensation consultant to assist the committee in its review of executive and director compensation practices.</w:t>
      </w:r>
    </w:p>
    <w:p>
      <w:pPr>
        <w:spacing w:after="0" w:line="2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We proactively engage with our stockholders throughout the year.</w:t>
      </w:r>
    </w:p>
    <w:p>
      <w:pPr>
        <w:spacing w:after="0" w:line="224" w:lineRule="exact"/>
        <w:rPr>
          <w:sz w:val="20"/>
          <w:szCs w:val="20"/>
          <w:color w:val="auto"/>
        </w:rPr>
      </w:pPr>
    </w:p>
    <w:p>
      <w:pPr>
        <w:ind w:left="520"/>
        <w:spacing w:after="0" w:line="255" w:lineRule="auto"/>
        <w:rPr>
          <w:sz w:val="20"/>
          <w:szCs w:val="20"/>
          <w:color w:val="auto"/>
        </w:rPr>
      </w:pPr>
      <w:r>
        <w:rPr>
          <w:rFonts w:ascii="Arial" w:cs="Arial" w:eastAsia="Arial" w:hAnsi="Arial"/>
          <w:sz w:val="14"/>
          <w:szCs w:val="14"/>
          <w:color w:val="auto"/>
        </w:rPr>
        <w:t>We have a clawback policy that permits recovery of all incentive compensation (including time-based and performance-based equity awards) in the event of fraud or intentional misconduct by our current or former executive officers; see “—Clawback Policy”.</w:t>
      </w:r>
    </w:p>
    <w:p>
      <w:pPr>
        <w:spacing w:after="0" w:line="27" w:lineRule="exact"/>
        <w:rPr>
          <w:sz w:val="20"/>
          <w:szCs w:val="20"/>
          <w:color w:val="auto"/>
        </w:rPr>
      </w:pPr>
    </w:p>
    <w:p>
      <w:pPr>
        <w:jc w:val="both"/>
        <w:ind w:left="520" w:right="80"/>
        <w:spacing w:after="0" w:line="260" w:lineRule="auto"/>
        <w:rPr>
          <w:sz w:val="20"/>
          <w:szCs w:val="20"/>
          <w:color w:val="auto"/>
        </w:rPr>
      </w:pPr>
      <w:r>
        <w:rPr>
          <w:rFonts w:ascii="Arial" w:cs="Arial" w:eastAsia="Arial" w:hAnsi="Arial"/>
          <w:sz w:val="14"/>
          <w:szCs w:val="14"/>
          <w:color w:val="auto"/>
        </w:rPr>
        <w:t>We require our executive officers and directors to hold shares of our common stock in order to align their long-term interests with those of our stockholders; see “—Minimum Stock Ownership Requirements”.</w:t>
      </w:r>
    </w:p>
    <w:p>
      <w:pPr>
        <w:spacing w:after="0" w:line="25" w:lineRule="exact"/>
        <w:rPr>
          <w:sz w:val="20"/>
          <w:szCs w:val="20"/>
          <w:color w:val="auto"/>
        </w:rPr>
      </w:pPr>
    </w:p>
    <w:p>
      <w:pPr>
        <w:ind w:left="520" w:right="60"/>
        <w:spacing w:after="0" w:line="255" w:lineRule="auto"/>
        <w:rPr>
          <w:sz w:val="20"/>
          <w:szCs w:val="20"/>
          <w:color w:val="auto"/>
        </w:rPr>
      </w:pPr>
      <w:r>
        <w:rPr>
          <w:rFonts w:ascii="Arial" w:cs="Arial" w:eastAsia="Arial" w:hAnsi="Arial"/>
          <w:sz w:val="14"/>
          <w:szCs w:val="14"/>
          <w:color w:val="auto"/>
        </w:rPr>
        <w:t>We have double-trigger vesting of outstanding equity awards following covered transactions under our employment arrangements with our executive officers. See “Summary Compensation Table—Narrative Disclosure to Summary Compensation Table—Covered Transaction”.</w:t>
      </w:r>
    </w:p>
    <w:p>
      <w:pPr>
        <w:spacing w:after="0" w:line="27" w:lineRule="exact"/>
        <w:rPr>
          <w:sz w:val="20"/>
          <w:szCs w:val="20"/>
          <w:color w:val="auto"/>
        </w:rPr>
      </w:pPr>
    </w:p>
    <w:p>
      <w:pPr>
        <w:ind w:left="520" w:right="160"/>
        <w:spacing w:after="0" w:line="252" w:lineRule="auto"/>
        <w:rPr>
          <w:sz w:val="20"/>
          <w:szCs w:val="20"/>
          <w:color w:val="auto"/>
        </w:rPr>
      </w:pPr>
      <w:r>
        <w:rPr>
          <w:rFonts w:ascii="Arial" w:cs="Arial" w:eastAsia="Arial" w:hAnsi="Arial"/>
          <w:sz w:val="14"/>
          <w:szCs w:val="14"/>
          <w:color w:val="auto"/>
        </w:rPr>
        <w:t>We have established a long-term incentive program applicable to all current employees, including our executive officers, to further tie compensation to performance and focus employee efforts on corporate goals and objectives; see “—Equity Compensation—Annual Equity Grants in Fiscal 2024” and “— Fiscal 2025 Compensation – Equity Grants.”</w:t>
      </w:r>
    </w:p>
    <w:p>
      <w:pPr>
        <w:spacing w:after="0" w:line="2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We hold an annual say-on-pay vote for stockholders.</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spacing w:after="0"/>
        <w:rPr>
          <w:sz w:val="20"/>
          <w:szCs w:val="20"/>
          <w:color w:val="auto"/>
        </w:rPr>
      </w:pPr>
      <w:r>
        <w:rPr>
          <w:rFonts w:ascii="Arial" w:cs="Arial" w:eastAsia="Arial" w:hAnsi="Arial"/>
          <w:sz w:val="14"/>
          <w:szCs w:val="14"/>
          <w:b w:val="1"/>
          <w:bCs w:val="1"/>
          <w:color w:val="FFFFFF"/>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-123190</wp:posOffset>
            </wp:positionV>
            <wp:extent cx="3479165" cy="225806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479165" cy="2258060"/>
                    </a:xfrm>
                    <a:prstGeom prst="rect">
                      <a:avLst/>
                    </a:prstGeom>
                    <a:noFill/>
                  </pic:spPr>
                </pic:pic>
              </a:graphicData>
            </a:graphic>
          </wp:anchor>
        </w:drawing>
      </w:r>
    </w:p>
    <w:p>
      <w:pPr>
        <w:spacing w:after="0" w:line="64" w:lineRule="exact"/>
        <w:rPr>
          <w:sz w:val="20"/>
          <w:szCs w:val="20"/>
          <w:color w:val="auto"/>
        </w:rPr>
      </w:pPr>
    </w:p>
    <w:p>
      <w:pPr>
        <w:ind w:left="480" w:right="440"/>
        <w:spacing w:after="0" w:line="278" w:lineRule="auto"/>
        <w:rPr>
          <w:sz w:val="20"/>
          <w:szCs w:val="20"/>
          <w:color w:val="auto"/>
        </w:rPr>
      </w:pPr>
      <w:r>
        <w:rPr>
          <w:rFonts w:ascii="Arial" w:cs="Arial" w:eastAsia="Arial" w:hAnsi="Arial"/>
          <w:sz w:val="14"/>
          <w:szCs w:val="14"/>
          <w:color w:val="auto"/>
        </w:rPr>
        <w:t>We do not offer any tax gross-up payments to our executive team for any change-of-control payments.</w:t>
      </w:r>
    </w:p>
    <w:p>
      <w:pPr>
        <w:spacing w:after="0" w:line="12" w:lineRule="exact"/>
        <w:rPr>
          <w:sz w:val="20"/>
          <w:szCs w:val="20"/>
          <w:color w:val="auto"/>
        </w:rPr>
      </w:pPr>
    </w:p>
    <w:p>
      <w:pPr>
        <w:ind w:left="480" w:right="480"/>
        <w:spacing w:after="0" w:line="278" w:lineRule="auto"/>
        <w:rPr>
          <w:sz w:val="20"/>
          <w:szCs w:val="20"/>
          <w:color w:val="auto"/>
        </w:rPr>
      </w:pPr>
      <w:r>
        <w:rPr>
          <w:rFonts w:ascii="Arial" w:cs="Arial" w:eastAsia="Arial" w:hAnsi="Arial"/>
          <w:sz w:val="14"/>
          <w:szCs w:val="14"/>
          <w:color w:val="auto"/>
        </w:rPr>
        <w:t>As discussed above under “—Corporate Governance”, we prohibit our employees, including our executive officers, from hedging our securities.</w:t>
      </w:r>
    </w:p>
    <w:p>
      <w:pPr>
        <w:spacing w:after="0" w:line="175" w:lineRule="exact"/>
        <w:rPr>
          <w:sz w:val="20"/>
          <w:szCs w:val="20"/>
          <w:color w:val="auto"/>
        </w:rPr>
      </w:pPr>
    </w:p>
    <w:p>
      <w:pPr>
        <w:ind w:left="480" w:right="280"/>
        <w:spacing w:after="0" w:line="278" w:lineRule="auto"/>
        <w:rPr>
          <w:sz w:val="20"/>
          <w:szCs w:val="20"/>
          <w:color w:val="auto"/>
        </w:rPr>
      </w:pPr>
      <w:r>
        <w:rPr>
          <w:rFonts w:ascii="Arial" w:cs="Arial" w:eastAsia="Arial" w:hAnsi="Arial"/>
          <w:sz w:val="14"/>
          <w:szCs w:val="14"/>
          <w:color w:val="auto"/>
        </w:rPr>
        <w:t>We prohibit our employees, including our executive team, from pledging our securities.</w:t>
      </w:r>
    </w:p>
    <w:p>
      <w:pPr>
        <w:spacing w:after="0" w:line="12" w:lineRule="exact"/>
        <w:rPr>
          <w:sz w:val="20"/>
          <w:szCs w:val="20"/>
          <w:color w:val="auto"/>
        </w:rPr>
      </w:pPr>
    </w:p>
    <w:p>
      <w:pPr>
        <w:ind w:left="480" w:right="360"/>
        <w:spacing w:after="0" w:line="278" w:lineRule="auto"/>
        <w:rPr>
          <w:sz w:val="20"/>
          <w:szCs w:val="20"/>
          <w:color w:val="auto"/>
        </w:rPr>
      </w:pPr>
      <w:r>
        <w:rPr>
          <w:rFonts w:ascii="Arial" w:cs="Arial" w:eastAsia="Arial" w:hAnsi="Arial"/>
          <w:sz w:val="14"/>
          <w:szCs w:val="14"/>
          <w:color w:val="auto"/>
        </w:rPr>
        <w:t>We do not offer our executive team any substantially enhanced benefits or perquisites when compared with our overall employee population.</w:t>
      </w:r>
    </w:p>
    <w:p>
      <w:pPr>
        <w:spacing w:after="0" w:line="338" w:lineRule="exact"/>
        <w:rPr>
          <w:sz w:val="20"/>
          <w:szCs w:val="20"/>
          <w:color w:val="auto"/>
        </w:rPr>
      </w:pPr>
    </w:p>
    <w:p>
      <w:pPr>
        <w:ind w:left="480" w:right="440"/>
        <w:spacing w:after="0" w:line="278" w:lineRule="auto"/>
        <w:rPr>
          <w:sz w:val="20"/>
          <w:szCs w:val="20"/>
          <w:color w:val="auto"/>
        </w:rPr>
      </w:pPr>
      <w:r>
        <w:rPr>
          <w:rFonts w:ascii="Arial" w:cs="Arial" w:eastAsia="Arial" w:hAnsi="Arial"/>
          <w:sz w:val="14"/>
          <w:szCs w:val="14"/>
          <w:color w:val="auto"/>
        </w:rPr>
        <w:t>We prohibit the repricing of outstanding stock options without stockholder approval.</w:t>
      </w:r>
    </w:p>
    <w:p>
      <w:pPr>
        <w:spacing w:after="0" w:line="175" w:lineRule="exact"/>
        <w:rPr>
          <w:sz w:val="20"/>
          <w:szCs w:val="20"/>
          <w:color w:val="auto"/>
        </w:rPr>
      </w:pPr>
    </w:p>
    <w:p>
      <w:pPr>
        <w:ind w:left="480"/>
        <w:spacing w:after="0"/>
        <w:rPr>
          <w:sz w:val="20"/>
          <w:szCs w:val="20"/>
          <w:color w:val="auto"/>
        </w:rPr>
      </w:pPr>
      <w:r>
        <w:rPr>
          <w:rFonts w:ascii="Arial" w:cs="Arial" w:eastAsia="Arial" w:hAnsi="Arial"/>
          <w:sz w:val="14"/>
          <w:szCs w:val="14"/>
          <w:color w:val="auto"/>
        </w:rPr>
        <w:t>The Second A&amp;R 2023 Plan does not include an “evergreen” feature.</w:t>
      </w:r>
    </w:p>
    <w:p>
      <w:pPr>
        <w:spacing w:after="0" w:line="1785" w:lineRule="exact"/>
        <w:rPr>
          <w:sz w:val="20"/>
          <w:szCs w:val="20"/>
          <w:color w:val="auto"/>
        </w:rPr>
      </w:pPr>
    </w:p>
    <w:p>
      <w:pPr>
        <w:sectPr>
          <w:pgSz w:w="11900" w:h="16838" w:orient="portrait"/>
          <w:cols w:equalWidth="0" w:num="2">
            <w:col w:w="5380" w:space="440"/>
            <w:col w:w="5440"/>
          </w:cols>
          <w:pgMar w:left="320" w:top="225" w:right="319" w:bottom="1440" w:gutter="0" w:footer="0" w:header="0"/>
        </w:sectPr>
      </w:pPr>
    </w:p>
    <w:p>
      <w:pPr>
        <w:spacing w:after="0" w:line="164" w:lineRule="exact"/>
        <w:rPr>
          <w:sz w:val="20"/>
          <w:szCs w:val="20"/>
          <w:color w:val="auto"/>
        </w:rPr>
      </w:pPr>
    </w:p>
    <w:p>
      <w:pPr>
        <w:spacing w:after="0"/>
        <w:rPr>
          <w:sz w:val="20"/>
          <w:szCs w:val="20"/>
          <w:color w:val="auto"/>
        </w:rPr>
      </w:pPr>
      <w:r>
        <w:rPr>
          <w:rFonts w:ascii="Arial" w:cs="Arial" w:eastAsia="Arial" w:hAnsi="Arial"/>
          <w:sz w:val="19"/>
          <w:szCs w:val="19"/>
          <w:b w:val="1"/>
          <w:bCs w:val="1"/>
          <w:color w:val="7CBD3F"/>
        </w:rPr>
        <w:t>Roles in Determining Compensation</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Compensation Committee</w:t>
      </w:r>
    </w:p>
    <w:p>
      <w:pPr>
        <w:spacing w:after="0" w:line="170" w:lineRule="exact"/>
        <w:rPr>
          <w:sz w:val="20"/>
          <w:szCs w:val="20"/>
          <w:color w:val="auto"/>
        </w:rPr>
      </w:pPr>
    </w:p>
    <w:p>
      <w:pPr>
        <w:jc w:val="both"/>
        <w:spacing w:after="0" w:line="247" w:lineRule="auto"/>
        <w:rPr>
          <w:sz w:val="20"/>
          <w:szCs w:val="20"/>
          <w:color w:val="auto"/>
        </w:rPr>
      </w:pPr>
      <w:r>
        <w:rPr>
          <w:rFonts w:ascii="Arial" w:cs="Arial" w:eastAsia="Arial" w:hAnsi="Arial"/>
          <w:sz w:val="14"/>
          <w:szCs w:val="14"/>
          <w:color w:val="auto"/>
        </w:rPr>
        <w:t>The Board has delegated to the Compensation Committee the responsibility to ensure that total compensation paid to our executive officers, including our named executive officers, is consistent with our compensation policy and objectives. The Compensation Committee oversees and approves all compensation arrangements and actions for our executive officers, including our named executive officers. While the Compensation Committee draws on a number of resources, including input from the Board, the Chief Executive Officer, and its independent compensation consultants, to make decisions regarding our executive compensation program, ultimate decision-making authority rests with the Compensation Committee. The Compensation Committee retains discretion over base salaries, annual bonuses, and equity compensation for executive officers. The Compensation Committee relies upon the judgment of its members in making compensation decisions, after reviewing our corporate performance and carefully evaluating an executive’s performance during the year against established goals, operational performance, and business responsibilities. In addition, the Compensation Committee utilizes discretion in the assessment process to respond to and adjust to a dynamic business environment. The Compensation Committee may delegate its authority to one or more subcommittees. The Compensation Committee may also delegate authority to review and approve the compensation of our employees to certain of our executive officers, including the grant of equity awards under the 2023 Plan (as amended and restated).</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Compensation Consultant</w:t>
      </w:r>
    </w:p>
    <w:p>
      <w:pPr>
        <w:spacing w:after="0" w:line="170" w:lineRule="exact"/>
        <w:rPr>
          <w:sz w:val="20"/>
          <w:szCs w:val="20"/>
          <w:color w:val="auto"/>
        </w:rPr>
      </w:pPr>
    </w:p>
    <w:p>
      <w:pPr>
        <w:jc w:val="both"/>
        <w:spacing w:after="0" w:line="250" w:lineRule="auto"/>
        <w:rPr>
          <w:sz w:val="20"/>
          <w:szCs w:val="20"/>
          <w:color w:val="auto"/>
        </w:rPr>
      </w:pPr>
      <w:r>
        <w:rPr>
          <w:rFonts w:ascii="Arial" w:cs="Arial" w:eastAsia="Arial" w:hAnsi="Arial"/>
          <w:sz w:val="14"/>
          <w:szCs w:val="14"/>
          <w:color w:val="auto"/>
        </w:rPr>
        <w:t>The Compensation Committee retains the services of an independent, external compensation consultant, Aon’s Human Capital Solutions Practice, a division of Aon plc (Aon). The mandate of the consultant is to assist the Compensation Committee in its review of executive and director compensation practices, including the competitiveness of pay levels, executive compensation design, benchmarking with our peers in the industry, and other technical considerations, including tax- and accounting-related matters. The Compensation Committee annually evaluates Aon’s performance and determines whether to engage Aon or another compensation consultant and has the final authority to engage and terminate Aon’s services. In 2024, the cost of Aon’s consulting services related to executive compensation, director compensation and equity plan design and considerations provided to the Compensation Committee was approximately $208,597. In</w:t>
      </w:r>
    </w:p>
    <w:p>
      <w:pPr>
        <w:spacing w:after="0" w:line="136"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221E1F"/>
        </w:rPr>
        <w:t xml:space="preserve">ULTRAGENYX PHARMACEUTICAL INC. </w:t>
      </w:r>
      <w:r>
        <w:rPr>
          <w:rFonts w:ascii="Arial" w:cs="Arial" w:eastAsia="Arial" w:hAnsi="Arial"/>
          <w:sz w:val="14"/>
          <w:szCs w:val="14"/>
          <w:color w:val="7BBD3E"/>
        </w:rPr>
        <w:t>•</w:t>
      </w:r>
      <w:r>
        <w:rPr>
          <w:rFonts w:ascii="Arial" w:cs="Arial" w:eastAsia="Arial" w:hAnsi="Arial"/>
          <w:sz w:val="14"/>
          <w:szCs w:val="14"/>
          <w:b w:val="1"/>
          <w:bCs w:val="1"/>
          <w:color w:val="221E1F"/>
        </w:rPr>
        <w:t xml:space="preserve"> </w:t>
      </w:r>
      <w:r>
        <w:rPr>
          <w:rFonts w:ascii="Arial" w:cs="Arial" w:eastAsia="Arial" w:hAnsi="Arial"/>
          <w:sz w:val="14"/>
          <w:szCs w:val="14"/>
          <w:color w:val="221E1F"/>
        </w:rPr>
        <w:t>2025 Proxy Statement</w:t>
      </w:r>
      <w:r>
        <w:rPr>
          <w:rFonts w:ascii="Arial" w:cs="Arial" w:eastAsia="Arial" w:hAnsi="Arial"/>
          <w:sz w:val="14"/>
          <w:szCs w:val="14"/>
          <w:b w:val="1"/>
          <w:bCs w:val="1"/>
          <w:color w:val="221E1F"/>
        </w:rPr>
        <w:tab/>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142240</wp:posOffset>
            </wp:positionV>
            <wp:extent cx="7150735"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0735" cy="29845"/>
                    </a:xfrm>
                    <a:prstGeom prst="rect">
                      <a:avLst/>
                    </a:prstGeom>
                    <a:noFill/>
                  </pic:spPr>
                </pic:pic>
              </a:graphicData>
            </a:graphic>
          </wp:anchor>
        </w:drawing>
      </w:r>
    </w:p>
    <w:p>
      <w:pPr>
        <w:sectPr>
          <w:pgSz w:w="11900" w:h="16838" w:orient="portrait"/>
          <w:cols w:equalWidth="0" w:num="1">
            <w:col w:w="11260"/>
          </w:cols>
          <w:pgMar w:left="320" w:top="225" w:right="319" w:bottom="1440" w:gutter="0" w:footer="0" w:header="0"/>
          <w:type w:val="continuous"/>
        </w:sectPr>
      </w:pPr>
    </w:p>
    <w:bookmarkStart w:id="43" w:name="page44"/>
    <w:bookmarkEnd w:id="43"/>
    <w:p>
      <w:pPr>
        <w:ind w:left="7"/>
        <w:spacing w:after="0"/>
        <w:rPr>
          <w:sz w:val="20"/>
          <w:szCs w:val="20"/>
          <w:color w:val="auto"/>
        </w:rPr>
      </w:pPr>
      <w:r>
        <w:rPr>
          <w:rFonts w:ascii="Arial" w:cs="Arial" w:eastAsia="Arial" w:hAnsi="Arial"/>
          <w:sz w:val="12"/>
          <w:szCs w:val="12"/>
          <w:b w:val="1"/>
          <w:bCs w:val="1"/>
          <w:u w:val="single" w:color="auto"/>
          <w:color w:val="0000EE"/>
        </w:rPr>
        <w:t>Back to Contents</w:t>
      </w:r>
    </w:p>
    <w:p>
      <w:pPr>
        <w:spacing w:after="0" w:line="149" w:lineRule="exact"/>
        <w:rPr>
          <w:sz w:val="20"/>
          <w:szCs w:val="20"/>
          <w:color w:val="auto"/>
        </w:rPr>
      </w:pPr>
    </w:p>
    <w:p>
      <w:pPr>
        <w:jc w:val="both"/>
        <w:ind w:left="7" w:right="20"/>
        <w:spacing w:after="0" w:line="278" w:lineRule="auto"/>
        <w:rPr>
          <w:sz w:val="20"/>
          <w:szCs w:val="20"/>
          <w:color w:val="auto"/>
        </w:rPr>
      </w:pPr>
      <w:r>
        <w:rPr>
          <w:rFonts w:ascii="Arial" w:cs="Arial" w:eastAsia="Arial" w:hAnsi="Arial"/>
          <w:sz w:val="14"/>
          <w:szCs w:val="14"/>
          <w:color w:val="auto"/>
        </w:rPr>
        <w:t>addition, in 2024, management also engaged Aon to provide survey data relating to broad-based compensation matters. The aggregate cost of the survey data provided by Aon in 2024 was approximately $33,205. No other consulting services were provided by Aon or its affiliates to the Company in 2024.</w:t>
      </w:r>
    </w:p>
    <w:p>
      <w:pPr>
        <w:spacing w:after="0" w:line="117" w:lineRule="exact"/>
        <w:rPr>
          <w:sz w:val="20"/>
          <w:szCs w:val="20"/>
          <w:color w:val="auto"/>
        </w:rPr>
      </w:pPr>
    </w:p>
    <w:p>
      <w:pPr>
        <w:jc w:val="both"/>
        <w:ind w:left="7" w:right="20"/>
        <w:spacing w:after="0" w:line="278" w:lineRule="auto"/>
        <w:rPr>
          <w:sz w:val="20"/>
          <w:szCs w:val="20"/>
          <w:color w:val="auto"/>
        </w:rPr>
      </w:pPr>
      <w:r>
        <w:rPr>
          <w:rFonts w:ascii="Arial" w:cs="Arial" w:eastAsia="Arial" w:hAnsi="Arial"/>
          <w:sz w:val="14"/>
          <w:szCs w:val="14"/>
          <w:color w:val="auto"/>
        </w:rPr>
        <w:t>Our Compensation Committee has assessed the independence of Aon consistent with Nasdaq listing standards and has concluded that the engagement of Aon does not raise any conflict of interest.</w:t>
      </w:r>
    </w:p>
    <w:p>
      <w:pPr>
        <w:spacing w:after="0" w:line="159"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Chief Executive Officer</w:t>
      </w:r>
    </w:p>
    <w:p>
      <w:pPr>
        <w:spacing w:after="0" w:line="170" w:lineRule="exact"/>
        <w:rPr>
          <w:sz w:val="20"/>
          <w:szCs w:val="20"/>
          <w:color w:val="auto"/>
        </w:rPr>
      </w:pPr>
    </w:p>
    <w:p>
      <w:pPr>
        <w:jc w:val="both"/>
        <w:ind w:left="7"/>
        <w:spacing w:after="0" w:line="250" w:lineRule="auto"/>
        <w:rPr>
          <w:sz w:val="20"/>
          <w:szCs w:val="20"/>
          <w:color w:val="auto"/>
        </w:rPr>
      </w:pPr>
      <w:r>
        <w:rPr>
          <w:rFonts w:ascii="Arial" w:cs="Arial" w:eastAsia="Arial" w:hAnsi="Arial"/>
          <w:sz w:val="14"/>
          <w:szCs w:val="14"/>
          <w:color w:val="auto"/>
        </w:rPr>
        <w:t>The Chief Executive Officer, and other executive officers, attends Compensation Committee meetings and works with the Compensation Committee Chairman and Aon to develop compensation recommendations for the executive officers (excluding the Chief Executive Officer), based upon individual experience and breadth of knowledge, internal considerations, individual performance during the fiscal year, competitive market considerations, and other factors deemed relevant by the Compensation Committee. The recommendations are then submitted to the Compensation Committee for review and consideration. The Compensation Committee works directly with Aon and the other non-employee directors of the Board to evaluate the performance of the Chief Executive Officer and determine compensation actions for the Chief Executive Officer, and the Chief Executive Officer does not participate in the portions of meetings in which his compensation is discussed and determined.</w:t>
      </w:r>
    </w:p>
    <w:p>
      <w:pPr>
        <w:spacing w:after="0" w:line="218" w:lineRule="exact"/>
        <w:rPr>
          <w:sz w:val="20"/>
          <w:szCs w:val="20"/>
          <w:color w:val="auto"/>
        </w:rPr>
      </w:pPr>
    </w:p>
    <w:p>
      <w:pPr>
        <w:ind w:left="7"/>
        <w:spacing w:after="0"/>
        <w:rPr>
          <w:sz w:val="20"/>
          <w:szCs w:val="20"/>
          <w:color w:val="auto"/>
        </w:rPr>
      </w:pPr>
      <w:r>
        <w:rPr>
          <w:rFonts w:ascii="Arial" w:cs="Arial" w:eastAsia="Arial" w:hAnsi="Arial"/>
          <w:sz w:val="19"/>
          <w:szCs w:val="19"/>
          <w:b w:val="1"/>
          <w:bCs w:val="1"/>
          <w:color w:val="7CBD3F"/>
        </w:rPr>
        <w:t>Defining and Comparing Compensation to Peer Group Benchmarks</w:t>
      </w:r>
    </w:p>
    <w:p>
      <w:pPr>
        <w:spacing w:after="0" w:line="212" w:lineRule="exact"/>
        <w:rPr>
          <w:sz w:val="20"/>
          <w:szCs w:val="20"/>
          <w:color w:val="auto"/>
        </w:rPr>
      </w:pPr>
    </w:p>
    <w:p>
      <w:pPr>
        <w:jc w:val="both"/>
        <w:ind w:left="7" w:right="20"/>
        <w:spacing w:after="0" w:line="268" w:lineRule="auto"/>
        <w:rPr>
          <w:sz w:val="20"/>
          <w:szCs w:val="20"/>
          <w:color w:val="auto"/>
        </w:rPr>
      </w:pPr>
      <w:r>
        <w:rPr>
          <w:rFonts w:ascii="Arial" w:cs="Arial" w:eastAsia="Arial" w:hAnsi="Arial"/>
          <w:sz w:val="13"/>
          <w:szCs w:val="13"/>
          <w:color w:val="auto"/>
        </w:rPr>
        <w:t>While we do not establish compensation levels based solely on benchmarking, pay practices at other companies are an important factor that the Compensation Committee considers in assessing the reasonableness of compensation and ensuring that our compensation practices are competitive in the marketplace. Market data is one element considered by the Compensation Committee when making executive compensation decisions, but the Compensation Committee does not set compensation levels based solely on market data. Rather,</w:t>
      </w:r>
    </w:p>
    <w:p>
      <w:pPr>
        <w:spacing w:after="0" w:line="1" w:lineRule="exact"/>
        <w:rPr>
          <w:sz w:val="20"/>
          <w:szCs w:val="20"/>
          <w:color w:val="auto"/>
        </w:rPr>
      </w:pPr>
    </w:p>
    <w:p>
      <w:pPr>
        <w:jc w:val="both"/>
        <w:ind w:left="7"/>
        <w:spacing w:after="0" w:line="218" w:lineRule="auto"/>
        <w:rPr>
          <w:sz w:val="20"/>
          <w:szCs w:val="20"/>
          <w:color w:val="auto"/>
        </w:rPr>
      </w:pPr>
      <w:r>
        <w:rPr>
          <w:rFonts w:ascii="Arial" w:cs="Arial" w:eastAsia="Arial" w:hAnsi="Arial"/>
          <w:sz w:val="14"/>
          <w:szCs w:val="14"/>
          <w:color w:val="auto"/>
        </w:rPr>
        <w:t>the Compensation Committee reviews the 25</w:t>
      </w:r>
      <w:r>
        <w:rPr>
          <w:rFonts w:ascii="Arial" w:cs="Arial" w:eastAsia="Arial" w:hAnsi="Arial"/>
          <w:sz w:val="23"/>
          <w:szCs w:val="23"/>
          <w:color w:val="auto"/>
          <w:vertAlign w:val="superscript"/>
        </w:rPr>
        <w:t>th</w:t>
      </w:r>
      <w:r>
        <w:rPr>
          <w:rFonts w:ascii="Arial" w:cs="Arial" w:eastAsia="Arial" w:hAnsi="Arial"/>
          <w:sz w:val="14"/>
          <w:szCs w:val="14"/>
          <w:color w:val="auto"/>
        </w:rPr>
        <w:t>, 50</w:t>
      </w:r>
      <w:r>
        <w:rPr>
          <w:rFonts w:ascii="Arial" w:cs="Arial" w:eastAsia="Arial" w:hAnsi="Arial"/>
          <w:sz w:val="23"/>
          <w:szCs w:val="23"/>
          <w:color w:val="auto"/>
          <w:vertAlign w:val="superscript"/>
        </w:rPr>
        <w:t>th</w:t>
      </w:r>
      <w:r>
        <w:rPr>
          <w:rFonts w:ascii="Arial" w:cs="Arial" w:eastAsia="Arial" w:hAnsi="Arial"/>
          <w:sz w:val="14"/>
          <w:szCs w:val="14"/>
          <w:color w:val="auto"/>
        </w:rPr>
        <w:t xml:space="preserve"> and 75</w:t>
      </w:r>
      <w:r>
        <w:rPr>
          <w:rFonts w:ascii="Arial" w:cs="Arial" w:eastAsia="Arial" w:hAnsi="Arial"/>
          <w:sz w:val="23"/>
          <w:szCs w:val="23"/>
          <w:color w:val="auto"/>
          <w:vertAlign w:val="superscript"/>
        </w:rPr>
        <w:t>th</w:t>
      </w:r>
      <w:r>
        <w:rPr>
          <w:rFonts w:ascii="Arial" w:cs="Arial" w:eastAsia="Arial" w:hAnsi="Arial"/>
          <w:sz w:val="14"/>
          <w:szCs w:val="14"/>
          <w:color w:val="auto"/>
        </w:rPr>
        <w:t xml:space="preserve"> percentiles of relevant market data as one frame of reference in making its executive compensation decisions. Final executive compensation decisions reflect a variety of factors, including each executive’s experience, performance rating, the relative importance of the executive’s role within the organization, as well as where each executive’s pay level falls relative to the market data.</w:t>
      </w:r>
    </w:p>
    <w:p>
      <w:pPr>
        <w:spacing w:after="0" w:line="143" w:lineRule="exact"/>
        <w:rPr>
          <w:sz w:val="20"/>
          <w:szCs w:val="20"/>
          <w:color w:val="auto"/>
        </w:rPr>
      </w:pPr>
    </w:p>
    <w:p>
      <w:pPr>
        <w:jc w:val="both"/>
        <w:ind w:left="7"/>
        <w:spacing w:after="0" w:line="278" w:lineRule="auto"/>
        <w:rPr>
          <w:sz w:val="20"/>
          <w:szCs w:val="20"/>
          <w:color w:val="auto"/>
        </w:rPr>
      </w:pPr>
      <w:r>
        <w:rPr>
          <w:rFonts w:ascii="Arial" w:cs="Arial" w:eastAsia="Arial" w:hAnsi="Arial"/>
          <w:sz w:val="14"/>
          <w:szCs w:val="14"/>
          <w:color w:val="auto"/>
        </w:rPr>
        <w:t>In order to evaluate the level of compensation for our named executive officers for 2024, our Compensation Committee, using information provided by Aon, established a peer group of publicly traded, national, and regional companies in the biopharmaceutical and biotechnology industries based on a balance of the following criteria:</w:t>
      </w:r>
    </w:p>
    <w:p>
      <w:pPr>
        <w:spacing w:after="0" w:line="117" w:lineRule="exact"/>
        <w:rPr>
          <w:sz w:val="20"/>
          <w:szCs w:val="20"/>
          <w:color w:val="auto"/>
        </w:rPr>
      </w:pPr>
    </w:p>
    <w:p>
      <w:pPr>
        <w:ind w:left="147" w:hanging="147"/>
        <w:spacing w:after="0"/>
        <w:tabs>
          <w:tab w:leader="none" w:pos="147" w:val="left"/>
        </w:tabs>
        <w:numPr>
          <w:ilvl w:val="0"/>
          <w:numId w:val="22"/>
        </w:numPr>
        <w:rPr>
          <w:rFonts w:ascii="Arial" w:cs="Arial" w:eastAsia="Arial" w:hAnsi="Arial"/>
          <w:sz w:val="14"/>
          <w:szCs w:val="14"/>
          <w:color w:val="7CBD3F"/>
        </w:rPr>
      </w:pPr>
      <w:r>
        <w:rPr>
          <w:rFonts w:ascii="Arial" w:cs="Arial" w:eastAsia="Arial" w:hAnsi="Arial"/>
          <w:sz w:val="14"/>
          <w:szCs w:val="14"/>
          <w:color w:val="auto"/>
        </w:rPr>
        <w:t>companies with emphasis on orphan pharmaceutical products;</w:t>
      </w:r>
    </w:p>
    <w:p>
      <w:pPr>
        <w:spacing w:after="0" w:line="83" w:lineRule="exact"/>
        <w:rPr>
          <w:rFonts w:ascii="Arial" w:cs="Arial" w:eastAsia="Arial" w:hAnsi="Arial"/>
          <w:sz w:val="14"/>
          <w:szCs w:val="14"/>
          <w:color w:val="7CBD3F"/>
        </w:rPr>
      </w:pPr>
    </w:p>
    <w:p>
      <w:pPr>
        <w:ind w:left="147" w:hanging="147"/>
        <w:spacing w:after="0"/>
        <w:tabs>
          <w:tab w:leader="none" w:pos="147" w:val="left"/>
        </w:tabs>
        <w:numPr>
          <w:ilvl w:val="0"/>
          <w:numId w:val="22"/>
        </w:numPr>
        <w:rPr>
          <w:rFonts w:ascii="Arial" w:cs="Arial" w:eastAsia="Arial" w:hAnsi="Arial"/>
          <w:sz w:val="14"/>
          <w:szCs w:val="14"/>
          <w:color w:val="7CBD3F"/>
        </w:rPr>
      </w:pPr>
      <w:r>
        <w:rPr>
          <w:rFonts w:ascii="Arial" w:cs="Arial" w:eastAsia="Arial" w:hAnsi="Arial"/>
          <w:sz w:val="14"/>
          <w:szCs w:val="14"/>
          <w:color w:val="auto"/>
        </w:rPr>
        <w:t>companies with comparable market capitalizations (i.e., in the range of $2 billion to $16 billion);</w:t>
      </w:r>
    </w:p>
    <w:p>
      <w:pPr>
        <w:spacing w:after="0" w:line="83" w:lineRule="exact"/>
        <w:rPr>
          <w:rFonts w:ascii="Arial" w:cs="Arial" w:eastAsia="Arial" w:hAnsi="Arial"/>
          <w:sz w:val="14"/>
          <w:szCs w:val="14"/>
          <w:color w:val="7CBD3F"/>
        </w:rPr>
      </w:pPr>
    </w:p>
    <w:p>
      <w:pPr>
        <w:ind w:left="147" w:hanging="147"/>
        <w:spacing w:after="0"/>
        <w:tabs>
          <w:tab w:leader="none" w:pos="147" w:val="left"/>
        </w:tabs>
        <w:numPr>
          <w:ilvl w:val="0"/>
          <w:numId w:val="22"/>
        </w:numPr>
        <w:rPr>
          <w:rFonts w:ascii="Arial" w:cs="Arial" w:eastAsia="Arial" w:hAnsi="Arial"/>
          <w:sz w:val="14"/>
          <w:szCs w:val="14"/>
          <w:color w:val="7CBD3F"/>
        </w:rPr>
      </w:pPr>
      <w:r>
        <w:rPr>
          <w:rFonts w:ascii="Arial" w:cs="Arial" w:eastAsia="Arial" w:hAnsi="Arial"/>
          <w:sz w:val="14"/>
          <w:szCs w:val="14"/>
          <w:color w:val="auto"/>
        </w:rPr>
        <w:t>companies with revenue of between $200 million and $1.4 billion; and</w:t>
      </w:r>
    </w:p>
    <w:p>
      <w:pPr>
        <w:spacing w:after="0" w:line="83" w:lineRule="exact"/>
        <w:rPr>
          <w:rFonts w:ascii="Arial" w:cs="Arial" w:eastAsia="Arial" w:hAnsi="Arial"/>
          <w:sz w:val="14"/>
          <w:szCs w:val="14"/>
          <w:color w:val="7CBD3F"/>
        </w:rPr>
      </w:pPr>
    </w:p>
    <w:p>
      <w:pPr>
        <w:ind w:left="147" w:hanging="147"/>
        <w:spacing w:after="0"/>
        <w:tabs>
          <w:tab w:leader="none" w:pos="147" w:val="left"/>
        </w:tabs>
        <w:numPr>
          <w:ilvl w:val="0"/>
          <w:numId w:val="22"/>
        </w:numPr>
        <w:rPr>
          <w:rFonts w:ascii="Arial" w:cs="Arial" w:eastAsia="Arial" w:hAnsi="Arial"/>
          <w:sz w:val="14"/>
          <w:szCs w:val="14"/>
          <w:color w:val="7CBD3F"/>
        </w:rPr>
      </w:pPr>
      <w:r>
        <w:rPr>
          <w:rFonts w:ascii="Arial" w:cs="Arial" w:eastAsia="Arial" w:hAnsi="Arial"/>
          <w:sz w:val="14"/>
          <w:szCs w:val="14"/>
          <w:color w:val="auto"/>
        </w:rPr>
        <w:t>companies with headcounts between 300 to 4,000 employees.</w:t>
      </w:r>
    </w:p>
    <w:p>
      <w:pPr>
        <w:spacing w:after="0" w:line="165" w:lineRule="exact"/>
        <w:rPr>
          <w:sz w:val="20"/>
          <w:szCs w:val="20"/>
          <w:color w:val="auto"/>
        </w:rPr>
      </w:pPr>
    </w:p>
    <w:p>
      <w:pPr>
        <w:jc w:val="both"/>
        <w:ind w:left="7"/>
        <w:spacing w:after="0" w:line="260" w:lineRule="auto"/>
        <w:rPr>
          <w:sz w:val="20"/>
          <w:szCs w:val="20"/>
          <w:color w:val="auto"/>
        </w:rPr>
      </w:pPr>
      <w:r>
        <w:rPr>
          <w:rFonts w:ascii="Arial" w:cs="Arial" w:eastAsia="Arial" w:hAnsi="Arial"/>
          <w:sz w:val="14"/>
          <w:szCs w:val="14"/>
          <w:color w:val="auto"/>
        </w:rPr>
        <w:t>Our 2024 peer group is comprised of the following 20 companies in the pharmaceutical and biotechnology industries, reflecting the removal of Alnylam Pharmaceuticals Inc., Biohaven Pharmaceutical Holding Company, Ltd., Global Blood Therapeutics, Inc. and United Therapeutics Corporation from our peer group used to evaluate compensation for our named executive officers in 2023 in order to add BridgeBio Pharma, Inc. Intra-Cellular Therapies Inc. and Sage Therapeutics, Inc. who our Compensation Committee determined better fit the balanced criteria described above.</w:t>
      </w:r>
    </w:p>
    <w:p>
      <w:pPr>
        <w:spacing w:after="0" w:line="169" w:lineRule="exact"/>
        <w:rPr>
          <w:sz w:val="20"/>
          <w:szCs w:val="20"/>
          <w:color w:val="auto"/>
        </w:rPr>
      </w:pPr>
    </w:p>
    <w:tbl>
      <w:tblPr>
        <w:tblLayout w:type="fixed"/>
        <w:tblInd w:w="7" w:type="dxa"/>
        <w:tblCellMar>
          <w:top w:w="0" w:type="dxa"/>
          <w:left w:w="0" w:type="dxa"/>
          <w:bottom w:w="0" w:type="dxa"/>
          <w:right w:w="0" w:type="dxa"/>
        </w:tblCellMar>
      </w:tblPr>
      <w:tr>
        <w:trPr>
          <w:trHeight w:val="187"/>
        </w:trPr>
        <w:tc>
          <w:tcPr>
            <w:tcW w:w="2920" w:type="dxa"/>
            <w:vAlign w:val="bottom"/>
            <w:tcBorders>
              <w:top w:val="single" w:sz="8" w:color="7CBD3F"/>
            </w:tcBorders>
          </w:tcPr>
          <w:p>
            <w:pPr>
              <w:ind w:left="40"/>
              <w:spacing w:after="0"/>
              <w:rPr>
                <w:sz w:val="20"/>
                <w:szCs w:val="20"/>
                <w:color w:val="auto"/>
              </w:rPr>
            </w:pPr>
            <w:r>
              <w:rPr>
                <w:rFonts w:ascii="Arial" w:cs="Arial" w:eastAsia="Arial" w:hAnsi="Arial"/>
                <w:sz w:val="14"/>
                <w:szCs w:val="14"/>
                <w:color w:val="auto"/>
              </w:rPr>
              <w:t>ACADIA Pharmaceuticals Inc.</w:t>
            </w:r>
          </w:p>
        </w:tc>
        <w:tc>
          <w:tcPr>
            <w:tcW w:w="3680" w:type="dxa"/>
            <w:vAlign w:val="bottom"/>
            <w:tcBorders>
              <w:top w:val="single" w:sz="8" w:color="7CBD3F"/>
            </w:tcBorders>
          </w:tcPr>
          <w:p>
            <w:pPr>
              <w:ind w:left="900"/>
              <w:spacing w:after="0"/>
              <w:rPr>
                <w:sz w:val="20"/>
                <w:szCs w:val="20"/>
                <w:color w:val="auto"/>
              </w:rPr>
            </w:pPr>
            <w:r>
              <w:rPr>
                <w:rFonts w:ascii="Arial" w:cs="Arial" w:eastAsia="Arial" w:hAnsi="Arial"/>
                <w:sz w:val="14"/>
                <w:szCs w:val="14"/>
                <w:color w:val="auto"/>
              </w:rPr>
              <w:t>BridgeBio Pharma, Inc.</w:t>
            </w:r>
          </w:p>
        </w:tc>
        <w:tc>
          <w:tcPr>
            <w:tcW w:w="4660" w:type="dxa"/>
            <w:vAlign w:val="bottom"/>
            <w:tcBorders>
              <w:top w:val="single" w:sz="8" w:color="7CBD3F"/>
            </w:tcBorders>
          </w:tcPr>
          <w:p>
            <w:pPr>
              <w:ind w:left="1060"/>
              <w:spacing w:after="0"/>
              <w:rPr>
                <w:sz w:val="20"/>
                <w:szCs w:val="20"/>
                <w:color w:val="auto"/>
              </w:rPr>
            </w:pPr>
            <w:r>
              <w:rPr>
                <w:rFonts w:ascii="Arial" w:cs="Arial" w:eastAsia="Arial" w:hAnsi="Arial"/>
                <w:sz w:val="14"/>
                <w:szCs w:val="14"/>
                <w:color w:val="auto"/>
              </w:rPr>
              <w:t>Ionis Pharmaceuticals, Inc.</w:t>
            </w:r>
          </w:p>
        </w:tc>
      </w:tr>
      <w:tr>
        <w:trPr>
          <w:trHeight w:val="163"/>
        </w:trPr>
        <w:tc>
          <w:tcPr>
            <w:tcW w:w="2920" w:type="dxa"/>
            <w:vAlign w:val="bottom"/>
            <w:shd w:val="clear" w:color="auto" w:fill="F0F7E7"/>
          </w:tcPr>
          <w:p>
            <w:pPr>
              <w:ind w:left="40"/>
              <w:spacing w:after="0"/>
              <w:rPr>
                <w:sz w:val="20"/>
                <w:szCs w:val="20"/>
                <w:color w:val="auto"/>
              </w:rPr>
            </w:pPr>
            <w:r>
              <w:rPr>
                <w:rFonts w:ascii="Arial" w:cs="Arial" w:eastAsia="Arial" w:hAnsi="Arial"/>
                <w:sz w:val="14"/>
                <w:szCs w:val="14"/>
                <w:color w:val="auto"/>
              </w:rPr>
              <w:t>Alkermes plc</w:t>
            </w:r>
          </w:p>
        </w:tc>
        <w:tc>
          <w:tcPr>
            <w:tcW w:w="3680" w:type="dxa"/>
            <w:vAlign w:val="bottom"/>
            <w:shd w:val="clear" w:color="auto" w:fill="F0F7E7"/>
          </w:tcPr>
          <w:p>
            <w:pPr>
              <w:ind w:left="900"/>
              <w:spacing w:after="0"/>
              <w:rPr>
                <w:sz w:val="20"/>
                <w:szCs w:val="20"/>
                <w:color w:val="auto"/>
              </w:rPr>
            </w:pPr>
            <w:r>
              <w:rPr>
                <w:rFonts w:ascii="Arial" w:cs="Arial" w:eastAsia="Arial" w:hAnsi="Arial"/>
                <w:sz w:val="14"/>
                <w:szCs w:val="14"/>
                <w:color w:val="auto"/>
              </w:rPr>
              <w:t>Corcept Therapeutics Inc.</w:t>
            </w:r>
          </w:p>
        </w:tc>
        <w:tc>
          <w:tcPr>
            <w:tcW w:w="4660" w:type="dxa"/>
            <w:vAlign w:val="bottom"/>
            <w:shd w:val="clear" w:color="auto" w:fill="F0F7E7"/>
          </w:tcPr>
          <w:p>
            <w:pPr>
              <w:ind w:left="1060"/>
              <w:spacing w:after="0"/>
              <w:rPr>
                <w:sz w:val="20"/>
                <w:szCs w:val="20"/>
                <w:color w:val="auto"/>
              </w:rPr>
            </w:pPr>
            <w:r>
              <w:rPr>
                <w:rFonts w:ascii="Arial" w:cs="Arial" w:eastAsia="Arial" w:hAnsi="Arial"/>
                <w:sz w:val="14"/>
                <w:szCs w:val="14"/>
                <w:color w:val="auto"/>
              </w:rPr>
              <w:t>Jazz Pharmaceuticals plc</w:t>
            </w:r>
          </w:p>
        </w:tc>
      </w:tr>
      <w:tr>
        <w:trPr>
          <w:trHeight w:val="163"/>
        </w:trPr>
        <w:tc>
          <w:tcPr>
            <w:tcW w:w="2920" w:type="dxa"/>
            <w:vAlign w:val="bottom"/>
          </w:tcPr>
          <w:p>
            <w:pPr>
              <w:ind w:left="40"/>
              <w:spacing w:after="0"/>
              <w:rPr>
                <w:sz w:val="20"/>
                <w:szCs w:val="20"/>
                <w:color w:val="auto"/>
              </w:rPr>
            </w:pPr>
            <w:r>
              <w:rPr>
                <w:rFonts w:ascii="Arial" w:cs="Arial" w:eastAsia="Arial" w:hAnsi="Arial"/>
                <w:sz w:val="14"/>
                <w:szCs w:val="14"/>
                <w:color w:val="auto"/>
              </w:rPr>
              <w:t>Amicus Therapeutics</w:t>
            </w:r>
          </w:p>
        </w:tc>
        <w:tc>
          <w:tcPr>
            <w:tcW w:w="3680" w:type="dxa"/>
            <w:vAlign w:val="bottom"/>
          </w:tcPr>
          <w:p>
            <w:pPr>
              <w:ind w:left="900"/>
              <w:spacing w:after="0"/>
              <w:rPr>
                <w:sz w:val="20"/>
                <w:szCs w:val="20"/>
                <w:color w:val="auto"/>
              </w:rPr>
            </w:pPr>
            <w:r>
              <w:rPr>
                <w:rFonts w:ascii="Arial" w:cs="Arial" w:eastAsia="Arial" w:hAnsi="Arial"/>
                <w:sz w:val="14"/>
                <w:szCs w:val="14"/>
                <w:color w:val="auto"/>
              </w:rPr>
              <w:t>Exelixis Inc.</w:t>
            </w:r>
          </w:p>
        </w:tc>
        <w:tc>
          <w:tcPr>
            <w:tcW w:w="4660" w:type="dxa"/>
            <w:vAlign w:val="bottom"/>
          </w:tcPr>
          <w:p>
            <w:pPr>
              <w:ind w:left="1060"/>
              <w:spacing w:after="0"/>
              <w:rPr>
                <w:sz w:val="20"/>
                <w:szCs w:val="20"/>
                <w:color w:val="auto"/>
              </w:rPr>
            </w:pPr>
            <w:r>
              <w:rPr>
                <w:rFonts w:ascii="Arial" w:cs="Arial" w:eastAsia="Arial" w:hAnsi="Arial"/>
                <w:sz w:val="14"/>
                <w:szCs w:val="14"/>
                <w:color w:val="auto"/>
              </w:rPr>
              <w:t>Neurocrine Biosciences, Inc.</w:t>
            </w:r>
          </w:p>
        </w:tc>
      </w:tr>
      <w:tr>
        <w:trPr>
          <w:trHeight w:val="163"/>
        </w:trPr>
        <w:tc>
          <w:tcPr>
            <w:tcW w:w="2920" w:type="dxa"/>
            <w:vAlign w:val="bottom"/>
            <w:shd w:val="clear" w:color="auto" w:fill="F0F7E7"/>
          </w:tcPr>
          <w:p>
            <w:pPr>
              <w:ind w:left="40"/>
              <w:spacing w:after="0"/>
              <w:rPr>
                <w:sz w:val="20"/>
                <w:szCs w:val="20"/>
                <w:color w:val="auto"/>
              </w:rPr>
            </w:pPr>
            <w:r>
              <w:rPr>
                <w:rFonts w:ascii="Arial" w:cs="Arial" w:eastAsia="Arial" w:hAnsi="Arial"/>
                <w:sz w:val="14"/>
                <w:szCs w:val="14"/>
                <w:color w:val="auto"/>
              </w:rPr>
              <w:t>Apellis Pharmaceuticals, Inc.</w:t>
            </w:r>
          </w:p>
        </w:tc>
        <w:tc>
          <w:tcPr>
            <w:tcW w:w="3680" w:type="dxa"/>
            <w:vAlign w:val="bottom"/>
            <w:shd w:val="clear" w:color="auto" w:fill="F0F7E7"/>
          </w:tcPr>
          <w:p>
            <w:pPr>
              <w:ind w:left="900"/>
              <w:spacing w:after="0"/>
              <w:rPr>
                <w:sz w:val="20"/>
                <w:szCs w:val="20"/>
                <w:color w:val="auto"/>
              </w:rPr>
            </w:pPr>
            <w:r>
              <w:rPr>
                <w:rFonts w:ascii="Arial" w:cs="Arial" w:eastAsia="Arial" w:hAnsi="Arial"/>
                <w:sz w:val="14"/>
                <w:szCs w:val="14"/>
                <w:color w:val="auto"/>
              </w:rPr>
              <w:t>FibroGen, Inc.</w:t>
            </w:r>
          </w:p>
        </w:tc>
        <w:tc>
          <w:tcPr>
            <w:tcW w:w="4660" w:type="dxa"/>
            <w:vAlign w:val="bottom"/>
            <w:shd w:val="clear" w:color="auto" w:fill="F0F7E7"/>
          </w:tcPr>
          <w:p>
            <w:pPr>
              <w:ind w:left="1060"/>
              <w:spacing w:after="0"/>
              <w:rPr>
                <w:sz w:val="20"/>
                <w:szCs w:val="20"/>
                <w:color w:val="auto"/>
              </w:rPr>
            </w:pPr>
            <w:r>
              <w:rPr>
                <w:rFonts w:ascii="Arial" w:cs="Arial" w:eastAsia="Arial" w:hAnsi="Arial"/>
                <w:sz w:val="14"/>
                <w:szCs w:val="14"/>
                <w:color w:val="auto"/>
              </w:rPr>
              <w:t>PTC Therapeutics, Inc.</w:t>
            </w:r>
          </w:p>
        </w:tc>
      </w:tr>
      <w:tr>
        <w:trPr>
          <w:trHeight w:val="163"/>
        </w:trPr>
        <w:tc>
          <w:tcPr>
            <w:tcW w:w="2920" w:type="dxa"/>
            <w:vAlign w:val="bottom"/>
          </w:tcPr>
          <w:p>
            <w:pPr>
              <w:ind w:left="40"/>
              <w:spacing w:after="0"/>
              <w:rPr>
                <w:sz w:val="20"/>
                <w:szCs w:val="20"/>
                <w:color w:val="auto"/>
              </w:rPr>
            </w:pPr>
            <w:r>
              <w:rPr>
                <w:rFonts w:ascii="Arial" w:cs="Arial" w:eastAsia="Arial" w:hAnsi="Arial"/>
                <w:sz w:val="14"/>
                <w:szCs w:val="14"/>
                <w:color w:val="auto"/>
              </w:rPr>
              <w:t>BioCryst Pharmaceuticals, Inc.</w:t>
            </w:r>
          </w:p>
        </w:tc>
        <w:tc>
          <w:tcPr>
            <w:tcW w:w="3680" w:type="dxa"/>
            <w:vAlign w:val="bottom"/>
          </w:tcPr>
          <w:p>
            <w:pPr>
              <w:ind w:left="900"/>
              <w:spacing w:after="0"/>
              <w:rPr>
                <w:sz w:val="20"/>
                <w:szCs w:val="20"/>
                <w:color w:val="auto"/>
              </w:rPr>
            </w:pPr>
            <w:r>
              <w:rPr>
                <w:rFonts w:ascii="Arial" w:cs="Arial" w:eastAsia="Arial" w:hAnsi="Arial"/>
                <w:sz w:val="14"/>
                <w:szCs w:val="14"/>
                <w:color w:val="auto"/>
              </w:rPr>
              <w:t>Halozyme Therapeutics</w:t>
            </w:r>
          </w:p>
        </w:tc>
        <w:tc>
          <w:tcPr>
            <w:tcW w:w="4660" w:type="dxa"/>
            <w:vAlign w:val="bottom"/>
          </w:tcPr>
          <w:p>
            <w:pPr>
              <w:ind w:left="1060"/>
              <w:spacing w:after="0"/>
              <w:rPr>
                <w:sz w:val="20"/>
                <w:szCs w:val="20"/>
                <w:color w:val="auto"/>
              </w:rPr>
            </w:pPr>
            <w:r>
              <w:rPr>
                <w:rFonts w:ascii="Arial" w:cs="Arial" w:eastAsia="Arial" w:hAnsi="Arial"/>
                <w:sz w:val="14"/>
                <w:szCs w:val="14"/>
                <w:color w:val="auto"/>
              </w:rPr>
              <w:t>Sage Therapeutics, Inc.</w:t>
            </w:r>
          </w:p>
        </w:tc>
      </w:tr>
      <w:tr>
        <w:trPr>
          <w:trHeight w:val="163"/>
        </w:trPr>
        <w:tc>
          <w:tcPr>
            <w:tcW w:w="2920" w:type="dxa"/>
            <w:vAlign w:val="bottom"/>
            <w:shd w:val="clear" w:color="auto" w:fill="F0F7E7"/>
          </w:tcPr>
          <w:p>
            <w:pPr>
              <w:ind w:left="40"/>
              <w:spacing w:after="0"/>
              <w:rPr>
                <w:sz w:val="20"/>
                <w:szCs w:val="20"/>
                <w:color w:val="auto"/>
              </w:rPr>
            </w:pPr>
            <w:r>
              <w:rPr>
                <w:rFonts w:ascii="Arial" w:cs="Arial" w:eastAsia="Arial" w:hAnsi="Arial"/>
                <w:sz w:val="14"/>
                <w:szCs w:val="14"/>
                <w:color w:val="auto"/>
              </w:rPr>
              <w:t>BioMarin Pharmaceutical Inc.</w:t>
            </w:r>
          </w:p>
        </w:tc>
        <w:tc>
          <w:tcPr>
            <w:tcW w:w="3680" w:type="dxa"/>
            <w:vAlign w:val="bottom"/>
            <w:shd w:val="clear" w:color="auto" w:fill="F0F7E7"/>
          </w:tcPr>
          <w:p>
            <w:pPr>
              <w:ind w:left="900"/>
              <w:spacing w:after="0"/>
              <w:rPr>
                <w:sz w:val="20"/>
                <w:szCs w:val="20"/>
                <w:color w:val="auto"/>
              </w:rPr>
            </w:pPr>
            <w:r>
              <w:rPr>
                <w:rFonts w:ascii="Arial" w:cs="Arial" w:eastAsia="Arial" w:hAnsi="Arial"/>
                <w:sz w:val="14"/>
                <w:szCs w:val="14"/>
                <w:color w:val="auto"/>
              </w:rPr>
              <w:t>Insmed Incorporated</w:t>
            </w:r>
          </w:p>
        </w:tc>
        <w:tc>
          <w:tcPr>
            <w:tcW w:w="4660" w:type="dxa"/>
            <w:vAlign w:val="bottom"/>
            <w:shd w:val="clear" w:color="auto" w:fill="F0F7E7"/>
          </w:tcPr>
          <w:p>
            <w:pPr>
              <w:ind w:left="1060"/>
              <w:spacing w:after="0"/>
              <w:rPr>
                <w:sz w:val="20"/>
                <w:szCs w:val="20"/>
                <w:color w:val="auto"/>
              </w:rPr>
            </w:pPr>
            <w:r>
              <w:rPr>
                <w:rFonts w:ascii="Arial" w:cs="Arial" w:eastAsia="Arial" w:hAnsi="Arial"/>
                <w:sz w:val="14"/>
                <w:szCs w:val="14"/>
                <w:color w:val="auto"/>
              </w:rPr>
              <w:t>Sarepta Therapeutics, Inc.</w:t>
            </w:r>
          </w:p>
        </w:tc>
      </w:tr>
      <w:tr>
        <w:trPr>
          <w:trHeight w:val="167"/>
        </w:trPr>
        <w:tc>
          <w:tcPr>
            <w:tcW w:w="2920" w:type="dxa"/>
            <w:vAlign w:val="bottom"/>
            <w:tcBorders>
              <w:bottom w:val="single" w:sz="8" w:color="7CBD3F"/>
            </w:tcBorders>
          </w:tcPr>
          <w:p>
            <w:pPr>
              <w:ind w:left="40"/>
              <w:spacing w:after="0"/>
              <w:rPr>
                <w:sz w:val="20"/>
                <w:szCs w:val="20"/>
                <w:color w:val="auto"/>
              </w:rPr>
            </w:pPr>
            <w:r>
              <w:rPr>
                <w:rFonts w:ascii="Arial" w:cs="Arial" w:eastAsia="Arial" w:hAnsi="Arial"/>
                <w:sz w:val="14"/>
                <w:szCs w:val="14"/>
                <w:color w:val="auto"/>
              </w:rPr>
              <w:t>Blueprint Medicines Corporation</w:t>
            </w:r>
          </w:p>
        </w:tc>
        <w:tc>
          <w:tcPr>
            <w:tcW w:w="3680" w:type="dxa"/>
            <w:vAlign w:val="bottom"/>
            <w:tcBorders>
              <w:bottom w:val="single" w:sz="8" w:color="7CBD3F"/>
            </w:tcBorders>
          </w:tcPr>
          <w:p>
            <w:pPr>
              <w:ind w:left="900"/>
              <w:spacing w:after="0"/>
              <w:rPr>
                <w:sz w:val="20"/>
                <w:szCs w:val="20"/>
                <w:color w:val="auto"/>
              </w:rPr>
            </w:pPr>
            <w:r>
              <w:rPr>
                <w:rFonts w:ascii="Arial" w:cs="Arial" w:eastAsia="Arial" w:hAnsi="Arial"/>
                <w:sz w:val="14"/>
                <w:szCs w:val="14"/>
                <w:color w:val="auto"/>
              </w:rPr>
              <w:t>Intra-Cellular Therapies Inc.</w:t>
            </w:r>
          </w:p>
        </w:tc>
        <w:tc>
          <w:tcPr>
            <w:tcW w:w="4660" w:type="dxa"/>
            <w:vAlign w:val="bottom"/>
            <w:tcBorders>
              <w:bottom w:val="single" w:sz="8" w:color="7CBD3F"/>
            </w:tcBorders>
          </w:tcPr>
          <w:p>
            <w:pPr>
              <w:spacing w:after="0"/>
              <w:rPr>
                <w:sz w:val="14"/>
                <w:szCs w:val="14"/>
                <w:color w:val="auto"/>
              </w:rPr>
            </w:pPr>
          </w:p>
        </w:tc>
      </w:tr>
    </w:tbl>
    <w:p>
      <w:pPr>
        <w:spacing w:after="0" w:line="151" w:lineRule="exact"/>
        <w:rPr>
          <w:sz w:val="20"/>
          <w:szCs w:val="20"/>
          <w:color w:val="auto"/>
        </w:rPr>
      </w:pPr>
    </w:p>
    <w:p>
      <w:pPr>
        <w:jc w:val="both"/>
        <w:ind w:left="7"/>
        <w:spacing w:after="0" w:line="252" w:lineRule="auto"/>
        <w:rPr>
          <w:sz w:val="20"/>
          <w:szCs w:val="20"/>
          <w:color w:val="auto"/>
        </w:rPr>
      </w:pPr>
      <w:r>
        <w:rPr>
          <w:rFonts w:ascii="Arial" w:cs="Arial" w:eastAsia="Arial" w:hAnsi="Arial"/>
          <w:sz w:val="14"/>
          <w:szCs w:val="14"/>
          <w:color w:val="auto"/>
        </w:rPr>
        <w:t>We believe that the compensation practices of our 2024 peer group provided us with appropriate benchmarks for evaluating the compensation of our named executive officers for 2024 because of the developmental, market and organizational characteristics we shared with our peer group. At the time that we selected our 2024 peer group we were at</w:t>
      </w:r>
    </w:p>
    <w:p>
      <w:pPr>
        <w:ind w:left="7"/>
        <w:spacing w:after="0"/>
        <w:rPr>
          <w:sz w:val="20"/>
          <w:szCs w:val="20"/>
          <w:color w:val="auto"/>
        </w:rPr>
      </w:pPr>
      <w:r>
        <w:rPr>
          <w:rFonts w:ascii="Arial" w:cs="Arial" w:eastAsia="Arial" w:hAnsi="Arial"/>
          <w:sz w:val="14"/>
          <w:szCs w:val="14"/>
          <w:color w:val="auto"/>
        </w:rPr>
        <w:t>approximately the 26</w:t>
      </w:r>
      <w:r>
        <w:rPr>
          <w:rFonts w:ascii="Arial" w:cs="Arial" w:eastAsia="Arial" w:hAnsi="Arial"/>
          <w:sz w:val="23"/>
          <w:szCs w:val="23"/>
          <w:color w:val="auto"/>
          <w:vertAlign w:val="superscript"/>
        </w:rPr>
        <w:t>th</w:t>
      </w:r>
      <w:r>
        <w:rPr>
          <w:rFonts w:ascii="Arial" w:cs="Arial" w:eastAsia="Arial" w:hAnsi="Arial"/>
          <w:sz w:val="14"/>
          <w:szCs w:val="14"/>
          <w:color w:val="auto"/>
        </w:rPr>
        <w:t xml:space="preserve"> percentile of the peer group in terms of market capitalization, the 81</w:t>
      </w:r>
      <w:r>
        <w:rPr>
          <w:rFonts w:ascii="Arial" w:cs="Arial" w:eastAsia="Arial" w:hAnsi="Arial"/>
          <w:sz w:val="23"/>
          <w:szCs w:val="23"/>
          <w:color w:val="auto"/>
          <w:vertAlign w:val="superscript"/>
        </w:rPr>
        <w:t>st</w:t>
      </w:r>
      <w:r>
        <w:rPr>
          <w:rFonts w:ascii="Arial" w:cs="Arial" w:eastAsia="Arial" w:hAnsi="Arial"/>
          <w:sz w:val="14"/>
          <w:szCs w:val="14"/>
          <w:color w:val="auto"/>
        </w:rPr>
        <w:t xml:space="preserve"> percentile in terms of employee headcount and the 44</w:t>
      </w:r>
      <w:r>
        <w:rPr>
          <w:rFonts w:ascii="Arial" w:cs="Arial" w:eastAsia="Arial" w:hAnsi="Arial"/>
          <w:sz w:val="23"/>
          <w:szCs w:val="23"/>
          <w:color w:val="auto"/>
          <w:vertAlign w:val="superscript"/>
        </w:rPr>
        <w:t>th</w:t>
      </w:r>
      <w:r>
        <w:rPr>
          <w:rFonts w:ascii="Arial" w:cs="Arial" w:eastAsia="Arial" w:hAnsi="Arial"/>
          <w:sz w:val="14"/>
          <w:szCs w:val="14"/>
          <w:color w:val="auto"/>
        </w:rPr>
        <w:t xml:space="preserve"> percentile in terms of revenue.</w:t>
      </w:r>
    </w:p>
    <w:p>
      <w:pPr>
        <w:spacing w:after="0" w:line="85"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221E1F"/>
        </w:rPr>
        <w:t xml:space="preserve">ULTRAGENYX PHARMACEUTICAL INC. </w:t>
      </w:r>
      <w:r>
        <w:rPr>
          <w:rFonts w:ascii="Arial" w:cs="Arial" w:eastAsia="Arial" w:hAnsi="Arial"/>
          <w:sz w:val="14"/>
          <w:szCs w:val="14"/>
          <w:color w:val="7BBD3E"/>
        </w:rPr>
        <w:t>•</w:t>
      </w:r>
      <w:r>
        <w:rPr>
          <w:rFonts w:ascii="Arial" w:cs="Arial" w:eastAsia="Arial" w:hAnsi="Arial"/>
          <w:sz w:val="14"/>
          <w:szCs w:val="14"/>
          <w:b w:val="1"/>
          <w:bCs w:val="1"/>
          <w:color w:val="221E1F"/>
        </w:rPr>
        <w:t xml:space="preserve"> </w:t>
      </w:r>
      <w:r>
        <w:rPr>
          <w:rFonts w:ascii="Arial" w:cs="Arial" w:eastAsia="Arial" w:hAnsi="Arial"/>
          <w:sz w:val="14"/>
          <w:szCs w:val="14"/>
          <w:color w:val="221E1F"/>
        </w:rPr>
        <w:t>2025 Proxy Statement</w:t>
      </w:r>
      <w:r>
        <w:rPr>
          <w:rFonts w:ascii="Arial" w:cs="Arial" w:eastAsia="Arial" w:hAnsi="Arial"/>
          <w:sz w:val="14"/>
          <w:szCs w:val="14"/>
          <w:b w:val="1"/>
          <w:bCs w:val="1"/>
          <w:color w:val="221E1F"/>
        </w:rPr>
        <w:tab/>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150735"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0735" cy="29845"/>
                    </a:xfrm>
                    <a:prstGeom prst="rect">
                      <a:avLst/>
                    </a:prstGeom>
                    <a:noFill/>
                  </pic:spPr>
                </pic:pic>
              </a:graphicData>
            </a:graphic>
          </wp:anchor>
        </w:drawing>
      </w:r>
    </w:p>
    <w:p>
      <w:pPr>
        <w:sectPr>
          <w:pgSz w:w="11900" w:h="16838" w:orient="portrait"/>
          <w:cols w:equalWidth="0" w:num="1">
            <w:col w:w="11267"/>
          </w:cols>
          <w:pgMar w:left="313" w:top="225" w:right="319" w:bottom="1440" w:gutter="0" w:footer="0" w:header="0"/>
        </w:sectPr>
      </w:pPr>
    </w:p>
    <w:bookmarkStart w:id="44" w:name="page45"/>
    <w:bookmarkEnd w:id="44"/>
    <w:p>
      <w:pPr>
        <w:ind w:left="7"/>
        <w:spacing w:after="0"/>
        <w:rPr>
          <w:sz w:val="20"/>
          <w:szCs w:val="20"/>
          <w:color w:val="auto"/>
        </w:rPr>
      </w:pPr>
      <w:r>
        <w:rPr>
          <w:rFonts w:ascii="Arial" w:cs="Arial" w:eastAsia="Arial" w:hAnsi="Arial"/>
          <w:sz w:val="12"/>
          <w:szCs w:val="12"/>
          <w:b w:val="1"/>
          <w:bCs w:val="1"/>
          <w:u w:val="single" w:color="auto"/>
          <w:color w:val="0000EE"/>
        </w:rPr>
        <w:t>Back to Contents</w:t>
      </w:r>
    </w:p>
    <w:p>
      <w:pPr>
        <w:spacing w:after="0" w:line="138" w:lineRule="exact"/>
        <w:rPr>
          <w:sz w:val="20"/>
          <w:szCs w:val="20"/>
          <w:color w:val="auto"/>
        </w:rPr>
      </w:pPr>
    </w:p>
    <w:p>
      <w:pPr>
        <w:ind w:left="7"/>
        <w:spacing w:after="0"/>
        <w:rPr>
          <w:sz w:val="20"/>
          <w:szCs w:val="20"/>
          <w:color w:val="auto"/>
        </w:rPr>
      </w:pPr>
      <w:r>
        <w:rPr>
          <w:rFonts w:ascii="Arial" w:cs="Arial" w:eastAsia="Arial" w:hAnsi="Arial"/>
          <w:sz w:val="19"/>
          <w:szCs w:val="19"/>
          <w:b w:val="1"/>
          <w:bCs w:val="1"/>
          <w:color w:val="7CBD3F"/>
        </w:rPr>
        <w:t>Annual Performance Reviews</w:t>
      </w:r>
    </w:p>
    <w:p>
      <w:pPr>
        <w:spacing w:after="0" w:line="166" w:lineRule="exact"/>
        <w:rPr>
          <w:sz w:val="20"/>
          <w:szCs w:val="20"/>
          <w:color w:val="auto"/>
        </w:rPr>
      </w:pPr>
    </w:p>
    <w:p>
      <w:pPr>
        <w:jc w:val="both"/>
        <w:ind w:left="7"/>
        <w:spacing w:after="0" w:line="250" w:lineRule="auto"/>
        <w:rPr>
          <w:sz w:val="20"/>
          <w:szCs w:val="20"/>
          <w:color w:val="auto"/>
        </w:rPr>
      </w:pPr>
      <w:r>
        <w:rPr>
          <w:rFonts w:ascii="Arial" w:cs="Arial" w:eastAsia="Arial" w:hAnsi="Arial"/>
          <w:sz w:val="14"/>
          <w:szCs w:val="14"/>
          <w:color w:val="auto"/>
        </w:rPr>
        <w:t>Our Compensation Committee conducts an annual performance review of our named executive officers and approves their compensation. By the end of the first quarter of each year, base salaries and equity awards for the fiscal year are approved and, for purposes of determining potential payments under our corporate bonus plan (the bonus plan), target bonuses, annual corporate goals and individual performance objectives are established and set forth in writing. After the end of each year, our Compensation Committee determines the amounts that will be paid to our executive officers under our bonus plan after carefully (1) reviewing overall corporate performance; (2) evaluating each named executive officer’s annual performance against established corporate goals; and (3) in the case of executive officers other than our Chief Executive Officer, reviewing the achievement of individual performance objectives.</w:t>
      </w:r>
    </w:p>
    <w:p>
      <w:pPr>
        <w:spacing w:after="0" w:line="136" w:lineRule="exact"/>
        <w:rPr>
          <w:sz w:val="20"/>
          <w:szCs w:val="20"/>
          <w:color w:val="auto"/>
        </w:rPr>
      </w:pPr>
    </w:p>
    <w:p>
      <w:pPr>
        <w:jc w:val="both"/>
        <w:ind w:left="7" w:right="20"/>
        <w:spacing w:after="0" w:line="278" w:lineRule="auto"/>
        <w:rPr>
          <w:sz w:val="20"/>
          <w:szCs w:val="20"/>
          <w:color w:val="auto"/>
        </w:rPr>
      </w:pPr>
      <w:r>
        <w:rPr>
          <w:rFonts w:ascii="Arial" w:cs="Arial" w:eastAsia="Arial" w:hAnsi="Arial"/>
          <w:sz w:val="14"/>
          <w:szCs w:val="14"/>
          <w:color w:val="auto"/>
        </w:rPr>
        <w:t>At its first regularly scheduled meeting each year, our Compensation Committee, with input from the Board, evaluates our Chief Executive Officer’s individual performance, determines whether to adjust his base salary, and determines the amount of equity awards and his bonus, if any, under our bonus plan.</w:t>
      </w:r>
    </w:p>
    <w:p>
      <w:pPr>
        <w:spacing w:after="0" w:line="117" w:lineRule="exact"/>
        <w:rPr>
          <w:sz w:val="20"/>
          <w:szCs w:val="20"/>
          <w:color w:val="auto"/>
        </w:rPr>
      </w:pPr>
    </w:p>
    <w:p>
      <w:pPr>
        <w:ind w:left="7"/>
        <w:spacing w:after="0"/>
        <w:rPr>
          <w:sz w:val="20"/>
          <w:szCs w:val="20"/>
          <w:color w:val="auto"/>
        </w:rPr>
      </w:pPr>
      <w:r>
        <w:rPr>
          <w:rFonts w:ascii="Arial" w:cs="Arial" w:eastAsia="Arial" w:hAnsi="Arial"/>
          <w:sz w:val="14"/>
          <w:szCs w:val="14"/>
          <w:color w:val="auto"/>
        </w:rPr>
        <w:t>Our Compensation Committee may also review and adjust the compensation of our executive officers throughout the course of the year.</w:t>
      </w:r>
    </w:p>
    <w:p>
      <w:pPr>
        <w:spacing w:after="0" w:line="201" w:lineRule="exact"/>
        <w:rPr>
          <w:sz w:val="20"/>
          <w:szCs w:val="20"/>
          <w:color w:val="auto"/>
        </w:rPr>
      </w:pPr>
    </w:p>
    <w:p>
      <w:pPr>
        <w:ind w:left="7"/>
        <w:spacing w:after="0"/>
        <w:rPr>
          <w:sz w:val="20"/>
          <w:szCs w:val="20"/>
          <w:color w:val="auto"/>
        </w:rPr>
      </w:pPr>
      <w:r>
        <w:rPr>
          <w:rFonts w:ascii="Arial" w:cs="Arial" w:eastAsia="Arial" w:hAnsi="Arial"/>
          <w:sz w:val="19"/>
          <w:szCs w:val="19"/>
          <w:b w:val="1"/>
          <w:bCs w:val="1"/>
          <w:color w:val="7CBD3F"/>
        </w:rPr>
        <w:t>Base Salary</w:t>
      </w:r>
    </w:p>
    <w:p>
      <w:pPr>
        <w:spacing w:after="0" w:line="208"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Overview</w:t>
      </w:r>
    </w:p>
    <w:p>
      <w:pPr>
        <w:spacing w:after="0" w:line="158" w:lineRule="exact"/>
        <w:rPr>
          <w:sz w:val="20"/>
          <w:szCs w:val="20"/>
          <w:color w:val="auto"/>
        </w:rPr>
      </w:pPr>
    </w:p>
    <w:p>
      <w:pPr>
        <w:jc w:val="both"/>
        <w:ind w:left="7"/>
        <w:spacing w:after="0" w:line="255" w:lineRule="auto"/>
        <w:rPr>
          <w:sz w:val="20"/>
          <w:szCs w:val="20"/>
          <w:color w:val="auto"/>
        </w:rPr>
      </w:pPr>
      <w:r>
        <w:rPr>
          <w:rFonts w:ascii="Arial" w:cs="Arial" w:eastAsia="Arial" w:hAnsi="Arial"/>
          <w:sz w:val="14"/>
          <w:szCs w:val="14"/>
          <w:color w:val="auto"/>
        </w:rPr>
        <w:t>The Compensation Committee believes it is important to provide adequate fixed compensation to our executive officers working in a highly volatile and competitive industry. The Compensation Committee’s choice of actual pay levels versus our competitive market reflects consideration of our stockholders’ interests in paying what is necessary to achieve our corporate goals, while setting competitive levels which are essential to retain these key executives. In determining appropriate base salary levels for a given executive officer, the Compensation Committee considers the following factors:</w:t>
      </w:r>
    </w:p>
    <w:p>
      <w:pPr>
        <w:spacing w:after="0" w:line="132" w:lineRule="exact"/>
        <w:rPr>
          <w:sz w:val="20"/>
          <w:szCs w:val="20"/>
          <w:color w:val="auto"/>
        </w:rPr>
      </w:pPr>
    </w:p>
    <w:p>
      <w:pPr>
        <w:ind w:left="147" w:hanging="147"/>
        <w:spacing w:after="0"/>
        <w:tabs>
          <w:tab w:leader="none" w:pos="147" w:val="left"/>
        </w:tabs>
        <w:numPr>
          <w:ilvl w:val="0"/>
          <w:numId w:val="23"/>
        </w:numPr>
        <w:rPr>
          <w:rFonts w:ascii="Arial" w:cs="Arial" w:eastAsia="Arial" w:hAnsi="Arial"/>
          <w:sz w:val="14"/>
          <w:szCs w:val="14"/>
          <w:color w:val="7CBD3F"/>
        </w:rPr>
      </w:pPr>
      <w:r>
        <w:rPr>
          <w:rFonts w:ascii="Arial" w:cs="Arial" w:eastAsia="Arial" w:hAnsi="Arial"/>
          <w:sz w:val="14"/>
          <w:szCs w:val="14"/>
          <w:color w:val="auto"/>
        </w:rPr>
        <w:t>individual performance of, and overall management of the function by, the executive, as well as our overall corporate performance, during the prior year;</w:t>
      </w:r>
    </w:p>
    <w:p>
      <w:pPr>
        <w:spacing w:after="0" w:line="72" w:lineRule="exact"/>
        <w:rPr>
          <w:rFonts w:ascii="Arial" w:cs="Arial" w:eastAsia="Arial" w:hAnsi="Arial"/>
          <w:sz w:val="14"/>
          <w:szCs w:val="14"/>
          <w:color w:val="7CBD3F"/>
        </w:rPr>
      </w:pPr>
    </w:p>
    <w:p>
      <w:pPr>
        <w:ind w:left="147" w:hanging="147"/>
        <w:spacing w:after="0"/>
        <w:tabs>
          <w:tab w:leader="none" w:pos="147" w:val="left"/>
        </w:tabs>
        <w:numPr>
          <w:ilvl w:val="0"/>
          <w:numId w:val="23"/>
        </w:numPr>
        <w:rPr>
          <w:rFonts w:ascii="Arial" w:cs="Arial" w:eastAsia="Arial" w:hAnsi="Arial"/>
          <w:sz w:val="14"/>
          <w:szCs w:val="14"/>
          <w:color w:val="7CBD3F"/>
        </w:rPr>
      </w:pPr>
      <w:r>
        <w:rPr>
          <w:rFonts w:ascii="Arial" w:cs="Arial" w:eastAsia="Arial" w:hAnsi="Arial"/>
          <w:sz w:val="14"/>
          <w:szCs w:val="14"/>
          <w:color w:val="auto"/>
        </w:rPr>
        <w:t>level of responsibility, including breadth, scope, and complexity of the position;</w:t>
      </w:r>
    </w:p>
    <w:p>
      <w:pPr>
        <w:spacing w:after="0" w:line="72" w:lineRule="exact"/>
        <w:rPr>
          <w:rFonts w:ascii="Arial" w:cs="Arial" w:eastAsia="Arial" w:hAnsi="Arial"/>
          <w:sz w:val="14"/>
          <w:szCs w:val="14"/>
          <w:color w:val="7CBD3F"/>
        </w:rPr>
      </w:pPr>
    </w:p>
    <w:p>
      <w:pPr>
        <w:ind w:left="147" w:hanging="147"/>
        <w:spacing w:after="0"/>
        <w:tabs>
          <w:tab w:leader="none" w:pos="147" w:val="left"/>
        </w:tabs>
        <w:numPr>
          <w:ilvl w:val="0"/>
          <w:numId w:val="23"/>
        </w:numPr>
        <w:rPr>
          <w:rFonts w:ascii="Arial" w:cs="Arial" w:eastAsia="Arial" w:hAnsi="Arial"/>
          <w:sz w:val="14"/>
          <w:szCs w:val="14"/>
          <w:color w:val="7CBD3F"/>
        </w:rPr>
      </w:pPr>
      <w:r>
        <w:rPr>
          <w:rFonts w:ascii="Arial" w:cs="Arial" w:eastAsia="Arial" w:hAnsi="Arial"/>
          <w:sz w:val="14"/>
          <w:szCs w:val="14"/>
          <w:color w:val="auto"/>
        </w:rPr>
        <w:t>level of experience and expertise of the executive;</w:t>
      </w:r>
    </w:p>
    <w:p>
      <w:pPr>
        <w:spacing w:after="0" w:line="72" w:lineRule="exact"/>
        <w:rPr>
          <w:rFonts w:ascii="Arial" w:cs="Arial" w:eastAsia="Arial" w:hAnsi="Arial"/>
          <w:sz w:val="14"/>
          <w:szCs w:val="14"/>
          <w:color w:val="7CBD3F"/>
        </w:rPr>
      </w:pPr>
    </w:p>
    <w:p>
      <w:pPr>
        <w:ind w:left="147" w:hanging="147"/>
        <w:spacing w:after="0"/>
        <w:tabs>
          <w:tab w:leader="none" w:pos="147" w:val="left"/>
        </w:tabs>
        <w:numPr>
          <w:ilvl w:val="0"/>
          <w:numId w:val="23"/>
        </w:numPr>
        <w:rPr>
          <w:rFonts w:ascii="Arial" w:cs="Arial" w:eastAsia="Arial" w:hAnsi="Arial"/>
          <w:sz w:val="14"/>
          <w:szCs w:val="14"/>
          <w:color w:val="7CBD3F"/>
        </w:rPr>
      </w:pPr>
      <w:r>
        <w:rPr>
          <w:rFonts w:ascii="Arial" w:cs="Arial" w:eastAsia="Arial" w:hAnsi="Arial"/>
          <w:sz w:val="14"/>
          <w:szCs w:val="14"/>
          <w:color w:val="auto"/>
        </w:rPr>
        <w:t>internal review of the executive’s compensation relative to other executives to ensure internal equity;</w:t>
      </w:r>
    </w:p>
    <w:p>
      <w:pPr>
        <w:spacing w:after="0" w:line="72" w:lineRule="exact"/>
        <w:rPr>
          <w:rFonts w:ascii="Arial" w:cs="Arial" w:eastAsia="Arial" w:hAnsi="Arial"/>
          <w:sz w:val="14"/>
          <w:szCs w:val="14"/>
          <w:color w:val="7CBD3F"/>
        </w:rPr>
      </w:pPr>
    </w:p>
    <w:p>
      <w:pPr>
        <w:ind w:left="147" w:hanging="147"/>
        <w:spacing w:after="0"/>
        <w:tabs>
          <w:tab w:leader="none" w:pos="147" w:val="left"/>
        </w:tabs>
        <w:numPr>
          <w:ilvl w:val="0"/>
          <w:numId w:val="23"/>
        </w:numPr>
        <w:rPr>
          <w:rFonts w:ascii="Arial" w:cs="Arial" w:eastAsia="Arial" w:hAnsi="Arial"/>
          <w:sz w:val="14"/>
          <w:szCs w:val="14"/>
          <w:color w:val="7CBD3F"/>
        </w:rPr>
      </w:pPr>
      <w:r>
        <w:rPr>
          <w:rFonts w:ascii="Arial" w:cs="Arial" w:eastAsia="Arial" w:hAnsi="Arial"/>
          <w:sz w:val="14"/>
          <w:szCs w:val="14"/>
          <w:color w:val="auto"/>
        </w:rPr>
        <w:t>executive officer compensation levels at other similar companies to ensure competitiveness; and</w:t>
      </w:r>
    </w:p>
    <w:p>
      <w:pPr>
        <w:spacing w:after="0" w:line="72" w:lineRule="exact"/>
        <w:rPr>
          <w:rFonts w:ascii="Arial" w:cs="Arial" w:eastAsia="Arial" w:hAnsi="Arial"/>
          <w:sz w:val="14"/>
          <w:szCs w:val="14"/>
          <w:color w:val="7CBD3F"/>
        </w:rPr>
      </w:pPr>
    </w:p>
    <w:p>
      <w:pPr>
        <w:ind w:left="147" w:hanging="147"/>
        <w:spacing w:after="0"/>
        <w:tabs>
          <w:tab w:leader="none" w:pos="147" w:val="left"/>
        </w:tabs>
        <w:numPr>
          <w:ilvl w:val="0"/>
          <w:numId w:val="23"/>
        </w:numPr>
        <w:rPr>
          <w:rFonts w:ascii="Arial" w:cs="Arial" w:eastAsia="Arial" w:hAnsi="Arial"/>
          <w:sz w:val="14"/>
          <w:szCs w:val="14"/>
          <w:color w:val="7CBD3F"/>
        </w:rPr>
      </w:pPr>
      <w:r>
        <w:rPr>
          <w:rFonts w:ascii="Arial" w:cs="Arial" w:eastAsia="Arial" w:hAnsi="Arial"/>
          <w:sz w:val="14"/>
          <w:szCs w:val="14"/>
          <w:color w:val="auto"/>
        </w:rPr>
        <w:t>recruiting and retention market dynamics.</w:t>
      </w:r>
    </w:p>
    <w:p>
      <w:pPr>
        <w:spacing w:after="0" w:line="177" w:lineRule="exact"/>
        <w:rPr>
          <w:sz w:val="20"/>
          <w:szCs w:val="20"/>
          <w:color w:val="auto"/>
        </w:rPr>
      </w:pPr>
    </w:p>
    <w:p>
      <w:pPr>
        <w:ind w:left="7"/>
        <w:spacing w:after="0"/>
        <w:rPr>
          <w:sz w:val="20"/>
          <w:szCs w:val="20"/>
          <w:color w:val="auto"/>
        </w:rPr>
      </w:pPr>
      <w:r>
        <w:rPr>
          <w:rFonts w:ascii="Arial" w:cs="Arial" w:eastAsia="Arial" w:hAnsi="Arial"/>
          <w:sz w:val="14"/>
          <w:szCs w:val="14"/>
          <w:color w:val="auto"/>
        </w:rPr>
        <w:t>The effective date of annual merit increases to base salary is March 1.</w:t>
      </w:r>
    </w:p>
    <w:p>
      <w:pPr>
        <w:spacing w:after="0" w:line="161"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2024 Base Salaries</w:t>
      </w:r>
    </w:p>
    <w:p>
      <w:pPr>
        <w:spacing w:after="0" w:line="158" w:lineRule="exact"/>
        <w:rPr>
          <w:sz w:val="20"/>
          <w:szCs w:val="20"/>
          <w:color w:val="auto"/>
        </w:rPr>
      </w:pPr>
    </w:p>
    <w:p>
      <w:pPr>
        <w:jc w:val="both"/>
        <w:ind w:left="7" w:right="20"/>
        <w:spacing w:after="0" w:line="260" w:lineRule="auto"/>
        <w:rPr>
          <w:sz w:val="20"/>
          <w:szCs w:val="20"/>
          <w:color w:val="auto"/>
        </w:rPr>
      </w:pPr>
      <w:r>
        <w:rPr>
          <w:rFonts w:ascii="Arial" w:cs="Arial" w:eastAsia="Arial" w:hAnsi="Arial"/>
          <w:sz w:val="14"/>
          <w:szCs w:val="14"/>
          <w:color w:val="auto"/>
        </w:rPr>
        <w:t>The Compensation Committee engaged Aon to conduct a competitive review and analysis of our current executive compensation program relative to our 2024 peer group. Aon prepared an Executive Compensation Assessment report in February 2024 that provided a competitive assessment of our executive compensation program as compared to the 2024 peer group data for base salaries, target total cash compensation, and equity compensation.</w:t>
      </w:r>
    </w:p>
    <w:p>
      <w:pPr>
        <w:spacing w:after="0" w:line="130" w:lineRule="exact"/>
        <w:rPr>
          <w:sz w:val="20"/>
          <w:szCs w:val="20"/>
          <w:color w:val="auto"/>
        </w:rPr>
      </w:pPr>
    </w:p>
    <w:p>
      <w:pPr>
        <w:jc w:val="both"/>
        <w:ind w:left="7"/>
        <w:spacing w:after="0" w:line="252" w:lineRule="auto"/>
        <w:rPr>
          <w:sz w:val="20"/>
          <w:szCs w:val="20"/>
          <w:color w:val="auto"/>
        </w:rPr>
      </w:pPr>
      <w:r>
        <w:rPr>
          <w:rFonts w:ascii="Arial" w:cs="Arial" w:eastAsia="Arial" w:hAnsi="Arial"/>
          <w:sz w:val="14"/>
          <w:szCs w:val="14"/>
          <w:color w:val="auto"/>
        </w:rPr>
        <w:t>For 2024, base salary increases for our Chief Executive Officer was 4% annualized and approximately 3% annualized for Mr. Harris and Mr. Pinion. Mr. Horn who joined our company in October 2023 did not receive a base salary increase for 2024. Dr. Crombez received a base salary increase of 15% following an independent compensation market analysis, which identified that his prior base salary was below the median for similar roles at peer companies. This adjustment brought his salary into line with market norms for the position while ensuring competitiveness in attracting and retaining talent. The overall 2024 merit budget was based on an Aon trend report regarding projected market merit spends for 2024. Individual increases in base salaries were also based on achievement of 2023 individual goals.</w:t>
      </w:r>
    </w:p>
    <w:p>
      <w:pPr>
        <w:spacing w:after="0" w:line="134" w:lineRule="exact"/>
        <w:rPr>
          <w:sz w:val="20"/>
          <w:szCs w:val="20"/>
          <w:color w:val="auto"/>
        </w:rPr>
      </w:pPr>
    </w:p>
    <w:p>
      <w:pPr>
        <w:jc w:val="both"/>
        <w:ind w:left="7"/>
        <w:spacing w:after="0" w:line="278" w:lineRule="auto"/>
        <w:rPr>
          <w:sz w:val="20"/>
          <w:szCs w:val="20"/>
          <w:color w:val="auto"/>
        </w:rPr>
      </w:pPr>
      <w:r>
        <w:rPr>
          <w:rFonts w:ascii="Arial" w:cs="Arial" w:eastAsia="Arial" w:hAnsi="Arial"/>
          <w:sz w:val="14"/>
          <w:szCs w:val="14"/>
          <w:color w:val="auto"/>
        </w:rPr>
        <w:t>The following table shows the increases in base salaries for our named executive officers between fiscal 2023 and fiscal 2024. Mr. Horn joined the Company in October 2023 and as such, did not receive an increase in his base salary for fiscal 2024.</w:t>
      </w:r>
    </w:p>
    <w:p>
      <w:pPr>
        <w:spacing w:after="0" w:line="117" w:lineRule="exact"/>
        <w:rPr>
          <w:sz w:val="20"/>
          <w:szCs w:val="20"/>
          <w:color w:val="auto"/>
        </w:rPr>
      </w:pPr>
    </w:p>
    <w:tbl>
      <w:tblPr>
        <w:tblLayout w:type="fixed"/>
        <w:tblInd w:w="7" w:type="dxa"/>
        <w:tblCellMar>
          <w:top w:w="0" w:type="dxa"/>
          <w:left w:w="0" w:type="dxa"/>
          <w:bottom w:w="0" w:type="dxa"/>
          <w:right w:w="0" w:type="dxa"/>
        </w:tblCellMar>
      </w:tblPr>
      <w:tr>
        <w:trPr>
          <w:trHeight w:val="163"/>
        </w:trPr>
        <w:tc>
          <w:tcPr>
            <w:tcW w:w="21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780" w:type="dxa"/>
            <w:vAlign w:val="bottom"/>
          </w:tcPr>
          <w:p>
            <w:pPr>
              <w:jc w:val="right"/>
              <w:ind w:right="90"/>
              <w:spacing w:after="0"/>
              <w:rPr>
                <w:sz w:val="20"/>
                <w:szCs w:val="20"/>
                <w:color w:val="auto"/>
              </w:rPr>
            </w:pPr>
            <w:r>
              <w:rPr>
                <w:rFonts w:ascii="Arial" w:cs="Arial" w:eastAsia="Arial" w:hAnsi="Arial"/>
                <w:sz w:val="14"/>
                <w:szCs w:val="14"/>
                <w:b w:val="1"/>
                <w:bCs w:val="1"/>
                <w:color w:val="auto"/>
              </w:rPr>
              <w:t>Fiscal 2023</w:t>
            </w:r>
          </w:p>
        </w:tc>
        <w:tc>
          <w:tcPr>
            <w:tcW w:w="1660" w:type="dxa"/>
            <w:vAlign w:val="bottom"/>
          </w:tcPr>
          <w:p>
            <w:pPr>
              <w:jc w:val="right"/>
              <w:ind w:right="130"/>
              <w:spacing w:after="0"/>
              <w:rPr>
                <w:sz w:val="20"/>
                <w:szCs w:val="20"/>
                <w:color w:val="auto"/>
              </w:rPr>
            </w:pPr>
            <w:r>
              <w:rPr>
                <w:rFonts w:ascii="Arial" w:cs="Arial" w:eastAsia="Arial" w:hAnsi="Arial"/>
                <w:sz w:val="14"/>
                <w:szCs w:val="14"/>
                <w:b w:val="1"/>
                <w:bCs w:val="1"/>
                <w:color w:val="auto"/>
              </w:rPr>
              <w:t>Fiscal 2024</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63"/>
        </w:trPr>
        <w:tc>
          <w:tcPr>
            <w:tcW w:w="21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780" w:type="dxa"/>
            <w:vAlign w:val="bottom"/>
          </w:tcPr>
          <w:p>
            <w:pPr>
              <w:jc w:val="right"/>
              <w:ind w:right="90"/>
              <w:spacing w:after="0"/>
              <w:rPr>
                <w:sz w:val="20"/>
                <w:szCs w:val="20"/>
                <w:color w:val="auto"/>
              </w:rPr>
            </w:pPr>
            <w:r>
              <w:rPr>
                <w:rFonts w:ascii="Arial" w:cs="Arial" w:eastAsia="Arial" w:hAnsi="Arial"/>
                <w:sz w:val="14"/>
                <w:szCs w:val="14"/>
                <w:b w:val="1"/>
                <w:bCs w:val="1"/>
                <w:color w:val="auto"/>
              </w:rPr>
              <w:t>Base Salary (as of</w:t>
            </w:r>
          </w:p>
        </w:tc>
        <w:tc>
          <w:tcPr>
            <w:tcW w:w="1660" w:type="dxa"/>
            <w:vAlign w:val="bottom"/>
          </w:tcPr>
          <w:p>
            <w:pPr>
              <w:jc w:val="right"/>
              <w:ind w:right="130"/>
              <w:spacing w:after="0"/>
              <w:rPr>
                <w:sz w:val="20"/>
                <w:szCs w:val="20"/>
                <w:color w:val="auto"/>
              </w:rPr>
            </w:pPr>
            <w:r>
              <w:rPr>
                <w:rFonts w:ascii="Arial" w:cs="Arial" w:eastAsia="Arial" w:hAnsi="Arial"/>
                <w:sz w:val="14"/>
                <w:szCs w:val="14"/>
                <w:b w:val="1"/>
                <w:bCs w:val="1"/>
                <w:color w:val="auto"/>
              </w:rPr>
              <w:t>Base Salary (as of</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79"/>
        </w:trPr>
        <w:tc>
          <w:tcPr>
            <w:tcW w:w="2120" w:type="dxa"/>
            <w:vAlign w:val="bottom"/>
            <w:tcBorders>
              <w:bottom w:val="single" w:sz="8" w:color="7CBD3F"/>
            </w:tcBorders>
          </w:tcPr>
          <w:p>
            <w:pPr>
              <w:ind w:left="40"/>
              <w:spacing w:after="0"/>
              <w:rPr>
                <w:sz w:val="20"/>
                <w:szCs w:val="20"/>
                <w:color w:val="auto"/>
              </w:rPr>
            </w:pPr>
            <w:r>
              <w:rPr>
                <w:rFonts w:ascii="Arial" w:cs="Arial" w:eastAsia="Arial" w:hAnsi="Arial"/>
                <w:sz w:val="14"/>
                <w:szCs w:val="14"/>
                <w:b w:val="1"/>
                <w:bCs w:val="1"/>
                <w:color w:val="auto"/>
              </w:rPr>
              <w:t>Name</w:t>
            </w:r>
          </w:p>
        </w:tc>
        <w:tc>
          <w:tcPr>
            <w:tcW w:w="4680" w:type="dxa"/>
            <w:vAlign w:val="bottom"/>
            <w:tcBorders>
              <w:bottom w:val="single" w:sz="8" w:color="7CBD3F"/>
            </w:tcBorders>
          </w:tcPr>
          <w:p>
            <w:pPr>
              <w:ind w:left="400"/>
              <w:spacing w:after="0"/>
              <w:rPr>
                <w:sz w:val="20"/>
                <w:szCs w:val="20"/>
                <w:color w:val="auto"/>
              </w:rPr>
            </w:pPr>
            <w:r>
              <w:rPr>
                <w:rFonts w:ascii="Arial" w:cs="Arial" w:eastAsia="Arial" w:hAnsi="Arial"/>
                <w:sz w:val="14"/>
                <w:szCs w:val="14"/>
                <w:b w:val="1"/>
                <w:bCs w:val="1"/>
                <w:color w:val="auto"/>
              </w:rPr>
              <w:t>Title</w:t>
            </w:r>
          </w:p>
        </w:tc>
        <w:tc>
          <w:tcPr>
            <w:tcW w:w="1780" w:type="dxa"/>
            <w:vAlign w:val="bottom"/>
            <w:tcBorders>
              <w:bottom w:val="single" w:sz="8" w:color="7CBD3F"/>
            </w:tcBorders>
          </w:tcPr>
          <w:p>
            <w:pPr>
              <w:jc w:val="right"/>
              <w:ind w:right="90"/>
              <w:spacing w:after="0"/>
              <w:rPr>
                <w:sz w:val="20"/>
                <w:szCs w:val="20"/>
                <w:color w:val="auto"/>
              </w:rPr>
            </w:pPr>
            <w:r>
              <w:rPr>
                <w:rFonts w:ascii="Arial" w:cs="Arial" w:eastAsia="Arial" w:hAnsi="Arial"/>
                <w:sz w:val="14"/>
                <w:szCs w:val="14"/>
                <w:b w:val="1"/>
                <w:bCs w:val="1"/>
                <w:color w:val="auto"/>
              </w:rPr>
              <w:t>December 31, 2023)</w:t>
            </w:r>
          </w:p>
        </w:tc>
        <w:tc>
          <w:tcPr>
            <w:tcW w:w="1660" w:type="dxa"/>
            <w:vAlign w:val="bottom"/>
            <w:tcBorders>
              <w:bottom w:val="single" w:sz="8" w:color="7CBD3F"/>
            </w:tcBorders>
          </w:tcPr>
          <w:p>
            <w:pPr>
              <w:jc w:val="right"/>
              <w:ind w:right="130"/>
              <w:spacing w:after="0"/>
              <w:rPr>
                <w:sz w:val="20"/>
                <w:szCs w:val="20"/>
                <w:color w:val="auto"/>
              </w:rPr>
            </w:pPr>
            <w:r>
              <w:rPr>
                <w:rFonts w:ascii="Arial" w:cs="Arial" w:eastAsia="Arial" w:hAnsi="Arial"/>
                <w:sz w:val="14"/>
                <w:szCs w:val="14"/>
                <w:b w:val="1"/>
                <w:bCs w:val="1"/>
                <w:color w:val="auto"/>
              </w:rPr>
              <w:t>December 31, 2024)</w:t>
            </w:r>
          </w:p>
        </w:tc>
        <w:tc>
          <w:tcPr>
            <w:tcW w:w="1020" w:type="dxa"/>
            <w:vAlign w:val="bottom"/>
            <w:tcBorders>
              <w:bottom w:val="single" w:sz="8" w:color="7CBD3F"/>
            </w:tcBorders>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63"/>
        </w:trPr>
        <w:tc>
          <w:tcPr>
            <w:tcW w:w="2120" w:type="dxa"/>
            <w:vAlign w:val="bottom"/>
          </w:tcPr>
          <w:p>
            <w:pPr>
              <w:ind w:left="40"/>
              <w:spacing w:after="0"/>
              <w:rPr>
                <w:sz w:val="20"/>
                <w:szCs w:val="20"/>
                <w:color w:val="auto"/>
              </w:rPr>
            </w:pPr>
            <w:r>
              <w:rPr>
                <w:rFonts w:ascii="Arial" w:cs="Arial" w:eastAsia="Arial" w:hAnsi="Arial"/>
                <w:sz w:val="14"/>
                <w:szCs w:val="14"/>
                <w:color w:val="auto"/>
              </w:rPr>
              <w:t>Emil D. Kakkis, M.D., Ph.D.</w:t>
            </w:r>
          </w:p>
        </w:tc>
        <w:tc>
          <w:tcPr>
            <w:tcW w:w="4680" w:type="dxa"/>
            <w:vAlign w:val="bottom"/>
          </w:tcPr>
          <w:p>
            <w:pPr>
              <w:ind w:left="400"/>
              <w:spacing w:after="0"/>
              <w:rPr>
                <w:sz w:val="20"/>
                <w:szCs w:val="20"/>
                <w:color w:val="auto"/>
              </w:rPr>
            </w:pPr>
            <w:r>
              <w:rPr>
                <w:rFonts w:ascii="Arial" w:cs="Arial" w:eastAsia="Arial" w:hAnsi="Arial"/>
                <w:sz w:val="14"/>
                <w:szCs w:val="14"/>
                <w:color w:val="auto"/>
              </w:rPr>
              <w:t>President and Chief Executive Officer</w:t>
            </w:r>
          </w:p>
        </w:tc>
        <w:tc>
          <w:tcPr>
            <w:tcW w:w="1780" w:type="dxa"/>
            <w:vAlign w:val="bottom"/>
          </w:tcPr>
          <w:p>
            <w:pPr>
              <w:jc w:val="right"/>
              <w:ind w:right="90"/>
              <w:spacing w:after="0"/>
              <w:rPr>
                <w:sz w:val="20"/>
                <w:szCs w:val="20"/>
                <w:color w:val="auto"/>
              </w:rPr>
            </w:pPr>
            <w:r>
              <w:rPr>
                <w:rFonts w:ascii="Arial" w:cs="Arial" w:eastAsia="Arial" w:hAnsi="Arial"/>
                <w:sz w:val="14"/>
                <w:szCs w:val="14"/>
                <w:color w:val="auto"/>
              </w:rPr>
              <w:t>$   828,000</w:t>
            </w:r>
          </w:p>
        </w:tc>
        <w:tc>
          <w:tcPr>
            <w:tcW w:w="1660" w:type="dxa"/>
            <w:vAlign w:val="bottom"/>
          </w:tcPr>
          <w:p>
            <w:pPr>
              <w:jc w:val="right"/>
              <w:ind w:right="130"/>
              <w:spacing w:after="0"/>
              <w:rPr>
                <w:sz w:val="20"/>
                <w:szCs w:val="20"/>
                <w:color w:val="auto"/>
              </w:rPr>
            </w:pPr>
            <w:r>
              <w:rPr>
                <w:rFonts w:ascii="Arial" w:cs="Arial" w:eastAsia="Arial" w:hAnsi="Arial"/>
                <w:sz w:val="14"/>
                <w:szCs w:val="14"/>
                <w:color w:val="auto"/>
              </w:rPr>
              <w:t>$   861,000</w:t>
            </w:r>
          </w:p>
        </w:tc>
        <w:tc>
          <w:tcPr>
            <w:tcW w:w="1020" w:type="dxa"/>
            <w:vAlign w:val="bottom"/>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51"/>
        </w:trPr>
        <w:tc>
          <w:tcPr>
            <w:tcW w:w="2120" w:type="dxa"/>
            <w:vAlign w:val="bottom"/>
            <w:vMerge w:val="restart"/>
            <w:shd w:val="clear" w:color="auto" w:fill="F0F7E7"/>
          </w:tcPr>
          <w:p>
            <w:pPr>
              <w:ind w:left="40"/>
              <w:spacing w:after="0"/>
              <w:rPr>
                <w:sz w:val="20"/>
                <w:szCs w:val="20"/>
                <w:color w:val="auto"/>
              </w:rPr>
            </w:pPr>
            <w:r>
              <w:rPr>
                <w:rFonts w:ascii="Arial" w:cs="Arial" w:eastAsia="Arial" w:hAnsi="Arial"/>
                <w:sz w:val="14"/>
                <w:szCs w:val="14"/>
                <w:color w:val="auto"/>
              </w:rPr>
              <w:t>Howard Horn</w:t>
            </w:r>
          </w:p>
        </w:tc>
        <w:tc>
          <w:tcPr>
            <w:tcW w:w="4680" w:type="dxa"/>
            <w:vAlign w:val="bottom"/>
            <w:shd w:val="clear" w:color="auto" w:fill="F0F7E7"/>
          </w:tcPr>
          <w:p>
            <w:pPr>
              <w:ind w:left="400"/>
              <w:spacing w:after="0" w:line="151" w:lineRule="exact"/>
              <w:rPr>
                <w:sz w:val="20"/>
                <w:szCs w:val="20"/>
                <w:color w:val="auto"/>
              </w:rPr>
            </w:pPr>
            <w:r>
              <w:rPr>
                <w:rFonts w:ascii="Arial" w:cs="Arial" w:eastAsia="Arial" w:hAnsi="Arial"/>
                <w:sz w:val="14"/>
                <w:szCs w:val="14"/>
                <w:color w:val="auto"/>
              </w:rPr>
              <w:t>Chief Financial Officer, Corporate Strategy and Executive Vice</w:t>
            </w:r>
          </w:p>
        </w:tc>
        <w:tc>
          <w:tcPr>
            <w:tcW w:w="1780" w:type="dxa"/>
            <w:vAlign w:val="bottom"/>
            <w:shd w:val="clear" w:color="auto" w:fill="F0F7E7"/>
          </w:tcPr>
          <w:p>
            <w:pPr>
              <w:spacing w:after="0"/>
              <w:rPr>
                <w:sz w:val="13"/>
                <w:szCs w:val="13"/>
                <w:color w:val="auto"/>
              </w:rPr>
            </w:pPr>
          </w:p>
        </w:tc>
        <w:tc>
          <w:tcPr>
            <w:tcW w:w="1660" w:type="dxa"/>
            <w:vAlign w:val="bottom"/>
            <w:shd w:val="clear" w:color="auto" w:fill="F0F7E7"/>
          </w:tcPr>
          <w:p>
            <w:pPr>
              <w:spacing w:after="0"/>
              <w:rPr>
                <w:sz w:val="13"/>
                <w:szCs w:val="13"/>
                <w:color w:val="auto"/>
              </w:rPr>
            </w:pPr>
          </w:p>
        </w:tc>
        <w:tc>
          <w:tcPr>
            <w:tcW w:w="1020" w:type="dxa"/>
            <w:vAlign w:val="bottom"/>
            <w:shd w:val="clear" w:color="auto" w:fill="F0F7E7"/>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120" w:type="dxa"/>
            <w:vAlign w:val="bottom"/>
            <w:vMerge w:val="continue"/>
            <w:shd w:val="clear" w:color="auto" w:fill="F0F7E7"/>
          </w:tcPr>
          <w:p>
            <w:pPr>
              <w:spacing w:after="0"/>
              <w:rPr>
                <w:sz w:val="8"/>
                <w:szCs w:val="8"/>
                <w:color w:val="auto"/>
              </w:rPr>
            </w:pPr>
          </w:p>
        </w:tc>
        <w:tc>
          <w:tcPr>
            <w:tcW w:w="4680" w:type="dxa"/>
            <w:vAlign w:val="bottom"/>
            <w:vMerge w:val="restart"/>
            <w:shd w:val="clear" w:color="auto" w:fill="F0F7E7"/>
          </w:tcPr>
          <w:p>
            <w:pPr>
              <w:ind w:left="400"/>
              <w:spacing w:after="0"/>
              <w:rPr>
                <w:sz w:val="20"/>
                <w:szCs w:val="20"/>
                <w:color w:val="auto"/>
              </w:rPr>
            </w:pPr>
            <w:r>
              <w:rPr>
                <w:rFonts w:ascii="Arial" w:cs="Arial" w:eastAsia="Arial" w:hAnsi="Arial"/>
                <w:sz w:val="14"/>
                <w:szCs w:val="14"/>
                <w:color w:val="auto"/>
              </w:rPr>
              <w:t>President</w:t>
            </w:r>
          </w:p>
        </w:tc>
        <w:tc>
          <w:tcPr>
            <w:tcW w:w="1780" w:type="dxa"/>
            <w:vAlign w:val="bottom"/>
            <w:vMerge w:val="restart"/>
            <w:shd w:val="clear" w:color="auto" w:fill="F0F7E7"/>
          </w:tcPr>
          <w:p>
            <w:pPr>
              <w:jc w:val="right"/>
              <w:ind w:right="90"/>
              <w:spacing w:after="0"/>
              <w:rPr>
                <w:sz w:val="20"/>
                <w:szCs w:val="20"/>
                <w:color w:val="auto"/>
              </w:rPr>
            </w:pPr>
            <w:r>
              <w:rPr>
                <w:rFonts w:ascii="Arial" w:cs="Arial" w:eastAsia="Arial" w:hAnsi="Arial"/>
                <w:sz w:val="14"/>
                <w:szCs w:val="14"/>
                <w:color w:val="auto"/>
              </w:rPr>
              <w:t>590,000</w:t>
            </w:r>
          </w:p>
        </w:tc>
        <w:tc>
          <w:tcPr>
            <w:tcW w:w="1660" w:type="dxa"/>
            <w:vAlign w:val="bottom"/>
            <w:vMerge w:val="restart"/>
            <w:shd w:val="clear" w:color="auto" w:fill="F0F7E7"/>
          </w:tcPr>
          <w:p>
            <w:pPr>
              <w:jc w:val="right"/>
              <w:ind w:right="130"/>
              <w:spacing w:after="0"/>
              <w:rPr>
                <w:sz w:val="20"/>
                <w:szCs w:val="20"/>
                <w:color w:val="auto"/>
              </w:rPr>
            </w:pPr>
            <w:r>
              <w:rPr>
                <w:rFonts w:ascii="Arial" w:cs="Arial" w:eastAsia="Arial" w:hAnsi="Arial"/>
                <w:sz w:val="14"/>
                <w:szCs w:val="14"/>
                <w:color w:val="auto"/>
              </w:rPr>
              <w:t>590,000</w:t>
            </w:r>
          </w:p>
        </w:tc>
        <w:tc>
          <w:tcPr>
            <w:tcW w:w="1020" w:type="dxa"/>
            <w:vAlign w:val="bottom"/>
            <w:vMerge w:val="restart"/>
            <w:shd w:val="clear" w:color="auto" w:fill="F0F7E7"/>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3"/>
        </w:trPr>
        <w:tc>
          <w:tcPr>
            <w:tcW w:w="2120" w:type="dxa"/>
            <w:vAlign w:val="bottom"/>
            <w:shd w:val="clear" w:color="auto" w:fill="F0F7E7"/>
          </w:tcPr>
          <w:p>
            <w:pPr>
              <w:spacing w:after="0"/>
              <w:rPr>
                <w:sz w:val="6"/>
                <w:szCs w:val="6"/>
                <w:color w:val="auto"/>
              </w:rPr>
            </w:pPr>
          </w:p>
        </w:tc>
        <w:tc>
          <w:tcPr>
            <w:tcW w:w="4680" w:type="dxa"/>
            <w:vAlign w:val="bottom"/>
            <w:vMerge w:val="continue"/>
            <w:shd w:val="clear" w:color="auto" w:fill="F0F7E7"/>
          </w:tcPr>
          <w:p>
            <w:pPr>
              <w:spacing w:after="0"/>
              <w:rPr>
                <w:sz w:val="6"/>
                <w:szCs w:val="6"/>
                <w:color w:val="auto"/>
              </w:rPr>
            </w:pPr>
          </w:p>
        </w:tc>
        <w:tc>
          <w:tcPr>
            <w:tcW w:w="1780" w:type="dxa"/>
            <w:vAlign w:val="bottom"/>
            <w:vMerge w:val="continue"/>
            <w:shd w:val="clear" w:color="auto" w:fill="F0F7E7"/>
          </w:tcPr>
          <w:p>
            <w:pPr>
              <w:spacing w:after="0"/>
              <w:rPr>
                <w:sz w:val="6"/>
                <w:szCs w:val="6"/>
                <w:color w:val="auto"/>
              </w:rPr>
            </w:pPr>
          </w:p>
        </w:tc>
        <w:tc>
          <w:tcPr>
            <w:tcW w:w="1660" w:type="dxa"/>
            <w:vAlign w:val="bottom"/>
            <w:vMerge w:val="continue"/>
            <w:shd w:val="clear" w:color="auto" w:fill="F0F7E7"/>
          </w:tcPr>
          <w:p>
            <w:pPr>
              <w:spacing w:after="0"/>
              <w:rPr>
                <w:sz w:val="6"/>
                <w:szCs w:val="6"/>
                <w:color w:val="auto"/>
              </w:rPr>
            </w:pPr>
          </w:p>
        </w:tc>
        <w:tc>
          <w:tcPr>
            <w:tcW w:w="1020" w:type="dxa"/>
            <w:vAlign w:val="bottom"/>
            <w:vMerge w:val="continue"/>
            <w:shd w:val="clear" w:color="auto" w:fill="F0F7E7"/>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2120" w:type="dxa"/>
            <w:vAlign w:val="bottom"/>
          </w:tcPr>
          <w:p>
            <w:pPr>
              <w:ind w:left="40"/>
              <w:spacing w:after="0"/>
              <w:rPr>
                <w:sz w:val="20"/>
                <w:szCs w:val="20"/>
                <w:color w:val="auto"/>
              </w:rPr>
            </w:pPr>
            <w:r>
              <w:rPr>
                <w:rFonts w:ascii="Arial" w:cs="Arial" w:eastAsia="Arial" w:hAnsi="Arial"/>
                <w:sz w:val="14"/>
                <w:szCs w:val="14"/>
                <w:color w:val="auto"/>
              </w:rPr>
              <w:t>Erik Harris</w:t>
            </w:r>
          </w:p>
        </w:tc>
        <w:tc>
          <w:tcPr>
            <w:tcW w:w="4680" w:type="dxa"/>
            <w:vAlign w:val="bottom"/>
          </w:tcPr>
          <w:p>
            <w:pPr>
              <w:ind w:left="400"/>
              <w:spacing w:after="0"/>
              <w:rPr>
                <w:sz w:val="20"/>
                <w:szCs w:val="20"/>
                <w:color w:val="auto"/>
              </w:rPr>
            </w:pPr>
            <w:r>
              <w:rPr>
                <w:rFonts w:ascii="Arial" w:cs="Arial" w:eastAsia="Arial" w:hAnsi="Arial"/>
                <w:sz w:val="14"/>
                <w:szCs w:val="14"/>
                <w:color w:val="auto"/>
              </w:rPr>
              <w:t>Chief Commercial Officer and Executive Vice President</w:t>
            </w:r>
          </w:p>
        </w:tc>
        <w:tc>
          <w:tcPr>
            <w:tcW w:w="1780" w:type="dxa"/>
            <w:vAlign w:val="bottom"/>
          </w:tcPr>
          <w:p>
            <w:pPr>
              <w:jc w:val="right"/>
              <w:ind w:right="90"/>
              <w:spacing w:after="0"/>
              <w:rPr>
                <w:sz w:val="20"/>
                <w:szCs w:val="20"/>
                <w:color w:val="auto"/>
              </w:rPr>
            </w:pPr>
            <w:r>
              <w:rPr>
                <w:rFonts w:ascii="Arial" w:cs="Arial" w:eastAsia="Arial" w:hAnsi="Arial"/>
                <w:sz w:val="14"/>
                <w:szCs w:val="14"/>
                <w:color w:val="auto"/>
              </w:rPr>
              <w:t>589,000</w:t>
            </w:r>
          </w:p>
        </w:tc>
        <w:tc>
          <w:tcPr>
            <w:tcW w:w="1660" w:type="dxa"/>
            <w:vAlign w:val="bottom"/>
          </w:tcPr>
          <w:p>
            <w:pPr>
              <w:jc w:val="right"/>
              <w:ind w:right="130"/>
              <w:spacing w:after="0"/>
              <w:rPr>
                <w:sz w:val="20"/>
                <w:szCs w:val="20"/>
                <w:color w:val="auto"/>
              </w:rPr>
            </w:pPr>
            <w:r>
              <w:rPr>
                <w:rFonts w:ascii="Arial" w:cs="Arial" w:eastAsia="Arial" w:hAnsi="Arial"/>
                <w:sz w:val="14"/>
                <w:szCs w:val="14"/>
                <w:color w:val="auto"/>
              </w:rPr>
              <w:t>607,000</w:t>
            </w:r>
          </w:p>
        </w:tc>
        <w:tc>
          <w:tcPr>
            <w:tcW w:w="1020" w:type="dxa"/>
            <w:vAlign w:val="bottom"/>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63"/>
        </w:trPr>
        <w:tc>
          <w:tcPr>
            <w:tcW w:w="2120" w:type="dxa"/>
            <w:vAlign w:val="bottom"/>
            <w:shd w:val="clear" w:color="auto" w:fill="F0F7E7"/>
          </w:tcPr>
          <w:p>
            <w:pPr>
              <w:ind w:left="40"/>
              <w:spacing w:after="0"/>
              <w:rPr>
                <w:sz w:val="20"/>
                <w:szCs w:val="20"/>
                <w:color w:val="auto"/>
              </w:rPr>
            </w:pPr>
            <w:r>
              <w:rPr>
                <w:rFonts w:ascii="Arial" w:cs="Arial" w:eastAsia="Arial" w:hAnsi="Arial"/>
                <w:sz w:val="14"/>
                <w:szCs w:val="14"/>
                <w:color w:val="auto"/>
              </w:rPr>
              <w:t>Eric Crombez, M.D.</w:t>
            </w:r>
          </w:p>
        </w:tc>
        <w:tc>
          <w:tcPr>
            <w:tcW w:w="4680" w:type="dxa"/>
            <w:vAlign w:val="bottom"/>
            <w:shd w:val="clear" w:color="auto" w:fill="F0F7E7"/>
          </w:tcPr>
          <w:p>
            <w:pPr>
              <w:ind w:left="400"/>
              <w:spacing w:after="0"/>
              <w:rPr>
                <w:sz w:val="20"/>
                <w:szCs w:val="20"/>
                <w:color w:val="auto"/>
              </w:rPr>
            </w:pPr>
            <w:r>
              <w:rPr>
                <w:rFonts w:ascii="Arial" w:cs="Arial" w:eastAsia="Arial" w:hAnsi="Arial"/>
                <w:sz w:val="14"/>
                <w:szCs w:val="14"/>
                <w:color w:val="auto"/>
              </w:rPr>
              <w:t>Chief Medical Officer and Executive Vice President</w:t>
            </w:r>
          </w:p>
        </w:tc>
        <w:tc>
          <w:tcPr>
            <w:tcW w:w="1780" w:type="dxa"/>
            <w:vAlign w:val="bottom"/>
            <w:shd w:val="clear" w:color="auto" w:fill="F0F7E7"/>
          </w:tcPr>
          <w:p>
            <w:pPr>
              <w:jc w:val="right"/>
              <w:ind w:right="90"/>
              <w:spacing w:after="0"/>
              <w:rPr>
                <w:sz w:val="20"/>
                <w:szCs w:val="20"/>
                <w:color w:val="auto"/>
              </w:rPr>
            </w:pPr>
            <w:r>
              <w:rPr>
                <w:rFonts w:ascii="Arial" w:cs="Arial" w:eastAsia="Arial" w:hAnsi="Arial"/>
                <w:sz w:val="14"/>
                <w:szCs w:val="14"/>
                <w:color w:val="auto"/>
              </w:rPr>
              <w:t>525,000</w:t>
            </w:r>
          </w:p>
        </w:tc>
        <w:tc>
          <w:tcPr>
            <w:tcW w:w="1660" w:type="dxa"/>
            <w:vAlign w:val="bottom"/>
            <w:shd w:val="clear" w:color="auto" w:fill="F0F7E7"/>
          </w:tcPr>
          <w:p>
            <w:pPr>
              <w:jc w:val="right"/>
              <w:ind w:right="130"/>
              <w:spacing w:after="0"/>
              <w:rPr>
                <w:sz w:val="20"/>
                <w:szCs w:val="20"/>
                <w:color w:val="auto"/>
              </w:rPr>
            </w:pPr>
            <w:r>
              <w:rPr>
                <w:rFonts w:ascii="Arial" w:cs="Arial" w:eastAsia="Arial" w:hAnsi="Arial"/>
                <w:sz w:val="14"/>
                <w:szCs w:val="14"/>
                <w:color w:val="auto"/>
              </w:rPr>
              <w:t>604,000</w:t>
            </w:r>
          </w:p>
        </w:tc>
        <w:tc>
          <w:tcPr>
            <w:tcW w:w="1020" w:type="dxa"/>
            <w:vAlign w:val="bottom"/>
            <w:shd w:val="clear" w:color="auto" w:fill="F0F7E7"/>
          </w:tcPr>
          <w:p>
            <w:pPr>
              <w:jc w:val="right"/>
              <w:spacing w:after="0"/>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151"/>
        </w:trPr>
        <w:tc>
          <w:tcPr>
            <w:tcW w:w="2120" w:type="dxa"/>
            <w:vAlign w:val="bottom"/>
            <w:vMerge w:val="restart"/>
          </w:tcPr>
          <w:p>
            <w:pPr>
              <w:ind w:left="40"/>
              <w:spacing w:after="0"/>
              <w:rPr>
                <w:sz w:val="20"/>
                <w:szCs w:val="20"/>
                <w:color w:val="auto"/>
              </w:rPr>
            </w:pPr>
            <w:r>
              <w:rPr>
                <w:rFonts w:ascii="Arial" w:cs="Arial" w:eastAsia="Arial" w:hAnsi="Arial"/>
                <w:sz w:val="14"/>
                <w:szCs w:val="14"/>
                <w:color w:val="auto"/>
              </w:rPr>
              <w:t>John R. Pinion II</w:t>
            </w:r>
          </w:p>
        </w:tc>
        <w:tc>
          <w:tcPr>
            <w:tcW w:w="4680" w:type="dxa"/>
            <w:vAlign w:val="bottom"/>
          </w:tcPr>
          <w:p>
            <w:pPr>
              <w:ind w:left="400"/>
              <w:spacing w:after="0" w:line="151" w:lineRule="exact"/>
              <w:rPr>
                <w:sz w:val="20"/>
                <w:szCs w:val="20"/>
                <w:color w:val="auto"/>
              </w:rPr>
            </w:pPr>
            <w:r>
              <w:rPr>
                <w:rFonts w:ascii="Arial" w:cs="Arial" w:eastAsia="Arial" w:hAnsi="Arial"/>
                <w:sz w:val="14"/>
                <w:szCs w:val="14"/>
                <w:color w:val="auto"/>
              </w:rPr>
              <w:t>Chief Quality Officer and Executive Vice President, Translational</w:t>
            </w:r>
          </w:p>
        </w:tc>
        <w:tc>
          <w:tcPr>
            <w:tcW w:w="17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120" w:type="dxa"/>
            <w:vAlign w:val="bottom"/>
            <w:vMerge w:val="continue"/>
          </w:tcPr>
          <w:p>
            <w:pPr>
              <w:spacing w:after="0"/>
              <w:rPr>
                <w:sz w:val="8"/>
                <w:szCs w:val="8"/>
                <w:color w:val="auto"/>
              </w:rPr>
            </w:pPr>
          </w:p>
        </w:tc>
        <w:tc>
          <w:tcPr>
            <w:tcW w:w="4680" w:type="dxa"/>
            <w:vAlign w:val="bottom"/>
            <w:vMerge w:val="restart"/>
          </w:tcPr>
          <w:p>
            <w:pPr>
              <w:ind w:left="400"/>
              <w:spacing w:after="0"/>
              <w:rPr>
                <w:sz w:val="20"/>
                <w:szCs w:val="20"/>
                <w:color w:val="auto"/>
              </w:rPr>
            </w:pPr>
            <w:r>
              <w:rPr>
                <w:rFonts w:ascii="Arial" w:cs="Arial" w:eastAsia="Arial" w:hAnsi="Arial"/>
                <w:sz w:val="14"/>
                <w:szCs w:val="14"/>
                <w:color w:val="auto"/>
              </w:rPr>
              <w:t>Sciences</w:t>
            </w:r>
          </w:p>
        </w:tc>
        <w:tc>
          <w:tcPr>
            <w:tcW w:w="1780" w:type="dxa"/>
            <w:vAlign w:val="bottom"/>
            <w:vMerge w:val="restart"/>
          </w:tcPr>
          <w:p>
            <w:pPr>
              <w:jc w:val="right"/>
              <w:ind w:right="90"/>
              <w:spacing w:after="0"/>
              <w:rPr>
                <w:sz w:val="20"/>
                <w:szCs w:val="20"/>
                <w:color w:val="auto"/>
              </w:rPr>
            </w:pPr>
            <w:r>
              <w:rPr>
                <w:rFonts w:ascii="Arial" w:cs="Arial" w:eastAsia="Arial" w:hAnsi="Arial"/>
                <w:sz w:val="14"/>
                <w:szCs w:val="14"/>
                <w:color w:val="auto"/>
              </w:rPr>
              <w:t>555,000</w:t>
            </w:r>
          </w:p>
        </w:tc>
        <w:tc>
          <w:tcPr>
            <w:tcW w:w="1660" w:type="dxa"/>
            <w:vAlign w:val="bottom"/>
            <w:vMerge w:val="restart"/>
          </w:tcPr>
          <w:p>
            <w:pPr>
              <w:jc w:val="right"/>
              <w:ind w:right="130"/>
              <w:spacing w:after="0"/>
              <w:rPr>
                <w:sz w:val="20"/>
                <w:szCs w:val="20"/>
                <w:color w:val="auto"/>
              </w:rPr>
            </w:pPr>
            <w:r>
              <w:rPr>
                <w:rFonts w:ascii="Arial" w:cs="Arial" w:eastAsia="Arial" w:hAnsi="Arial"/>
                <w:sz w:val="14"/>
                <w:szCs w:val="14"/>
                <w:color w:val="auto"/>
              </w:rPr>
              <w:t>572,000</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76"/>
        </w:trPr>
        <w:tc>
          <w:tcPr>
            <w:tcW w:w="2120" w:type="dxa"/>
            <w:vAlign w:val="bottom"/>
            <w:tcBorders>
              <w:bottom w:val="single" w:sz="8" w:color="7CBD3F"/>
            </w:tcBorders>
          </w:tcPr>
          <w:p>
            <w:pPr>
              <w:spacing w:after="0"/>
              <w:rPr>
                <w:sz w:val="6"/>
                <w:szCs w:val="6"/>
                <w:color w:val="auto"/>
              </w:rPr>
            </w:pPr>
          </w:p>
        </w:tc>
        <w:tc>
          <w:tcPr>
            <w:tcW w:w="4680" w:type="dxa"/>
            <w:vAlign w:val="bottom"/>
            <w:tcBorders>
              <w:bottom w:val="single" w:sz="8" w:color="7CBD3F"/>
            </w:tcBorders>
            <w:vMerge w:val="continue"/>
          </w:tcPr>
          <w:p>
            <w:pPr>
              <w:spacing w:after="0"/>
              <w:rPr>
                <w:sz w:val="6"/>
                <w:szCs w:val="6"/>
                <w:color w:val="auto"/>
              </w:rPr>
            </w:pPr>
          </w:p>
        </w:tc>
        <w:tc>
          <w:tcPr>
            <w:tcW w:w="1780" w:type="dxa"/>
            <w:vAlign w:val="bottom"/>
            <w:tcBorders>
              <w:bottom w:val="single" w:sz="8" w:color="7CBD3F"/>
            </w:tcBorders>
            <w:vMerge w:val="continue"/>
          </w:tcPr>
          <w:p>
            <w:pPr>
              <w:spacing w:after="0"/>
              <w:rPr>
                <w:sz w:val="6"/>
                <w:szCs w:val="6"/>
                <w:color w:val="auto"/>
              </w:rPr>
            </w:pPr>
          </w:p>
        </w:tc>
        <w:tc>
          <w:tcPr>
            <w:tcW w:w="1660" w:type="dxa"/>
            <w:vAlign w:val="bottom"/>
            <w:tcBorders>
              <w:bottom w:val="single" w:sz="8" w:color="7CBD3F"/>
            </w:tcBorders>
            <w:vMerge w:val="continue"/>
          </w:tcPr>
          <w:p>
            <w:pPr>
              <w:spacing w:after="0"/>
              <w:rPr>
                <w:sz w:val="6"/>
                <w:szCs w:val="6"/>
                <w:color w:val="auto"/>
              </w:rPr>
            </w:pPr>
          </w:p>
        </w:tc>
        <w:tc>
          <w:tcPr>
            <w:tcW w:w="1020" w:type="dxa"/>
            <w:vAlign w:val="bottom"/>
            <w:tcBorders>
              <w:bottom w:val="single" w:sz="8" w:color="7CBD3F"/>
            </w:tcBorders>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151"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auto"/>
        </w:rPr>
        <w:t xml:space="preserve">ULTRAGENYX PHARMACEUTICAL INC. </w:t>
      </w:r>
      <w:r>
        <w:rPr>
          <w:rFonts w:ascii="Arial" w:cs="Arial" w:eastAsia="Arial" w:hAnsi="Arial"/>
          <w:sz w:val="14"/>
          <w:szCs w:val="14"/>
          <w:color w:val="7CBD3F"/>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2025 Proxy Statement</w:t>
      </w:r>
      <w:r>
        <w:rPr>
          <w:rFonts w:ascii="Arial" w:cs="Arial" w:eastAsia="Arial" w:hAnsi="Arial"/>
          <w:sz w:val="14"/>
          <w:szCs w:val="14"/>
          <w:b w:val="1"/>
          <w:bCs w:val="1"/>
          <w:color w:val="auto"/>
        </w:rPr>
        <w:tab/>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150735"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0735" cy="29845"/>
                    </a:xfrm>
                    <a:prstGeom prst="rect">
                      <a:avLst/>
                    </a:prstGeom>
                    <a:noFill/>
                  </pic:spPr>
                </pic:pic>
              </a:graphicData>
            </a:graphic>
          </wp:anchor>
        </w:drawing>
      </w:r>
    </w:p>
    <w:p>
      <w:pPr>
        <w:sectPr>
          <w:pgSz w:w="11900" w:h="16838" w:orient="portrait"/>
          <w:cols w:equalWidth="0" w:num="1">
            <w:col w:w="11267"/>
          </w:cols>
          <w:pgMar w:left="313" w:top="225" w:right="319" w:bottom="1440" w:gutter="0" w:footer="0" w:header="0"/>
        </w:sectPr>
      </w:pPr>
    </w:p>
    <w:bookmarkStart w:id="45" w:name="page46"/>
    <w:bookmarkEnd w:id="45"/>
    <w:p>
      <w:pPr>
        <w:ind w:left="7"/>
        <w:spacing w:after="0"/>
        <w:rPr>
          <w:sz w:val="20"/>
          <w:szCs w:val="20"/>
          <w:color w:val="auto"/>
        </w:rPr>
      </w:pPr>
      <w:r>
        <w:rPr>
          <w:rFonts w:ascii="Arial" w:cs="Arial" w:eastAsia="Arial" w:hAnsi="Arial"/>
          <w:sz w:val="12"/>
          <w:szCs w:val="12"/>
          <w:b w:val="1"/>
          <w:bCs w:val="1"/>
          <w:u w:val="single" w:color="auto"/>
          <w:color w:val="0000EE"/>
        </w:rPr>
        <w:t>Back to Contents</w:t>
      </w:r>
    </w:p>
    <w:p>
      <w:pPr>
        <w:spacing w:after="0" w:line="138" w:lineRule="exact"/>
        <w:rPr>
          <w:sz w:val="20"/>
          <w:szCs w:val="20"/>
          <w:color w:val="auto"/>
        </w:rPr>
      </w:pPr>
    </w:p>
    <w:p>
      <w:pPr>
        <w:ind w:left="7"/>
        <w:spacing w:after="0"/>
        <w:rPr>
          <w:sz w:val="20"/>
          <w:szCs w:val="20"/>
          <w:color w:val="auto"/>
        </w:rPr>
      </w:pPr>
      <w:r>
        <w:rPr>
          <w:rFonts w:ascii="Arial" w:cs="Arial" w:eastAsia="Arial" w:hAnsi="Arial"/>
          <w:sz w:val="19"/>
          <w:szCs w:val="19"/>
          <w:b w:val="1"/>
          <w:bCs w:val="1"/>
          <w:color w:val="7CBD3F"/>
        </w:rPr>
        <w:t>Annual Bonus</w:t>
      </w:r>
    </w:p>
    <w:p>
      <w:pPr>
        <w:spacing w:after="0" w:line="255"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Overview</w:t>
      </w:r>
    </w:p>
    <w:p>
      <w:pPr>
        <w:spacing w:after="0" w:line="158" w:lineRule="exact"/>
        <w:rPr>
          <w:sz w:val="20"/>
          <w:szCs w:val="20"/>
          <w:color w:val="auto"/>
        </w:rPr>
      </w:pPr>
    </w:p>
    <w:p>
      <w:pPr>
        <w:ind w:left="7"/>
        <w:spacing w:after="0" w:line="278" w:lineRule="auto"/>
        <w:rPr>
          <w:sz w:val="20"/>
          <w:szCs w:val="20"/>
          <w:color w:val="auto"/>
        </w:rPr>
      </w:pPr>
      <w:r>
        <w:rPr>
          <w:rFonts w:ascii="Arial" w:cs="Arial" w:eastAsia="Arial" w:hAnsi="Arial"/>
          <w:sz w:val="14"/>
          <w:szCs w:val="14"/>
          <w:color w:val="auto"/>
        </w:rPr>
        <w:t>Our annual incentive program provides the opportunity for cash bonus awards based on the achievement of annual performance goals. For executive officers, other than the Chief Executive Officer, bonus awards are based on both corporate and individual performance, with corporate performance serving as the primary driver.</w:t>
      </w:r>
    </w:p>
    <w:p>
      <w:pPr>
        <w:spacing w:after="0" w:line="117" w:lineRule="exact"/>
        <w:rPr>
          <w:sz w:val="20"/>
          <w:szCs w:val="20"/>
          <w:color w:val="auto"/>
        </w:rPr>
      </w:pPr>
    </w:p>
    <w:p>
      <w:pPr>
        <w:ind w:left="147" w:hanging="147"/>
        <w:spacing w:after="0"/>
        <w:tabs>
          <w:tab w:leader="none" w:pos="147" w:val="left"/>
        </w:tabs>
        <w:numPr>
          <w:ilvl w:val="0"/>
          <w:numId w:val="24"/>
        </w:numPr>
        <w:rPr>
          <w:rFonts w:ascii="Arial" w:cs="Arial" w:eastAsia="Arial" w:hAnsi="Arial"/>
          <w:sz w:val="14"/>
          <w:szCs w:val="14"/>
          <w:color w:val="7CBD3F"/>
        </w:rPr>
      </w:pPr>
      <w:r>
        <w:rPr>
          <w:rFonts w:ascii="Arial" w:cs="Arial" w:eastAsia="Arial" w:hAnsi="Arial"/>
          <w:sz w:val="14"/>
          <w:szCs w:val="14"/>
          <w:color w:val="auto"/>
        </w:rPr>
        <w:t>Corporate performance goals focus on business, financial, and operational measures or objectives.</w:t>
      </w:r>
    </w:p>
    <w:p>
      <w:pPr>
        <w:spacing w:after="0" w:line="72" w:lineRule="exact"/>
        <w:rPr>
          <w:rFonts w:ascii="Arial" w:cs="Arial" w:eastAsia="Arial" w:hAnsi="Arial"/>
          <w:sz w:val="14"/>
          <w:szCs w:val="14"/>
          <w:color w:val="7CBD3F"/>
        </w:rPr>
      </w:pPr>
    </w:p>
    <w:p>
      <w:pPr>
        <w:ind w:left="147" w:hanging="147"/>
        <w:spacing w:after="0"/>
        <w:tabs>
          <w:tab w:leader="none" w:pos="147" w:val="left"/>
        </w:tabs>
        <w:numPr>
          <w:ilvl w:val="0"/>
          <w:numId w:val="24"/>
        </w:numPr>
        <w:rPr>
          <w:rFonts w:ascii="Arial" w:cs="Arial" w:eastAsia="Arial" w:hAnsi="Arial"/>
          <w:sz w:val="14"/>
          <w:szCs w:val="14"/>
          <w:color w:val="7CBD3F"/>
        </w:rPr>
      </w:pPr>
      <w:r>
        <w:rPr>
          <w:rFonts w:ascii="Arial" w:cs="Arial" w:eastAsia="Arial" w:hAnsi="Arial"/>
          <w:sz w:val="14"/>
          <w:szCs w:val="14"/>
          <w:color w:val="auto"/>
        </w:rPr>
        <w:t>Individual performance goals reflect an executive’s contributions toward achieving corporate goals and leadership within their respective function.</w:t>
      </w:r>
    </w:p>
    <w:p>
      <w:pPr>
        <w:spacing w:after="0" w:line="72" w:lineRule="exact"/>
        <w:rPr>
          <w:rFonts w:ascii="Arial" w:cs="Arial" w:eastAsia="Arial" w:hAnsi="Arial"/>
          <w:sz w:val="14"/>
          <w:szCs w:val="14"/>
          <w:color w:val="7CBD3F"/>
        </w:rPr>
      </w:pPr>
    </w:p>
    <w:p>
      <w:pPr>
        <w:ind w:left="147" w:hanging="147"/>
        <w:spacing w:after="0"/>
        <w:tabs>
          <w:tab w:leader="none" w:pos="147" w:val="left"/>
        </w:tabs>
        <w:numPr>
          <w:ilvl w:val="0"/>
          <w:numId w:val="24"/>
        </w:numPr>
        <w:rPr>
          <w:rFonts w:ascii="Arial" w:cs="Arial" w:eastAsia="Arial" w:hAnsi="Arial"/>
          <w:sz w:val="14"/>
          <w:szCs w:val="14"/>
          <w:color w:val="7CBD3F"/>
        </w:rPr>
      </w:pPr>
      <w:r>
        <w:rPr>
          <w:rFonts w:ascii="Arial" w:cs="Arial" w:eastAsia="Arial" w:hAnsi="Arial"/>
          <w:sz w:val="14"/>
          <w:szCs w:val="14"/>
          <w:color w:val="auto"/>
        </w:rPr>
        <w:t>The Chief Executive Officer’s bonus is entirely based on corporate performance.</w:t>
      </w:r>
    </w:p>
    <w:p>
      <w:pPr>
        <w:spacing w:after="0" w:line="165" w:lineRule="exact"/>
        <w:rPr>
          <w:sz w:val="20"/>
          <w:szCs w:val="20"/>
          <w:color w:val="auto"/>
        </w:rPr>
      </w:pPr>
    </w:p>
    <w:p>
      <w:pPr>
        <w:jc w:val="both"/>
        <w:ind w:left="7"/>
        <w:spacing w:after="0" w:line="260" w:lineRule="auto"/>
        <w:rPr>
          <w:sz w:val="20"/>
          <w:szCs w:val="20"/>
          <w:color w:val="auto"/>
        </w:rPr>
      </w:pPr>
      <w:r>
        <w:rPr>
          <w:rFonts w:ascii="Arial" w:cs="Arial" w:eastAsia="Arial" w:hAnsi="Arial"/>
          <w:sz w:val="14"/>
          <w:szCs w:val="14"/>
          <w:color w:val="auto"/>
        </w:rPr>
        <w:t>At the beginning of each performance year, the Chief Executive Officer sets and communicates individual goals to each executive officer. At the end of the year, the Compensation Committee evaluates corporate performance and each executive officer’s contributions (excluding the Chief Executive Officer) to determine whether a bonus will be awarded and, if so, the amount. The annual bonus is not guaranteed and is entirely at risk.</w:t>
      </w:r>
    </w:p>
    <w:p>
      <w:pPr>
        <w:spacing w:after="0" w:line="130" w:lineRule="exact"/>
        <w:rPr>
          <w:sz w:val="20"/>
          <w:szCs w:val="20"/>
          <w:color w:val="auto"/>
        </w:rPr>
      </w:pPr>
    </w:p>
    <w:p>
      <w:pPr>
        <w:ind w:left="7"/>
        <w:spacing w:after="0"/>
        <w:rPr>
          <w:sz w:val="20"/>
          <w:szCs w:val="20"/>
          <w:color w:val="auto"/>
        </w:rPr>
      </w:pPr>
      <w:r>
        <w:rPr>
          <w:rFonts w:ascii="Arial" w:cs="Arial" w:eastAsia="Arial" w:hAnsi="Arial"/>
          <w:sz w:val="14"/>
          <w:szCs w:val="14"/>
          <w:color w:val="auto"/>
        </w:rPr>
        <w:t>The Chief Executive Officer’s annual bonus award is based 100% on corporate performance achievement.</w:t>
      </w:r>
    </w:p>
    <w:p>
      <w:pPr>
        <w:spacing w:after="0" w:line="165" w:lineRule="exact"/>
        <w:rPr>
          <w:sz w:val="20"/>
          <w:szCs w:val="20"/>
          <w:color w:val="auto"/>
        </w:rPr>
      </w:pPr>
    </w:p>
    <w:p>
      <w:pPr>
        <w:ind w:left="7"/>
        <w:spacing w:after="0"/>
        <w:rPr>
          <w:sz w:val="20"/>
          <w:szCs w:val="20"/>
          <w:color w:val="auto"/>
        </w:rPr>
      </w:pPr>
      <w:r>
        <w:rPr>
          <w:rFonts w:ascii="Arial" w:cs="Arial" w:eastAsia="Arial" w:hAnsi="Arial"/>
          <w:sz w:val="14"/>
          <w:szCs w:val="14"/>
          <w:color w:val="auto"/>
        </w:rPr>
        <w:t>For executive officers other than the Chief Executive Officer, the annual bonus is calculated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629285</wp:posOffset>
            </wp:positionH>
            <wp:positionV relativeFrom="paragraph">
              <wp:posOffset>113030</wp:posOffset>
            </wp:positionV>
            <wp:extent cx="5922010" cy="101409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922010" cy="1014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ind w:left="7" w:right="20"/>
        <w:spacing w:after="0" w:line="260" w:lineRule="auto"/>
        <w:rPr>
          <w:sz w:val="20"/>
          <w:szCs w:val="20"/>
          <w:color w:val="auto"/>
        </w:rPr>
      </w:pPr>
      <w:r>
        <w:rPr>
          <w:rFonts w:ascii="Arial" w:cs="Arial" w:eastAsia="Arial" w:hAnsi="Arial"/>
          <w:sz w:val="14"/>
          <w:szCs w:val="14"/>
          <w:color w:val="auto"/>
        </w:rPr>
        <w:t>While individual performance is a key factor, corporate performance is the primary driver in the formula. If corporate goals are not met, an executive may not receive an annual bonus award, even if the executive performed well individually. Similarly, if corporate goals are met, an executive with low individual performance may receive a reduced award or no bonus award.</w:t>
      </w:r>
    </w:p>
    <w:p>
      <w:pPr>
        <w:spacing w:after="0" w:line="130" w:lineRule="exact"/>
        <w:rPr>
          <w:sz w:val="20"/>
          <w:szCs w:val="20"/>
          <w:color w:val="auto"/>
        </w:rPr>
      </w:pPr>
    </w:p>
    <w:p>
      <w:pPr>
        <w:jc w:val="both"/>
        <w:ind w:left="7"/>
        <w:spacing w:after="0" w:line="260" w:lineRule="auto"/>
        <w:rPr>
          <w:sz w:val="20"/>
          <w:szCs w:val="20"/>
          <w:color w:val="auto"/>
        </w:rPr>
      </w:pPr>
      <w:r>
        <w:rPr>
          <w:rFonts w:ascii="Arial" w:cs="Arial" w:eastAsia="Arial" w:hAnsi="Arial"/>
          <w:sz w:val="14"/>
          <w:szCs w:val="14"/>
          <w:color w:val="auto"/>
        </w:rPr>
        <w:t>The corporate performance achievement percentage is capped at 150% and the individual performance achievement percentage is capped at 133%, resulting in a maximum bonus of 150% of target for the Chief Executive Officer and 200% of target for the other executive officers. The corporate performance score determines the overall bonus pool funding. If corporate performance achievement is at or below 50%, the corporate component of the bonus is not funded and no bonuses will be awarded, regardless of individual performance.</w:t>
      </w:r>
    </w:p>
    <w:p>
      <w:pPr>
        <w:spacing w:after="0" w:line="130" w:lineRule="exact"/>
        <w:rPr>
          <w:sz w:val="20"/>
          <w:szCs w:val="20"/>
          <w:color w:val="auto"/>
        </w:rPr>
      </w:pPr>
    </w:p>
    <w:p>
      <w:pPr>
        <w:jc w:val="both"/>
        <w:ind w:left="7"/>
        <w:spacing w:after="0" w:line="260" w:lineRule="auto"/>
        <w:rPr>
          <w:sz w:val="20"/>
          <w:szCs w:val="20"/>
          <w:color w:val="auto"/>
        </w:rPr>
      </w:pPr>
      <w:r>
        <w:rPr>
          <w:rFonts w:ascii="Arial" w:cs="Arial" w:eastAsia="Arial" w:hAnsi="Arial"/>
          <w:sz w:val="14"/>
          <w:szCs w:val="14"/>
          <w:color w:val="auto"/>
        </w:rPr>
        <w:t>Actual payouts are at risk and contingent on both corporate and individual performance. Corporate performance payouts are based on the achievement of predefined goals, while individual performance is assessed across three key areas: attainment of individual goals, execution of key role deliverables, and demonstration of the Company’s values and behaviors.</w:t>
      </w:r>
    </w:p>
    <w:p>
      <w:pPr>
        <w:spacing w:after="0" w:line="130" w:lineRule="exact"/>
        <w:rPr>
          <w:sz w:val="20"/>
          <w:szCs w:val="20"/>
          <w:color w:val="auto"/>
        </w:rPr>
      </w:pPr>
    </w:p>
    <w:p>
      <w:pPr>
        <w:jc w:val="both"/>
        <w:ind w:left="7" w:right="20"/>
        <w:spacing w:after="0" w:line="278" w:lineRule="auto"/>
        <w:rPr>
          <w:sz w:val="20"/>
          <w:szCs w:val="20"/>
          <w:color w:val="auto"/>
        </w:rPr>
      </w:pPr>
      <w:r>
        <w:rPr>
          <w:rFonts w:ascii="Arial" w:cs="Arial" w:eastAsia="Arial" w:hAnsi="Arial"/>
          <w:sz w:val="14"/>
          <w:szCs w:val="14"/>
          <w:color w:val="auto"/>
        </w:rPr>
        <w:t>Subject to the rights contained in any agreement between the Company and the executive officer, an executive officer must be employed by the Company on the bonus payment date to be eligible to receive a bonus payment.</w:t>
      </w:r>
    </w:p>
    <w:p>
      <w:pPr>
        <w:spacing w:after="0" w:line="159"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Fiscal 2024 Bonuses</w:t>
      </w:r>
    </w:p>
    <w:p>
      <w:pPr>
        <w:spacing w:after="0" w:line="158" w:lineRule="exact"/>
        <w:rPr>
          <w:sz w:val="20"/>
          <w:szCs w:val="20"/>
          <w:color w:val="auto"/>
        </w:rPr>
      </w:pPr>
    </w:p>
    <w:p>
      <w:pPr>
        <w:jc w:val="both"/>
        <w:ind w:left="7" w:right="20"/>
        <w:spacing w:after="0" w:line="278" w:lineRule="auto"/>
        <w:rPr>
          <w:sz w:val="20"/>
          <w:szCs w:val="20"/>
          <w:color w:val="auto"/>
        </w:rPr>
      </w:pPr>
      <w:r>
        <w:rPr>
          <w:rFonts w:ascii="Arial" w:cs="Arial" w:eastAsia="Arial" w:hAnsi="Arial"/>
          <w:sz w:val="14"/>
          <w:szCs w:val="14"/>
          <w:color w:val="auto"/>
        </w:rPr>
        <w:t>Annual corporate goals for fiscal 2024 were proposed by our executive officers and approved by our Compensation Committee in early 2024. Individual objectives for our executive officers, other than the Chief Executive Officer, for 2024 were proposed by each executive officer, with review, input and confirmation from our Chief Executive Officer.</w:t>
      </w:r>
    </w:p>
    <w:p>
      <w:pPr>
        <w:spacing w:after="0" w:line="117" w:lineRule="exact"/>
        <w:rPr>
          <w:sz w:val="20"/>
          <w:szCs w:val="20"/>
          <w:color w:val="auto"/>
        </w:rPr>
      </w:pPr>
    </w:p>
    <w:p>
      <w:pPr>
        <w:jc w:val="both"/>
        <w:ind w:left="7"/>
        <w:spacing w:after="0" w:line="278" w:lineRule="auto"/>
        <w:rPr>
          <w:sz w:val="20"/>
          <w:szCs w:val="20"/>
          <w:color w:val="auto"/>
        </w:rPr>
      </w:pPr>
      <w:r>
        <w:rPr>
          <w:rFonts w:ascii="Arial" w:cs="Arial" w:eastAsia="Arial" w:hAnsi="Arial"/>
          <w:sz w:val="14"/>
          <w:szCs w:val="14"/>
          <w:color w:val="auto"/>
        </w:rPr>
        <w:t>Each executive officer’s annual target bonus is based on their role, responsibilities, accountability, potential impact on corporate performance and peer group benchmarks. The target bonuses, as a percentage of base salary, for the named executive officers for fiscal 2024 are set forth in the following table.</w:t>
      </w:r>
    </w:p>
    <w:p>
      <w:pPr>
        <w:spacing w:after="0" w:line="117" w:lineRule="exact"/>
        <w:rPr>
          <w:sz w:val="20"/>
          <w:szCs w:val="20"/>
          <w:color w:val="auto"/>
        </w:rPr>
      </w:pPr>
    </w:p>
    <w:tbl>
      <w:tblPr>
        <w:tblLayout w:type="fixed"/>
        <w:tblInd w:w="7" w:type="dxa"/>
        <w:tblCellMar>
          <w:top w:w="0" w:type="dxa"/>
          <w:left w:w="0" w:type="dxa"/>
          <w:bottom w:w="0" w:type="dxa"/>
          <w:right w:w="0" w:type="dxa"/>
        </w:tblCellMar>
      </w:tblPr>
      <w:tr>
        <w:trPr>
          <w:trHeight w:val="163"/>
        </w:trPr>
        <w:tc>
          <w:tcPr>
            <w:tcW w:w="5860" w:type="dxa"/>
            <w:vAlign w:val="bottom"/>
          </w:tcPr>
          <w:p>
            <w:pPr>
              <w:spacing w:after="0"/>
              <w:rPr>
                <w:sz w:val="14"/>
                <w:szCs w:val="14"/>
                <w:color w:val="auto"/>
              </w:rPr>
            </w:pPr>
          </w:p>
        </w:tc>
        <w:tc>
          <w:tcPr>
            <w:tcW w:w="5400" w:type="dxa"/>
            <w:vAlign w:val="bottom"/>
          </w:tcPr>
          <w:p>
            <w:pPr>
              <w:jc w:val="right"/>
              <w:spacing w:after="0"/>
              <w:rPr>
                <w:sz w:val="20"/>
                <w:szCs w:val="20"/>
                <w:color w:val="auto"/>
              </w:rPr>
            </w:pPr>
            <w:r>
              <w:rPr>
                <w:rFonts w:ascii="Arial" w:cs="Arial" w:eastAsia="Arial" w:hAnsi="Arial"/>
                <w:sz w:val="14"/>
                <w:szCs w:val="14"/>
                <w:b w:val="1"/>
                <w:bCs w:val="1"/>
                <w:color w:val="auto"/>
              </w:rPr>
              <w:t>Target Bonus</w:t>
            </w:r>
          </w:p>
        </w:tc>
      </w:tr>
      <w:tr>
        <w:trPr>
          <w:trHeight w:val="163"/>
        </w:trPr>
        <w:tc>
          <w:tcPr>
            <w:tcW w:w="5860" w:type="dxa"/>
            <w:vAlign w:val="bottom"/>
          </w:tcPr>
          <w:p>
            <w:pPr>
              <w:spacing w:after="0"/>
              <w:rPr>
                <w:sz w:val="14"/>
                <w:szCs w:val="14"/>
                <w:color w:val="auto"/>
              </w:rPr>
            </w:pPr>
          </w:p>
        </w:tc>
        <w:tc>
          <w:tcPr>
            <w:tcW w:w="5400" w:type="dxa"/>
            <w:vAlign w:val="bottom"/>
          </w:tcPr>
          <w:p>
            <w:pPr>
              <w:jc w:val="right"/>
              <w:spacing w:after="0"/>
              <w:rPr>
                <w:sz w:val="20"/>
                <w:szCs w:val="20"/>
                <w:color w:val="auto"/>
              </w:rPr>
            </w:pPr>
            <w:r>
              <w:rPr>
                <w:rFonts w:ascii="Arial" w:cs="Arial" w:eastAsia="Arial" w:hAnsi="Arial"/>
                <w:sz w:val="14"/>
                <w:szCs w:val="14"/>
                <w:b w:val="1"/>
                <w:bCs w:val="1"/>
                <w:color w:val="auto"/>
              </w:rPr>
              <w:t>for Fiscal 2024</w:t>
            </w:r>
          </w:p>
        </w:tc>
      </w:tr>
      <w:tr>
        <w:trPr>
          <w:trHeight w:val="179"/>
        </w:trPr>
        <w:tc>
          <w:tcPr>
            <w:tcW w:w="5860" w:type="dxa"/>
            <w:vAlign w:val="bottom"/>
            <w:tcBorders>
              <w:bottom w:val="single" w:sz="8" w:color="7CBD3F"/>
            </w:tcBorders>
          </w:tcPr>
          <w:p>
            <w:pPr>
              <w:ind w:left="40"/>
              <w:spacing w:after="0"/>
              <w:rPr>
                <w:sz w:val="20"/>
                <w:szCs w:val="20"/>
                <w:color w:val="auto"/>
              </w:rPr>
            </w:pPr>
            <w:r>
              <w:rPr>
                <w:rFonts w:ascii="Arial" w:cs="Arial" w:eastAsia="Arial" w:hAnsi="Arial"/>
                <w:sz w:val="14"/>
                <w:szCs w:val="14"/>
                <w:b w:val="1"/>
                <w:bCs w:val="1"/>
                <w:color w:val="auto"/>
              </w:rPr>
              <w:t>Name</w:t>
            </w:r>
          </w:p>
        </w:tc>
        <w:tc>
          <w:tcPr>
            <w:tcW w:w="5400" w:type="dxa"/>
            <w:vAlign w:val="bottom"/>
            <w:tcBorders>
              <w:bottom w:val="single" w:sz="8" w:color="7CBD3F"/>
            </w:tcBorders>
          </w:tcPr>
          <w:p>
            <w:pPr>
              <w:jc w:val="right"/>
              <w:spacing w:after="0"/>
              <w:rPr>
                <w:sz w:val="20"/>
                <w:szCs w:val="20"/>
                <w:color w:val="auto"/>
              </w:rPr>
            </w:pPr>
            <w:r>
              <w:rPr>
                <w:rFonts w:ascii="Arial" w:cs="Arial" w:eastAsia="Arial" w:hAnsi="Arial"/>
                <w:sz w:val="14"/>
                <w:szCs w:val="14"/>
                <w:b w:val="1"/>
                <w:bCs w:val="1"/>
                <w:color w:val="auto"/>
              </w:rPr>
              <w:t>(% of Base Salary)</w:t>
            </w:r>
          </w:p>
        </w:tc>
      </w:tr>
      <w:tr>
        <w:trPr>
          <w:trHeight w:val="163"/>
        </w:trPr>
        <w:tc>
          <w:tcPr>
            <w:tcW w:w="5860" w:type="dxa"/>
            <w:vAlign w:val="bottom"/>
          </w:tcPr>
          <w:p>
            <w:pPr>
              <w:ind w:left="40"/>
              <w:spacing w:after="0"/>
              <w:rPr>
                <w:sz w:val="20"/>
                <w:szCs w:val="20"/>
                <w:color w:val="auto"/>
              </w:rPr>
            </w:pPr>
            <w:r>
              <w:rPr>
                <w:rFonts w:ascii="Arial" w:cs="Arial" w:eastAsia="Arial" w:hAnsi="Arial"/>
                <w:sz w:val="14"/>
                <w:szCs w:val="14"/>
                <w:color w:val="auto"/>
              </w:rPr>
              <w:t>Emil D. Kakkis, M.D., Ph.D.</w:t>
            </w:r>
          </w:p>
        </w:tc>
        <w:tc>
          <w:tcPr>
            <w:tcW w:w="5400" w:type="dxa"/>
            <w:vAlign w:val="bottom"/>
          </w:tcPr>
          <w:p>
            <w:pPr>
              <w:jc w:val="right"/>
              <w:spacing w:after="0"/>
              <w:rPr>
                <w:sz w:val="20"/>
                <w:szCs w:val="20"/>
                <w:color w:val="auto"/>
              </w:rPr>
            </w:pPr>
            <w:r>
              <w:rPr>
                <w:rFonts w:ascii="Arial" w:cs="Arial" w:eastAsia="Arial" w:hAnsi="Arial"/>
                <w:sz w:val="14"/>
                <w:szCs w:val="14"/>
                <w:color w:val="auto"/>
              </w:rPr>
              <w:t>80</w:t>
            </w:r>
          </w:p>
        </w:tc>
      </w:tr>
      <w:tr>
        <w:trPr>
          <w:trHeight w:val="163"/>
        </w:trPr>
        <w:tc>
          <w:tcPr>
            <w:tcW w:w="5860" w:type="dxa"/>
            <w:vAlign w:val="bottom"/>
            <w:shd w:val="clear" w:color="auto" w:fill="F0F7E7"/>
          </w:tcPr>
          <w:p>
            <w:pPr>
              <w:ind w:left="40"/>
              <w:spacing w:after="0"/>
              <w:rPr>
                <w:sz w:val="20"/>
                <w:szCs w:val="20"/>
                <w:color w:val="auto"/>
              </w:rPr>
            </w:pPr>
            <w:r>
              <w:rPr>
                <w:rFonts w:ascii="Arial" w:cs="Arial" w:eastAsia="Arial" w:hAnsi="Arial"/>
                <w:sz w:val="14"/>
                <w:szCs w:val="14"/>
                <w:color w:val="auto"/>
              </w:rPr>
              <w:t>Howard Horn</w:t>
            </w:r>
          </w:p>
        </w:tc>
        <w:tc>
          <w:tcPr>
            <w:tcW w:w="5400" w:type="dxa"/>
            <w:vAlign w:val="bottom"/>
            <w:shd w:val="clear" w:color="auto" w:fill="F0F7E7"/>
          </w:tcPr>
          <w:p>
            <w:pPr>
              <w:jc w:val="right"/>
              <w:spacing w:after="0"/>
              <w:rPr>
                <w:sz w:val="20"/>
                <w:szCs w:val="20"/>
                <w:color w:val="auto"/>
              </w:rPr>
            </w:pPr>
            <w:r>
              <w:rPr>
                <w:rFonts w:ascii="Arial" w:cs="Arial" w:eastAsia="Arial" w:hAnsi="Arial"/>
                <w:sz w:val="14"/>
                <w:szCs w:val="14"/>
                <w:color w:val="auto"/>
              </w:rPr>
              <w:t>50</w:t>
            </w:r>
          </w:p>
        </w:tc>
      </w:tr>
      <w:tr>
        <w:trPr>
          <w:trHeight w:val="163"/>
        </w:trPr>
        <w:tc>
          <w:tcPr>
            <w:tcW w:w="5860" w:type="dxa"/>
            <w:vAlign w:val="bottom"/>
          </w:tcPr>
          <w:p>
            <w:pPr>
              <w:ind w:left="40"/>
              <w:spacing w:after="0"/>
              <w:rPr>
                <w:sz w:val="20"/>
                <w:szCs w:val="20"/>
                <w:color w:val="auto"/>
              </w:rPr>
            </w:pPr>
            <w:r>
              <w:rPr>
                <w:rFonts w:ascii="Arial" w:cs="Arial" w:eastAsia="Arial" w:hAnsi="Arial"/>
                <w:sz w:val="14"/>
                <w:szCs w:val="14"/>
                <w:color w:val="auto"/>
              </w:rPr>
              <w:t>Erik Harris</w:t>
            </w:r>
          </w:p>
        </w:tc>
        <w:tc>
          <w:tcPr>
            <w:tcW w:w="5400" w:type="dxa"/>
            <w:vAlign w:val="bottom"/>
          </w:tcPr>
          <w:p>
            <w:pPr>
              <w:jc w:val="right"/>
              <w:spacing w:after="0"/>
              <w:rPr>
                <w:sz w:val="20"/>
                <w:szCs w:val="20"/>
                <w:color w:val="auto"/>
              </w:rPr>
            </w:pPr>
            <w:r>
              <w:rPr>
                <w:rFonts w:ascii="Arial" w:cs="Arial" w:eastAsia="Arial" w:hAnsi="Arial"/>
                <w:sz w:val="14"/>
                <w:szCs w:val="14"/>
                <w:color w:val="auto"/>
              </w:rPr>
              <w:t>50</w:t>
            </w:r>
          </w:p>
        </w:tc>
      </w:tr>
      <w:tr>
        <w:trPr>
          <w:trHeight w:val="163"/>
        </w:trPr>
        <w:tc>
          <w:tcPr>
            <w:tcW w:w="5860" w:type="dxa"/>
            <w:vAlign w:val="bottom"/>
            <w:shd w:val="clear" w:color="auto" w:fill="F0F7E7"/>
          </w:tcPr>
          <w:p>
            <w:pPr>
              <w:ind w:left="40"/>
              <w:spacing w:after="0"/>
              <w:rPr>
                <w:sz w:val="20"/>
                <w:szCs w:val="20"/>
                <w:color w:val="auto"/>
              </w:rPr>
            </w:pPr>
            <w:r>
              <w:rPr>
                <w:rFonts w:ascii="Arial" w:cs="Arial" w:eastAsia="Arial" w:hAnsi="Arial"/>
                <w:sz w:val="14"/>
                <w:szCs w:val="14"/>
                <w:color w:val="auto"/>
              </w:rPr>
              <w:t>Eric Crombez, M.D.</w:t>
            </w:r>
          </w:p>
        </w:tc>
        <w:tc>
          <w:tcPr>
            <w:tcW w:w="5400" w:type="dxa"/>
            <w:vAlign w:val="bottom"/>
            <w:shd w:val="clear" w:color="auto" w:fill="F0F7E7"/>
          </w:tcPr>
          <w:p>
            <w:pPr>
              <w:jc w:val="right"/>
              <w:spacing w:after="0"/>
              <w:rPr>
                <w:sz w:val="20"/>
                <w:szCs w:val="20"/>
                <w:color w:val="auto"/>
              </w:rPr>
            </w:pPr>
            <w:r>
              <w:rPr>
                <w:rFonts w:ascii="Arial" w:cs="Arial" w:eastAsia="Arial" w:hAnsi="Arial"/>
                <w:sz w:val="14"/>
                <w:szCs w:val="14"/>
                <w:color w:val="auto"/>
              </w:rPr>
              <w:t>50</w:t>
            </w:r>
          </w:p>
        </w:tc>
      </w:tr>
      <w:tr>
        <w:trPr>
          <w:trHeight w:val="167"/>
        </w:trPr>
        <w:tc>
          <w:tcPr>
            <w:tcW w:w="5860" w:type="dxa"/>
            <w:vAlign w:val="bottom"/>
            <w:tcBorders>
              <w:bottom w:val="single" w:sz="8" w:color="7CBD3F"/>
            </w:tcBorders>
          </w:tcPr>
          <w:p>
            <w:pPr>
              <w:ind w:left="40"/>
              <w:spacing w:after="0"/>
              <w:rPr>
                <w:sz w:val="20"/>
                <w:szCs w:val="20"/>
                <w:color w:val="auto"/>
              </w:rPr>
            </w:pPr>
            <w:r>
              <w:rPr>
                <w:rFonts w:ascii="Arial" w:cs="Arial" w:eastAsia="Arial" w:hAnsi="Arial"/>
                <w:sz w:val="14"/>
                <w:szCs w:val="14"/>
                <w:color w:val="auto"/>
              </w:rPr>
              <w:t>John R. Pinion II</w:t>
            </w:r>
          </w:p>
        </w:tc>
        <w:tc>
          <w:tcPr>
            <w:tcW w:w="5400" w:type="dxa"/>
            <w:vAlign w:val="bottom"/>
            <w:tcBorders>
              <w:bottom w:val="single" w:sz="8" w:color="7CBD3F"/>
            </w:tcBorders>
          </w:tcPr>
          <w:p>
            <w:pPr>
              <w:jc w:val="right"/>
              <w:spacing w:after="0"/>
              <w:rPr>
                <w:sz w:val="20"/>
                <w:szCs w:val="20"/>
                <w:color w:val="auto"/>
              </w:rPr>
            </w:pPr>
            <w:r>
              <w:rPr>
                <w:rFonts w:ascii="Arial" w:cs="Arial" w:eastAsia="Arial" w:hAnsi="Arial"/>
                <w:sz w:val="14"/>
                <w:szCs w:val="14"/>
                <w:color w:val="auto"/>
              </w:rPr>
              <w:t>50</w:t>
            </w:r>
          </w:p>
        </w:tc>
      </w:tr>
    </w:tbl>
    <w:p>
      <w:pPr>
        <w:spacing w:after="0" w:line="151"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auto"/>
        </w:rPr>
        <w:t xml:space="preserve">ULTRAGENYX PHARMACEUTICAL INC. </w:t>
      </w:r>
      <w:r>
        <w:rPr>
          <w:rFonts w:ascii="Arial" w:cs="Arial" w:eastAsia="Arial" w:hAnsi="Arial"/>
          <w:sz w:val="14"/>
          <w:szCs w:val="14"/>
          <w:color w:val="7CBD3F"/>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2025 Proxy Statement</w:t>
      </w:r>
      <w:r>
        <w:rPr>
          <w:rFonts w:ascii="Arial" w:cs="Arial" w:eastAsia="Arial" w:hAnsi="Arial"/>
          <w:sz w:val="14"/>
          <w:szCs w:val="14"/>
          <w:b w:val="1"/>
          <w:bCs w:val="1"/>
          <w:color w:val="auto"/>
        </w:rPr>
        <w:tab/>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150735"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0735" cy="29845"/>
                    </a:xfrm>
                    <a:prstGeom prst="rect">
                      <a:avLst/>
                    </a:prstGeom>
                    <a:noFill/>
                  </pic:spPr>
                </pic:pic>
              </a:graphicData>
            </a:graphic>
          </wp:anchor>
        </w:drawing>
      </w:r>
    </w:p>
    <w:p>
      <w:pPr>
        <w:sectPr>
          <w:pgSz w:w="11900" w:h="16838" w:orient="portrait"/>
          <w:cols w:equalWidth="0" w:num="1">
            <w:col w:w="11267"/>
          </w:cols>
          <w:pgMar w:left="313" w:top="225" w:right="319" w:bottom="1440" w:gutter="0" w:footer="0" w:header="0"/>
        </w:sectPr>
      </w:pPr>
    </w:p>
    <w:bookmarkStart w:id="46" w:name="page47"/>
    <w:bookmarkEnd w:id="46"/>
    <w:p>
      <w:pPr>
        <w:ind w:left="7"/>
        <w:spacing w:after="0"/>
        <w:rPr>
          <w:sz w:val="20"/>
          <w:szCs w:val="20"/>
          <w:color w:val="auto"/>
        </w:rPr>
      </w:pPr>
      <w:r>
        <w:rPr>
          <w:rFonts w:ascii="Arial" w:cs="Arial" w:eastAsia="Arial" w:hAnsi="Arial"/>
          <w:sz w:val="12"/>
          <w:szCs w:val="12"/>
          <w:b w:val="1"/>
          <w:bCs w:val="1"/>
          <w:u w:val="single" w:color="auto"/>
          <w:color w:val="0000EE"/>
        </w:rPr>
        <w:t>Back to Contents</w:t>
      </w:r>
    </w:p>
    <w:p>
      <w:pPr>
        <w:spacing w:after="0" w:line="149" w:lineRule="exact"/>
        <w:rPr>
          <w:sz w:val="20"/>
          <w:szCs w:val="20"/>
          <w:color w:val="auto"/>
        </w:rPr>
      </w:pPr>
    </w:p>
    <w:p>
      <w:pPr>
        <w:jc w:val="both"/>
        <w:ind w:left="7"/>
        <w:spacing w:after="0" w:line="260" w:lineRule="auto"/>
        <w:rPr>
          <w:sz w:val="20"/>
          <w:szCs w:val="20"/>
          <w:color w:val="auto"/>
        </w:rPr>
      </w:pPr>
      <w:r>
        <w:rPr>
          <w:rFonts w:ascii="Arial" w:cs="Arial" w:eastAsia="Arial" w:hAnsi="Arial"/>
          <w:sz w:val="14"/>
          <w:szCs w:val="14"/>
          <w:color w:val="auto"/>
        </w:rPr>
        <w:t>In February 2025, the Compensation Committee assessed our overall 2024 performance against the achievement of the corporate goals to determine a total percentage of achievement between 0% and 150%. The Compensation Committee considered the following performance goals, as well as the relative weighting of these goals, in assessing overall performance for the 2024 fiscal year:</w:t>
      </w:r>
    </w:p>
    <w:p>
      <w:pPr>
        <w:spacing w:after="0" w:line="130" w:lineRule="exact"/>
        <w:rPr>
          <w:sz w:val="20"/>
          <w:szCs w:val="20"/>
          <w:color w:val="auto"/>
        </w:rPr>
      </w:pPr>
    </w:p>
    <w:tbl>
      <w:tblPr>
        <w:tblLayout w:type="fixed"/>
        <w:tblInd w:w="7" w:type="dxa"/>
        <w:tblCellMar>
          <w:top w:w="0" w:type="dxa"/>
          <w:left w:w="0" w:type="dxa"/>
          <w:bottom w:w="0" w:type="dxa"/>
          <w:right w:w="0" w:type="dxa"/>
        </w:tblCellMar>
      </w:tblPr>
      <w:tr>
        <w:trPr>
          <w:trHeight w:val="163"/>
        </w:trPr>
        <w:tc>
          <w:tcPr>
            <w:tcW w:w="450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180" w:type="dxa"/>
            <w:vAlign w:val="bottom"/>
          </w:tcPr>
          <w:p>
            <w:pPr>
              <w:jc w:val="right"/>
              <w:ind w:right="30"/>
              <w:spacing w:after="0"/>
              <w:rPr>
                <w:sz w:val="20"/>
                <w:szCs w:val="20"/>
                <w:color w:val="auto"/>
              </w:rPr>
            </w:pPr>
            <w:r>
              <w:rPr>
                <w:rFonts w:ascii="Arial" w:cs="Arial" w:eastAsia="Arial" w:hAnsi="Arial"/>
                <w:sz w:val="14"/>
                <w:szCs w:val="14"/>
                <w:b w:val="1"/>
                <w:bCs w:val="1"/>
                <w:color w:val="auto"/>
              </w:rPr>
              <w:t>Achievement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79"/>
        </w:trPr>
        <w:tc>
          <w:tcPr>
            <w:tcW w:w="4500" w:type="dxa"/>
            <w:vAlign w:val="bottom"/>
            <w:tcBorders>
              <w:bottom w:val="single" w:sz="8" w:color="7CBD3F"/>
            </w:tcBorders>
          </w:tcPr>
          <w:p>
            <w:pPr>
              <w:ind w:left="40"/>
              <w:spacing w:after="0"/>
              <w:rPr>
                <w:sz w:val="20"/>
                <w:szCs w:val="20"/>
                <w:color w:val="auto"/>
              </w:rPr>
            </w:pPr>
            <w:r>
              <w:rPr>
                <w:rFonts w:ascii="Arial" w:cs="Arial" w:eastAsia="Arial" w:hAnsi="Arial"/>
                <w:sz w:val="14"/>
                <w:szCs w:val="14"/>
                <w:b w:val="1"/>
                <w:bCs w:val="1"/>
                <w:color w:val="auto"/>
              </w:rPr>
              <w:t>Goal (Weighting)</w:t>
            </w:r>
          </w:p>
        </w:tc>
        <w:tc>
          <w:tcPr>
            <w:tcW w:w="4540" w:type="dxa"/>
            <w:vAlign w:val="bottom"/>
            <w:tcBorders>
              <w:bottom w:val="single" w:sz="8" w:color="7CBD3F"/>
            </w:tcBorders>
          </w:tcPr>
          <w:p>
            <w:pPr>
              <w:ind w:left="100"/>
              <w:spacing w:after="0"/>
              <w:rPr>
                <w:sz w:val="20"/>
                <w:szCs w:val="20"/>
                <w:color w:val="auto"/>
              </w:rPr>
            </w:pPr>
            <w:r>
              <w:rPr>
                <w:rFonts w:ascii="Arial" w:cs="Arial" w:eastAsia="Arial" w:hAnsi="Arial"/>
                <w:sz w:val="14"/>
                <w:szCs w:val="14"/>
                <w:b w:val="1"/>
                <w:bCs w:val="1"/>
                <w:color w:val="auto"/>
              </w:rPr>
              <w:t>Key Results</w:t>
            </w:r>
          </w:p>
        </w:tc>
        <w:tc>
          <w:tcPr>
            <w:tcW w:w="1180" w:type="dxa"/>
            <w:vAlign w:val="bottom"/>
            <w:tcBorders>
              <w:bottom w:val="single" w:sz="8" w:color="7CBD3F"/>
            </w:tcBorders>
          </w:tcPr>
          <w:p>
            <w:pPr>
              <w:jc w:val="right"/>
              <w:ind w:right="30"/>
              <w:spacing w:after="0"/>
              <w:rPr>
                <w:sz w:val="20"/>
                <w:szCs w:val="20"/>
                <w:color w:val="auto"/>
              </w:rPr>
            </w:pPr>
            <w:r>
              <w:rPr>
                <w:rFonts w:ascii="Arial" w:cs="Arial" w:eastAsia="Arial" w:hAnsi="Arial"/>
                <w:sz w:val="14"/>
                <w:szCs w:val="14"/>
                <w:b w:val="1"/>
                <w:bCs w:val="1"/>
                <w:color w:val="auto"/>
              </w:rPr>
              <w:t>Against Goal</w:t>
            </w:r>
          </w:p>
        </w:tc>
        <w:tc>
          <w:tcPr>
            <w:tcW w:w="1040" w:type="dxa"/>
            <w:vAlign w:val="bottom"/>
            <w:tcBorders>
              <w:bottom w:val="single" w:sz="8" w:color="7CBD3F"/>
            </w:tcBorders>
          </w:tcPr>
          <w:p>
            <w:pPr>
              <w:jc w:val="right"/>
              <w:spacing w:after="0"/>
              <w:rPr>
                <w:sz w:val="20"/>
                <w:szCs w:val="20"/>
                <w:color w:val="auto"/>
              </w:rPr>
            </w:pPr>
            <w:r>
              <w:rPr>
                <w:rFonts w:ascii="Arial" w:cs="Arial" w:eastAsia="Arial" w:hAnsi="Arial"/>
                <w:sz w:val="14"/>
                <w:szCs w:val="14"/>
                <w:b w:val="1"/>
                <w:bCs w:val="1"/>
                <w:color w:val="auto"/>
              </w:rPr>
              <w:t>Achievement</w:t>
            </w:r>
          </w:p>
        </w:tc>
        <w:tc>
          <w:tcPr>
            <w:tcW w:w="0" w:type="dxa"/>
            <w:vAlign w:val="bottom"/>
          </w:tcPr>
          <w:p>
            <w:pPr>
              <w:spacing w:after="0"/>
              <w:rPr>
                <w:sz w:val="1"/>
                <w:szCs w:val="1"/>
                <w:color w:val="auto"/>
              </w:rPr>
            </w:pPr>
          </w:p>
        </w:tc>
      </w:tr>
      <w:tr>
        <w:trPr>
          <w:trHeight w:val="151"/>
        </w:trPr>
        <w:tc>
          <w:tcPr>
            <w:tcW w:w="4500" w:type="dxa"/>
            <w:vAlign w:val="bottom"/>
          </w:tcPr>
          <w:p>
            <w:pPr>
              <w:ind w:left="40"/>
              <w:spacing w:after="0" w:line="151" w:lineRule="exact"/>
              <w:rPr>
                <w:sz w:val="20"/>
                <w:szCs w:val="20"/>
                <w:color w:val="auto"/>
              </w:rPr>
            </w:pPr>
            <w:r>
              <w:rPr>
                <w:rFonts w:ascii="Arial" w:cs="Arial" w:eastAsia="Arial" w:hAnsi="Arial"/>
                <w:sz w:val="14"/>
                <w:szCs w:val="14"/>
                <w:b w:val="1"/>
                <w:bCs w:val="1"/>
                <w:i w:val="1"/>
                <w:iCs w:val="1"/>
                <w:color w:val="auto"/>
              </w:rPr>
              <w:t>Commercial (30%)</w:t>
            </w:r>
          </w:p>
        </w:tc>
        <w:tc>
          <w:tcPr>
            <w:tcW w:w="4540" w:type="dxa"/>
            <w:vAlign w:val="bottom"/>
            <w:vMerge w:val="restart"/>
          </w:tcPr>
          <w:p>
            <w:pPr>
              <w:ind w:left="100"/>
              <w:spacing w:after="0"/>
              <w:rPr>
                <w:sz w:val="20"/>
                <w:szCs w:val="20"/>
                <w:color w:val="auto"/>
              </w:rPr>
            </w:pPr>
            <w:r>
              <w:rPr>
                <w:rFonts w:ascii="Arial" w:cs="Arial" w:eastAsia="Arial" w:hAnsi="Arial"/>
                <w:sz w:val="14"/>
                <w:szCs w:val="14"/>
                <w:b w:val="1"/>
                <w:bCs w:val="1"/>
                <w:i w:val="1"/>
                <w:iCs w:val="1"/>
                <w:color w:val="auto"/>
              </w:rPr>
              <w:t xml:space="preserve">Exceeded. </w:t>
            </w:r>
            <w:r>
              <w:rPr>
                <w:rFonts w:ascii="Arial" w:cs="Arial" w:eastAsia="Arial" w:hAnsi="Arial"/>
                <w:sz w:val="14"/>
                <w:szCs w:val="14"/>
                <w:color w:val="auto"/>
              </w:rPr>
              <w:t>Achieved revenue targets between base and outperform</w:t>
            </w:r>
          </w:p>
        </w:tc>
        <w:tc>
          <w:tcPr>
            <w:tcW w:w="1180" w:type="dxa"/>
            <w:vAlign w:val="bottom"/>
            <w:vMerge w:val="restart"/>
          </w:tcPr>
          <w:p>
            <w:pPr>
              <w:jc w:val="right"/>
              <w:ind w:right="30"/>
              <w:spacing w:after="0"/>
              <w:rPr>
                <w:sz w:val="20"/>
                <w:szCs w:val="20"/>
                <w:color w:val="auto"/>
              </w:rPr>
            </w:pPr>
            <w:r>
              <w:rPr>
                <w:rFonts w:ascii="Arial" w:cs="Arial" w:eastAsia="Arial" w:hAnsi="Arial"/>
                <w:sz w:val="14"/>
                <w:szCs w:val="14"/>
                <w:color w:val="auto"/>
              </w:rPr>
              <w:t>123%</w:t>
            </w:r>
          </w:p>
        </w:tc>
        <w:tc>
          <w:tcPr>
            <w:tcW w:w="10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37%</w:t>
            </w:r>
          </w:p>
        </w:tc>
        <w:tc>
          <w:tcPr>
            <w:tcW w:w="0" w:type="dxa"/>
            <w:vAlign w:val="bottom"/>
          </w:tcPr>
          <w:p>
            <w:pPr>
              <w:spacing w:after="0"/>
              <w:rPr>
                <w:sz w:val="1"/>
                <w:szCs w:val="1"/>
                <w:color w:val="auto"/>
              </w:rPr>
            </w:pPr>
          </w:p>
        </w:tc>
      </w:tr>
      <w:tr>
        <w:trPr>
          <w:trHeight w:val="111"/>
        </w:trPr>
        <w:tc>
          <w:tcPr>
            <w:tcW w:w="4500" w:type="dxa"/>
            <w:vAlign w:val="bottom"/>
            <w:vMerge w:val="restart"/>
          </w:tcPr>
          <w:p>
            <w:pPr>
              <w:ind w:left="40"/>
              <w:spacing w:after="0"/>
              <w:rPr>
                <w:sz w:val="20"/>
                <w:szCs w:val="20"/>
                <w:color w:val="auto"/>
              </w:rPr>
            </w:pPr>
            <w:r>
              <w:rPr>
                <w:rFonts w:ascii="Arial" w:cs="Arial" w:eastAsia="Arial" w:hAnsi="Arial"/>
                <w:sz w:val="14"/>
                <w:szCs w:val="14"/>
                <w:color w:val="auto"/>
              </w:rPr>
              <w:t>Revenue goals for commercial assets</w:t>
            </w:r>
          </w:p>
        </w:tc>
        <w:tc>
          <w:tcPr>
            <w:tcW w:w="454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5"/>
        </w:trPr>
        <w:tc>
          <w:tcPr>
            <w:tcW w:w="4500" w:type="dxa"/>
            <w:vAlign w:val="bottom"/>
            <w:vMerge w:val="continue"/>
          </w:tcPr>
          <w:p>
            <w:pPr>
              <w:spacing w:after="0"/>
              <w:rPr>
                <w:sz w:val="5"/>
                <w:szCs w:val="5"/>
                <w:color w:val="auto"/>
              </w:rPr>
            </w:pPr>
          </w:p>
        </w:tc>
        <w:tc>
          <w:tcPr>
            <w:tcW w:w="454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4500" w:type="dxa"/>
            <w:vAlign w:val="bottom"/>
            <w:shd w:val="clear" w:color="auto" w:fill="F0F7E7"/>
          </w:tcPr>
          <w:p>
            <w:pPr>
              <w:ind w:left="40"/>
              <w:spacing w:after="0"/>
              <w:rPr>
                <w:sz w:val="20"/>
                <w:szCs w:val="20"/>
                <w:color w:val="auto"/>
              </w:rPr>
            </w:pPr>
            <w:r>
              <w:rPr>
                <w:rFonts w:ascii="Arial" w:cs="Arial" w:eastAsia="Arial" w:hAnsi="Arial"/>
                <w:sz w:val="14"/>
                <w:szCs w:val="14"/>
                <w:b w:val="1"/>
                <w:bCs w:val="1"/>
                <w:i w:val="1"/>
                <w:iCs w:val="1"/>
                <w:color w:val="auto"/>
              </w:rPr>
              <w:t>Development (60%)</w:t>
            </w:r>
          </w:p>
        </w:tc>
        <w:tc>
          <w:tcPr>
            <w:tcW w:w="4540" w:type="dxa"/>
            <w:vAlign w:val="bottom"/>
            <w:shd w:val="clear" w:color="auto" w:fill="F0F7E7"/>
          </w:tcPr>
          <w:p>
            <w:pPr>
              <w:spacing w:after="0"/>
              <w:rPr>
                <w:sz w:val="14"/>
                <w:szCs w:val="14"/>
                <w:color w:val="auto"/>
              </w:rPr>
            </w:pPr>
          </w:p>
        </w:tc>
        <w:tc>
          <w:tcPr>
            <w:tcW w:w="1180" w:type="dxa"/>
            <w:vAlign w:val="bottom"/>
            <w:shd w:val="clear" w:color="auto" w:fill="F0F7E7"/>
          </w:tcPr>
          <w:p>
            <w:pPr>
              <w:spacing w:after="0"/>
              <w:rPr>
                <w:sz w:val="14"/>
                <w:szCs w:val="14"/>
                <w:color w:val="auto"/>
              </w:rPr>
            </w:pPr>
          </w:p>
        </w:tc>
        <w:tc>
          <w:tcPr>
            <w:tcW w:w="1040" w:type="dxa"/>
            <w:vAlign w:val="bottom"/>
            <w:shd w:val="clear" w:color="auto" w:fill="F0F7E7"/>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500" w:type="dxa"/>
            <w:vAlign w:val="bottom"/>
            <w:shd w:val="clear" w:color="auto" w:fill="F0F7E7"/>
          </w:tcPr>
          <w:p>
            <w:pPr>
              <w:ind w:left="40"/>
              <w:spacing w:after="0"/>
              <w:rPr>
                <w:sz w:val="20"/>
                <w:szCs w:val="20"/>
                <w:color w:val="auto"/>
              </w:rPr>
            </w:pPr>
            <w:r>
              <w:rPr>
                <w:rFonts w:ascii="Arial" w:cs="Arial" w:eastAsia="Arial" w:hAnsi="Arial"/>
                <w:sz w:val="14"/>
                <w:szCs w:val="14"/>
                <w:color w:val="auto"/>
              </w:rPr>
              <w:t>Clinical program-based goals focused on clinical development and</w:t>
            </w:r>
          </w:p>
        </w:tc>
        <w:tc>
          <w:tcPr>
            <w:tcW w:w="4540" w:type="dxa"/>
            <w:vAlign w:val="bottom"/>
            <w:shd w:val="clear" w:color="auto" w:fill="F0F7E7"/>
          </w:tcPr>
          <w:p>
            <w:pPr>
              <w:spacing w:after="0"/>
              <w:rPr>
                <w:sz w:val="14"/>
                <w:szCs w:val="14"/>
                <w:color w:val="auto"/>
              </w:rPr>
            </w:pPr>
          </w:p>
        </w:tc>
        <w:tc>
          <w:tcPr>
            <w:tcW w:w="1180" w:type="dxa"/>
            <w:vAlign w:val="bottom"/>
            <w:shd w:val="clear" w:color="auto" w:fill="F0F7E7"/>
          </w:tcPr>
          <w:p>
            <w:pPr>
              <w:spacing w:after="0"/>
              <w:rPr>
                <w:sz w:val="14"/>
                <w:szCs w:val="14"/>
                <w:color w:val="auto"/>
              </w:rPr>
            </w:pPr>
          </w:p>
        </w:tc>
        <w:tc>
          <w:tcPr>
            <w:tcW w:w="1040" w:type="dxa"/>
            <w:vAlign w:val="bottom"/>
            <w:shd w:val="clear" w:color="auto" w:fill="F0F7E7"/>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500" w:type="dxa"/>
            <w:vAlign w:val="bottom"/>
            <w:shd w:val="clear" w:color="auto" w:fill="F0F7E7"/>
          </w:tcPr>
          <w:p>
            <w:pPr>
              <w:ind w:left="40"/>
              <w:spacing w:after="0"/>
              <w:rPr>
                <w:sz w:val="20"/>
                <w:szCs w:val="20"/>
                <w:color w:val="auto"/>
              </w:rPr>
            </w:pPr>
            <w:r>
              <w:rPr>
                <w:rFonts w:ascii="Arial" w:cs="Arial" w:eastAsia="Arial" w:hAnsi="Arial"/>
                <w:sz w:val="14"/>
                <w:szCs w:val="14"/>
                <w:color w:val="auto"/>
              </w:rPr>
              <w:t>enrollment-targets and milestone, including enrollment of the phase 3</w:t>
            </w:r>
          </w:p>
        </w:tc>
        <w:tc>
          <w:tcPr>
            <w:tcW w:w="4540" w:type="dxa"/>
            <w:vAlign w:val="bottom"/>
            <w:vMerge w:val="restart"/>
            <w:shd w:val="clear" w:color="auto" w:fill="F0F7E7"/>
          </w:tcPr>
          <w:p>
            <w:pPr>
              <w:ind w:left="100"/>
              <w:spacing w:after="0"/>
              <w:rPr>
                <w:sz w:val="20"/>
                <w:szCs w:val="20"/>
                <w:color w:val="auto"/>
              </w:rPr>
            </w:pPr>
            <w:r>
              <w:rPr>
                <w:rFonts w:ascii="Arial" w:cs="Arial" w:eastAsia="Arial" w:hAnsi="Arial"/>
                <w:sz w:val="14"/>
                <w:szCs w:val="14"/>
                <w:b w:val="1"/>
                <w:bCs w:val="1"/>
                <w:color w:val="auto"/>
              </w:rPr>
              <w:t xml:space="preserve">Met. </w:t>
            </w:r>
            <w:r>
              <w:rPr>
                <w:rFonts w:ascii="Arial" w:cs="Arial" w:eastAsia="Arial" w:hAnsi="Arial"/>
                <w:sz w:val="14"/>
                <w:szCs w:val="14"/>
                <w:color w:val="auto"/>
              </w:rPr>
              <w:t>Overall achievement of base target for development goals</w:t>
            </w:r>
          </w:p>
        </w:tc>
        <w:tc>
          <w:tcPr>
            <w:tcW w:w="1180" w:type="dxa"/>
            <w:vAlign w:val="bottom"/>
            <w:vMerge w:val="restart"/>
            <w:shd w:val="clear" w:color="auto" w:fill="F0F7E7"/>
          </w:tcPr>
          <w:p>
            <w:pPr>
              <w:jc w:val="right"/>
              <w:ind w:right="30"/>
              <w:spacing w:after="0"/>
              <w:rPr>
                <w:sz w:val="20"/>
                <w:szCs w:val="20"/>
                <w:color w:val="auto"/>
              </w:rPr>
            </w:pPr>
            <w:r>
              <w:rPr>
                <w:rFonts w:ascii="Arial" w:cs="Arial" w:eastAsia="Arial" w:hAnsi="Arial"/>
                <w:sz w:val="14"/>
                <w:szCs w:val="14"/>
                <w:color w:val="auto"/>
              </w:rPr>
              <w:t>100%</w:t>
            </w:r>
          </w:p>
        </w:tc>
        <w:tc>
          <w:tcPr>
            <w:tcW w:w="1040" w:type="dxa"/>
            <w:vAlign w:val="bottom"/>
            <w:vMerge w:val="restart"/>
            <w:shd w:val="clear" w:color="auto" w:fill="F0F7E7"/>
          </w:tcPr>
          <w:p>
            <w:pPr>
              <w:jc w:val="right"/>
              <w:spacing w:after="0"/>
              <w:rPr>
                <w:sz w:val="20"/>
                <w:szCs w:val="20"/>
                <w:color w:val="auto"/>
              </w:rPr>
            </w:pPr>
            <w:r>
              <w:rPr>
                <w:rFonts w:ascii="Arial" w:cs="Arial" w:eastAsia="Arial" w:hAnsi="Arial"/>
                <w:sz w:val="14"/>
                <w:szCs w:val="14"/>
                <w:b w:val="1"/>
                <w:bCs w:val="1"/>
                <w:color w:val="auto"/>
              </w:rPr>
              <w:t>60%</w:t>
            </w:r>
          </w:p>
        </w:tc>
        <w:tc>
          <w:tcPr>
            <w:tcW w:w="0" w:type="dxa"/>
            <w:vAlign w:val="bottom"/>
          </w:tcPr>
          <w:p>
            <w:pPr>
              <w:spacing w:after="0"/>
              <w:rPr>
                <w:sz w:val="1"/>
                <w:szCs w:val="1"/>
                <w:color w:val="auto"/>
              </w:rPr>
            </w:pPr>
          </w:p>
        </w:tc>
      </w:tr>
      <w:tr>
        <w:trPr>
          <w:trHeight w:val="111"/>
        </w:trPr>
        <w:tc>
          <w:tcPr>
            <w:tcW w:w="4500" w:type="dxa"/>
            <w:vAlign w:val="bottom"/>
            <w:vMerge w:val="restart"/>
            <w:shd w:val="clear" w:color="auto" w:fill="F0F7E7"/>
          </w:tcPr>
          <w:p>
            <w:pPr>
              <w:ind w:left="40"/>
              <w:spacing w:after="0"/>
              <w:rPr>
                <w:sz w:val="20"/>
                <w:szCs w:val="20"/>
                <w:color w:val="auto"/>
              </w:rPr>
            </w:pPr>
            <w:r>
              <w:rPr>
                <w:rFonts w:ascii="Arial" w:cs="Arial" w:eastAsia="Arial" w:hAnsi="Arial"/>
                <w:sz w:val="14"/>
                <w:szCs w:val="14"/>
                <w:color w:val="auto"/>
              </w:rPr>
              <w:t>portion of our study for UX143 and the BLA filing for UX111 by</w:t>
            </w:r>
          </w:p>
        </w:tc>
        <w:tc>
          <w:tcPr>
            <w:tcW w:w="4540" w:type="dxa"/>
            <w:vAlign w:val="bottom"/>
            <w:vMerge w:val="continue"/>
            <w:shd w:val="clear" w:color="auto" w:fill="F0F7E7"/>
          </w:tcPr>
          <w:p>
            <w:pPr>
              <w:spacing w:after="0"/>
              <w:rPr>
                <w:sz w:val="9"/>
                <w:szCs w:val="9"/>
                <w:color w:val="auto"/>
              </w:rPr>
            </w:pPr>
          </w:p>
        </w:tc>
        <w:tc>
          <w:tcPr>
            <w:tcW w:w="1180" w:type="dxa"/>
            <w:vAlign w:val="bottom"/>
            <w:vMerge w:val="continue"/>
            <w:shd w:val="clear" w:color="auto" w:fill="F0F7E7"/>
          </w:tcPr>
          <w:p>
            <w:pPr>
              <w:spacing w:after="0"/>
              <w:rPr>
                <w:sz w:val="9"/>
                <w:szCs w:val="9"/>
                <w:color w:val="auto"/>
              </w:rPr>
            </w:pPr>
          </w:p>
        </w:tc>
        <w:tc>
          <w:tcPr>
            <w:tcW w:w="1040" w:type="dxa"/>
            <w:vAlign w:val="bottom"/>
            <w:vMerge w:val="continue"/>
            <w:shd w:val="clear" w:color="auto" w:fill="F0F7E7"/>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4500" w:type="dxa"/>
            <w:vAlign w:val="bottom"/>
            <w:vMerge w:val="continue"/>
            <w:shd w:val="clear" w:color="auto" w:fill="F0F7E7"/>
          </w:tcPr>
          <w:p>
            <w:pPr>
              <w:spacing w:after="0"/>
              <w:rPr>
                <w:sz w:val="4"/>
                <w:szCs w:val="4"/>
                <w:color w:val="auto"/>
              </w:rPr>
            </w:pPr>
          </w:p>
        </w:tc>
        <w:tc>
          <w:tcPr>
            <w:tcW w:w="4540" w:type="dxa"/>
            <w:vAlign w:val="bottom"/>
            <w:shd w:val="clear" w:color="auto" w:fill="F0F7E7"/>
          </w:tcPr>
          <w:p>
            <w:pPr>
              <w:spacing w:after="0"/>
              <w:rPr>
                <w:sz w:val="4"/>
                <w:szCs w:val="4"/>
                <w:color w:val="auto"/>
              </w:rPr>
            </w:pPr>
          </w:p>
        </w:tc>
        <w:tc>
          <w:tcPr>
            <w:tcW w:w="1180" w:type="dxa"/>
            <w:vAlign w:val="bottom"/>
            <w:shd w:val="clear" w:color="auto" w:fill="F0F7E7"/>
          </w:tcPr>
          <w:p>
            <w:pPr>
              <w:spacing w:after="0"/>
              <w:rPr>
                <w:sz w:val="4"/>
                <w:szCs w:val="4"/>
                <w:color w:val="auto"/>
              </w:rPr>
            </w:pPr>
          </w:p>
        </w:tc>
        <w:tc>
          <w:tcPr>
            <w:tcW w:w="1040" w:type="dxa"/>
            <w:vAlign w:val="bottom"/>
            <w:shd w:val="clear" w:color="auto" w:fill="F0F7E7"/>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4500" w:type="dxa"/>
            <w:vAlign w:val="bottom"/>
            <w:shd w:val="clear" w:color="auto" w:fill="F0F7E7"/>
          </w:tcPr>
          <w:p>
            <w:pPr>
              <w:ind w:left="40"/>
              <w:spacing w:after="0"/>
              <w:rPr>
                <w:sz w:val="20"/>
                <w:szCs w:val="20"/>
                <w:color w:val="auto"/>
              </w:rPr>
            </w:pPr>
            <w:r>
              <w:rPr>
                <w:rFonts w:ascii="Arial" w:cs="Arial" w:eastAsia="Arial" w:hAnsi="Arial"/>
                <w:sz w:val="14"/>
                <w:szCs w:val="14"/>
                <w:color w:val="auto"/>
              </w:rPr>
              <w:t>specified timelines. Highest weight was placed on goals related to</w:t>
            </w:r>
          </w:p>
        </w:tc>
        <w:tc>
          <w:tcPr>
            <w:tcW w:w="4540" w:type="dxa"/>
            <w:vAlign w:val="bottom"/>
            <w:shd w:val="clear" w:color="auto" w:fill="F0F7E7"/>
          </w:tcPr>
          <w:p>
            <w:pPr>
              <w:spacing w:after="0"/>
              <w:rPr>
                <w:sz w:val="14"/>
                <w:szCs w:val="14"/>
                <w:color w:val="auto"/>
              </w:rPr>
            </w:pPr>
          </w:p>
        </w:tc>
        <w:tc>
          <w:tcPr>
            <w:tcW w:w="1180" w:type="dxa"/>
            <w:vAlign w:val="bottom"/>
            <w:shd w:val="clear" w:color="auto" w:fill="F0F7E7"/>
          </w:tcPr>
          <w:p>
            <w:pPr>
              <w:spacing w:after="0"/>
              <w:rPr>
                <w:sz w:val="14"/>
                <w:szCs w:val="14"/>
                <w:color w:val="auto"/>
              </w:rPr>
            </w:pPr>
          </w:p>
        </w:tc>
        <w:tc>
          <w:tcPr>
            <w:tcW w:w="1040" w:type="dxa"/>
            <w:vAlign w:val="bottom"/>
            <w:shd w:val="clear" w:color="auto" w:fill="F0F7E7"/>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500" w:type="dxa"/>
            <w:vAlign w:val="bottom"/>
            <w:shd w:val="clear" w:color="auto" w:fill="F0F7E7"/>
          </w:tcPr>
          <w:p>
            <w:pPr>
              <w:ind w:left="40"/>
              <w:spacing w:after="0"/>
              <w:rPr>
                <w:sz w:val="20"/>
                <w:szCs w:val="20"/>
                <w:color w:val="auto"/>
              </w:rPr>
            </w:pPr>
            <w:r>
              <w:rPr>
                <w:rFonts w:ascii="Arial" w:cs="Arial" w:eastAsia="Arial" w:hAnsi="Arial"/>
                <w:sz w:val="14"/>
                <w:szCs w:val="14"/>
                <w:color w:val="auto"/>
              </w:rPr>
              <w:t>GTX-102, UX143, UX701 and DTX401.</w:t>
            </w:r>
          </w:p>
        </w:tc>
        <w:tc>
          <w:tcPr>
            <w:tcW w:w="4540" w:type="dxa"/>
            <w:vAlign w:val="bottom"/>
            <w:shd w:val="clear" w:color="auto" w:fill="F0F7E7"/>
          </w:tcPr>
          <w:p>
            <w:pPr>
              <w:spacing w:after="0"/>
              <w:rPr>
                <w:sz w:val="15"/>
                <w:szCs w:val="15"/>
                <w:color w:val="auto"/>
              </w:rPr>
            </w:pPr>
          </w:p>
        </w:tc>
        <w:tc>
          <w:tcPr>
            <w:tcW w:w="1180" w:type="dxa"/>
            <w:vAlign w:val="bottom"/>
            <w:shd w:val="clear" w:color="auto" w:fill="F0F7E7"/>
          </w:tcPr>
          <w:p>
            <w:pPr>
              <w:spacing w:after="0"/>
              <w:rPr>
                <w:sz w:val="15"/>
                <w:szCs w:val="15"/>
                <w:color w:val="auto"/>
              </w:rPr>
            </w:pPr>
          </w:p>
        </w:tc>
        <w:tc>
          <w:tcPr>
            <w:tcW w:w="1040" w:type="dxa"/>
            <w:vAlign w:val="bottom"/>
            <w:shd w:val="clear" w:color="auto" w:fill="F0F7E7"/>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450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People and Governance (10%)</w:t>
            </w:r>
          </w:p>
        </w:tc>
        <w:tc>
          <w:tcPr>
            <w:tcW w:w="4540" w:type="dxa"/>
            <w:vAlign w:val="bottom"/>
          </w:tcPr>
          <w:p>
            <w:pPr>
              <w:ind w:left="100"/>
              <w:spacing w:after="0"/>
              <w:rPr>
                <w:sz w:val="20"/>
                <w:szCs w:val="20"/>
                <w:color w:val="auto"/>
              </w:rPr>
            </w:pPr>
            <w:r>
              <w:rPr>
                <w:rFonts w:ascii="Arial" w:cs="Arial" w:eastAsia="Arial" w:hAnsi="Arial"/>
                <w:sz w:val="14"/>
                <w:szCs w:val="14"/>
                <w:b w:val="1"/>
                <w:bCs w:val="1"/>
                <w:color w:val="auto"/>
              </w:rPr>
              <w:t xml:space="preserve">Met most. </w:t>
            </w:r>
            <w:r>
              <w:rPr>
                <w:rFonts w:ascii="Arial" w:cs="Arial" w:eastAsia="Arial" w:hAnsi="Arial"/>
                <w:sz w:val="14"/>
                <w:szCs w:val="14"/>
                <w:color w:val="auto"/>
              </w:rPr>
              <w:t>As summarized below, met or exceeded goals related to</w:t>
            </w:r>
          </w:p>
        </w:tc>
        <w:tc>
          <w:tcPr>
            <w:tcW w:w="1180" w:type="dxa"/>
            <w:vAlign w:val="bottom"/>
            <w:vMerge w:val="restart"/>
          </w:tcPr>
          <w:p>
            <w:pPr>
              <w:jc w:val="right"/>
              <w:ind w:right="30"/>
              <w:spacing w:after="0"/>
              <w:rPr>
                <w:sz w:val="20"/>
                <w:szCs w:val="20"/>
                <w:color w:val="auto"/>
              </w:rPr>
            </w:pPr>
            <w:r>
              <w:rPr>
                <w:rFonts w:ascii="Arial" w:cs="Arial" w:eastAsia="Arial" w:hAnsi="Arial"/>
                <w:sz w:val="14"/>
                <w:szCs w:val="14"/>
                <w:color w:val="auto"/>
              </w:rPr>
              <w:t>70%</w:t>
            </w:r>
          </w:p>
        </w:tc>
        <w:tc>
          <w:tcPr>
            <w:tcW w:w="10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7.0%</w:t>
            </w:r>
          </w:p>
        </w:tc>
        <w:tc>
          <w:tcPr>
            <w:tcW w:w="0" w:type="dxa"/>
            <w:vAlign w:val="bottom"/>
          </w:tcPr>
          <w:p>
            <w:pPr>
              <w:spacing w:after="0"/>
              <w:rPr>
                <w:sz w:val="1"/>
                <w:szCs w:val="1"/>
                <w:color w:val="auto"/>
              </w:rPr>
            </w:pPr>
          </w:p>
        </w:tc>
      </w:tr>
      <w:tr>
        <w:trPr>
          <w:trHeight w:val="111"/>
        </w:trPr>
        <w:tc>
          <w:tcPr>
            <w:tcW w:w="4500" w:type="dxa"/>
            <w:vAlign w:val="bottom"/>
          </w:tcPr>
          <w:p>
            <w:pPr>
              <w:spacing w:after="0"/>
              <w:rPr>
                <w:sz w:val="9"/>
                <w:szCs w:val="9"/>
                <w:color w:val="auto"/>
              </w:rPr>
            </w:pPr>
          </w:p>
        </w:tc>
        <w:tc>
          <w:tcPr>
            <w:tcW w:w="4540" w:type="dxa"/>
            <w:vAlign w:val="bottom"/>
            <w:vMerge w:val="restart"/>
          </w:tcPr>
          <w:p>
            <w:pPr>
              <w:ind w:left="100"/>
              <w:spacing w:after="0"/>
              <w:rPr>
                <w:sz w:val="20"/>
                <w:szCs w:val="20"/>
                <w:color w:val="auto"/>
              </w:rPr>
            </w:pPr>
            <w:r>
              <w:rPr>
                <w:rFonts w:ascii="Arial" w:cs="Arial" w:eastAsia="Arial" w:hAnsi="Arial"/>
                <w:sz w:val="14"/>
                <w:szCs w:val="14"/>
                <w:color w:val="auto"/>
              </w:rPr>
              <w:t>culture and governance.</w:t>
            </w:r>
          </w:p>
        </w:tc>
        <w:tc>
          <w:tcPr>
            <w:tcW w:w="118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4500" w:type="dxa"/>
            <w:vAlign w:val="bottom"/>
          </w:tcPr>
          <w:p>
            <w:pPr>
              <w:spacing w:after="0"/>
              <w:rPr>
                <w:sz w:val="6"/>
                <w:szCs w:val="6"/>
                <w:color w:val="auto"/>
              </w:rPr>
            </w:pPr>
          </w:p>
        </w:tc>
        <w:tc>
          <w:tcPr>
            <w:tcW w:w="4540" w:type="dxa"/>
            <w:vAlign w:val="bottom"/>
            <w:vMerge w:val="continue"/>
          </w:tcPr>
          <w:p>
            <w:pPr>
              <w:spacing w:after="0"/>
              <w:rPr>
                <w:sz w:val="6"/>
                <w:szCs w:val="6"/>
                <w:color w:val="auto"/>
              </w:rPr>
            </w:pPr>
          </w:p>
        </w:tc>
        <w:tc>
          <w:tcPr>
            <w:tcW w:w="11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5"/>
        </w:trPr>
        <w:tc>
          <w:tcPr>
            <w:tcW w:w="4500" w:type="dxa"/>
            <w:vAlign w:val="bottom"/>
          </w:tcPr>
          <w:p>
            <w:pPr>
              <w:spacing w:after="0"/>
              <w:rPr>
                <w:sz w:val="20"/>
                <w:szCs w:val="20"/>
                <w:color w:val="auto"/>
              </w:rPr>
            </w:pPr>
            <w:r>
              <w:rPr>
                <w:rFonts w:ascii="Arial" w:cs="Arial" w:eastAsia="Arial" w:hAnsi="Arial"/>
                <w:sz w:val="14"/>
                <w:szCs w:val="14"/>
                <w:color w:val="7CBD3F"/>
              </w:rPr>
              <w:t xml:space="preserve">•  </w:t>
            </w:r>
            <w:r>
              <w:rPr>
                <w:rFonts w:ascii="Arial" w:cs="Arial" w:eastAsia="Arial" w:hAnsi="Arial"/>
                <w:sz w:val="14"/>
                <w:szCs w:val="14"/>
                <w:i w:val="1"/>
                <w:iCs w:val="1"/>
                <w:color w:val="000000"/>
              </w:rPr>
              <w:t>Budget:</w:t>
            </w:r>
            <w:r>
              <w:rPr>
                <w:rFonts w:ascii="Arial" w:cs="Arial" w:eastAsia="Arial" w:hAnsi="Arial"/>
                <w:sz w:val="14"/>
                <w:szCs w:val="14"/>
                <w:color w:val="7CBD3F"/>
              </w:rPr>
              <w:t xml:space="preserve"> </w:t>
            </w:r>
            <w:r>
              <w:rPr>
                <w:rFonts w:ascii="Arial" w:cs="Arial" w:eastAsia="Arial" w:hAnsi="Arial"/>
                <w:sz w:val="14"/>
                <w:szCs w:val="14"/>
                <w:color w:val="000000"/>
              </w:rPr>
              <w:t>Maintaining operating cash usage within 5% of budget (5%)</w:t>
            </w:r>
          </w:p>
        </w:tc>
        <w:tc>
          <w:tcPr>
            <w:tcW w:w="6760" w:type="dxa"/>
            <w:vAlign w:val="bottom"/>
            <w:gridSpan w:val="3"/>
          </w:tcPr>
          <w:p>
            <w:pPr>
              <w:ind w:left="100"/>
              <w:spacing w:after="0"/>
              <w:rPr>
                <w:sz w:val="20"/>
                <w:szCs w:val="20"/>
                <w:color w:val="auto"/>
              </w:rPr>
            </w:pPr>
            <w:r>
              <w:rPr>
                <w:rFonts w:ascii="Arial" w:cs="Arial" w:eastAsia="Arial" w:hAnsi="Arial"/>
                <w:sz w:val="14"/>
                <w:szCs w:val="14"/>
                <w:color w:val="7CBD3F"/>
              </w:rPr>
              <w:t xml:space="preserve">•  </w:t>
            </w:r>
            <w:r>
              <w:rPr>
                <w:rFonts w:ascii="Arial" w:cs="Arial" w:eastAsia="Arial" w:hAnsi="Arial"/>
                <w:sz w:val="14"/>
                <w:szCs w:val="14"/>
                <w:b w:val="1"/>
                <w:bCs w:val="1"/>
                <w:color w:val="000000"/>
              </w:rPr>
              <w:t>Did not meet.</w:t>
            </w:r>
            <w:r>
              <w:rPr>
                <w:rFonts w:ascii="Arial" w:cs="Arial" w:eastAsia="Arial" w:hAnsi="Arial"/>
                <w:sz w:val="14"/>
                <w:szCs w:val="14"/>
                <w:color w:val="7CBD3F"/>
              </w:rPr>
              <w:t xml:space="preserve"> </w:t>
            </w:r>
            <w:r>
              <w:rPr>
                <w:rFonts w:ascii="Arial" w:cs="Arial" w:eastAsia="Arial" w:hAnsi="Arial"/>
                <w:sz w:val="14"/>
                <w:szCs w:val="14"/>
                <w:color w:val="000000"/>
              </w:rPr>
              <w:t>Minimum target goal was not achieved primarily due to expenses from acceleration of</w:t>
            </w:r>
          </w:p>
        </w:tc>
        <w:tc>
          <w:tcPr>
            <w:tcW w:w="0" w:type="dxa"/>
            <w:vAlign w:val="bottom"/>
          </w:tcPr>
          <w:p>
            <w:pPr>
              <w:spacing w:after="0"/>
              <w:rPr>
                <w:sz w:val="1"/>
                <w:szCs w:val="1"/>
                <w:color w:val="auto"/>
              </w:rPr>
            </w:pPr>
          </w:p>
        </w:tc>
      </w:tr>
      <w:tr>
        <w:trPr>
          <w:trHeight w:val="163"/>
        </w:trPr>
        <w:tc>
          <w:tcPr>
            <w:tcW w:w="4500" w:type="dxa"/>
            <w:vAlign w:val="bottom"/>
          </w:tcPr>
          <w:p>
            <w:pPr>
              <w:spacing w:after="0"/>
              <w:rPr>
                <w:sz w:val="14"/>
                <w:szCs w:val="14"/>
                <w:color w:val="auto"/>
              </w:rPr>
            </w:pPr>
          </w:p>
        </w:tc>
        <w:tc>
          <w:tcPr>
            <w:tcW w:w="6760" w:type="dxa"/>
            <w:vAlign w:val="bottom"/>
            <w:gridSpan w:val="3"/>
          </w:tcPr>
          <w:p>
            <w:pPr>
              <w:ind w:left="260"/>
              <w:spacing w:after="0"/>
              <w:rPr>
                <w:sz w:val="20"/>
                <w:szCs w:val="20"/>
                <w:color w:val="auto"/>
              </w:rPr>
            </w:pPr>
            <w:r>
              <w:rPr>
                <w:rFonts w:ascii="Arial" w:cs="Arial" w:eastAsia="Arial" w:hAnsi="Arial"/>
                <w:sz w:val="14"/>
                <w:szCs w:val="14"/>
                <w:color w:val="auto"/>
              </w:rPr>
              <w:t>select manufacturing and development activities as well as timing of certain cash flows (0%</w:t>
            </w:r>
          </w:p>
        </w:tc>
        <w:tc>
          <w:tcPr>
            <w:tcW w:w="0" w:type="dxa"/>
            <w:vAlign w:val="bottom"/>
          </w:tcPr>
          <w:p>
            <w:pPr>
              <w:spacing w:after="0"/>
              <w:rPr>
                <w:sz w:val="1"/>
                <w:szCs w:val="1"/>
                <w:color w:val="auto"/>
              </w:rPr>
            </w:pPr>
          </w:p>
        </w:tc>
      </w:tr>
      <w:tr>
        <w:trPr>
          <w:trHeight w:val="185"/>
        </w:trPr>
        <w:tc>
          <w:tcPr>
            <w:tcW w:w="4500" w:type="dxa"/>
            <w:vAlign w:val="bottom"/>
          </w:tcPr>
          <w:p>
            <w:pPr>
              <w:spacing w:after="0"/>
              <w:rPr>
                <w:sz w:val="16"/>
                <w:szCs w:val="16"/>
                <w:color w:val="auto"/>
              </w:rPr>
            </w:pPr>
          </w:p>
        </w:tc>
        <w:tc>
          <w:tcPr>
            <w:tcW w:w="4540" w:type="dxa"/>
            <w:vAlign w:val="bottom"/>
          </w:tcPr>
          <w:p>
            <w:pPr>
              <w:ind w:left="260"/>
              <w:spacing w:after="0"/>
              <w:rPr>
                <w:sz w:val="20"/>
                <w:szCs w:val="20"/>
                <w:color w:val="auto"/>
              </w:rPr>
            </w:pPr>
            <w:r>
              <w:rPr>
                <w:rFonts w:ascii="Arial" w:cs="Arial" w:eastAsia="Arial" w:hAnsi="Arial"/>
                <w:sz w:val="14"/>
                <w:szCs w:val="14"/>
                <w:color w:val="auto"/>
              </w:rPr>
              <w:t>achievement)</w:t>
            </w:r>
          </w:p>
        </w:tc>
        <w:tc>
          <w:tcPr>
            <w:tcW w:w="1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sectPr>
          <w:pgSz w:w="11900" w:h="16838" w:orient="portrait"/>
          <w:cols w:equalWidth="0" w:num="1">
            <w:col w:w="11267"/>
          </w:cols>
          <w:pgMar w:left="313" w:top="225" w:right="319" w:bottom="1440" w:gutter="0" w:footer="0" w:header="0"/>
        </w:sectPr>
      </w:pPr>
    </w:p>
    <w:p>
      <w:pPr>
        <w:ind w:left="147" w:hanging="147"/>
        <w:spacing w:after="0" w:line="278" w:lineRule="auto"/>
        <w:tabs>
          <w:tab w:leader="none" w:pos="157" w:val="left"/>
        </w:tabs>
        <w:numPr>
          <w:ilvl w:val="0"/>
          <w:numId w:val="25"/>
        </w:numPr>
        <w:rPr>
          <w:rFonts w:ascii="Arial" w:cs="Arial" w:eastAsia="Arial" w:hAnsi="Arial"/>
          <w:sz w:val="14"/>
          <w:szCs w:val="14"/>
          <w:color w:val="7CBD3F"/>
        </w:rPr>
      </w:pPr>
      <w:r>
        <w:rPr>
          <w:rFonts w:ascii="Arial" w:cs="Arial" w:eastAsia="Arial" w:hAnsi="Arial"/>
          <w:sz w:val="14"/>
          <w:szCs w:val="14"/>
          <w:i w:val="1"/>
          <w:iCs w:val="1"/>
          <w:color w:val="auto"/>
        </w:rPr>
        <w:t xml:space="preserve">Culture: </w:t>
      </w:r>
      <w:r>
        <w:rPr>
          <w:rFonts w:ascii="Arial" w:cs="Arial" w:eastAsia="Arial" w:hAnsi="Arial"/>
          <w:sz w:val="14"/>
          <w:szCs w:val="14"/>
          <w:color w:val="auto"/>
        </w:rPr>
        <w:t>Maintain high retention of employees in good performance</w:t>
      </w:r>
      <w:r>
        <w:rPr>
          <w:rFonts w:ascii="Arial" w:cs="Arial" w:eastAsia="Arial" w:hAnsi="Arial"/>
          <w:sz w:val="14"/>
          <w:szCs w:val="14"/>
          <w:i w:val="1"/>
          <w:iCs w:val="1"/>
          <w:color w:val="auto"/>
        </w:rPr>
        <w:t xml:space="preserve"> </w:t>
      </w:r>
      <w:r>
        <w:rPr>
          <w:rFonts w:ascii="Arial" w:cs="Arial" w:eastAsia="Arial" w:hAnsi="Arial"/>
          <w:sz w:val="14"/>
          <w:szCs w:val="14"/>
          <w:color w:val="auto"/>
        </w:rPr>
        <w:t>standing (1.5%)</w:t>
      </w:r>
    </w:p>
    <w:p>
      <w:pPr>
        <w:spacing w:after="0" w:line="20" w:lineRule="exact"/>
        <w:rPr>
          <w:sz w:val="20"/>
          <w:szCs w:val="20"/>
          <w:color w:val="auto"/>
        </w:rPr>
      </w:pPr>
      <w:r>
        <w:rPr>
          <w:sz w:val="20"/>
          <w:szCs w:val="20"/>
          <w:color w:val="auto"/>
        </w:rPr>
        <w:br w:type="column"/>
      </w:r>
    </w:p>
    <w:p>
      <w:pPr>
        <w:ind w:left="170" w:hanging="170"/>
        <w:spacing w:after="0"/>
        <w:tabs>
          <w:tab w:leader="none" w:pos="170" w:val="left"/>
        </w:tabs>
        <w:numPr>
          <w:ilvl w:val="0"/>
          <w:numId w:val="26"/>
        </w:numPr>
        <w:rPr>
          <w:rFonts w:ascii="Arial" w:cs="Arial" w:eastAsia="Arial" w:hAnsi="Arial"/>
          <w:sz w:val="13"/>
          <w:szCs w:val="13"/>
          <w:color w:val="7CBD3F"/>
        </w:rPr>
      </w:pPr>
      <w:r>
        <w:rPr>
          <w:rFonts w:ascii="Arial" w:cs="Arial" w:eastAsia="Arial" w:hAnsi="Arial"/>
          <w:sz w:val="13"/>
          <w:szCs w:val="13"/>
          <w:b w:val="1"/>
          <w:bCs w:val="1"/>
          <w:color w:val="auto"/>
        </w:rPr>
        <w:t xml:space="preserve">Exceeded. </w:t>
      </w:r>
      <w:r>
        <w:rPr>
          <w:rFonts w:ascii="Arial" w:cs="Arial" w:eastAsia="Arial" w:hAnsi="Arial"/>
          <w:sz w:val="13"/>
          <w:szCs w:val="13"/>
          <w:color w:val="auto"/>
        </w:rPr>
        <w:t>Retention rate exceeded outperform target (150% achievement)</w:t>
      </w:r>
    </w:p>
    <w:p>
      <w:pPr>
        <w:spacing w:after="0" w:line="258" w:lineRule="exact"/>
        <w:rPr>
          <w:sz w:val="20"/>
          <w:szCs w:val="20"/>
          <w:color w:val="auto"/>
        </w:rPr>
      </w:pPr>
    </w:p>
    <w:p>
      <w:pPr>
        <w:sectPr>
          <w:pgSz w:w="11900" w:h="16838" w:orient="portrait"/>
          <w:cols w:equalWidth="0" w:num="2">
            <w:col w:w="4307" w:space="310"/>
            <w:col w:w="6650"/>
          </w:cols>
          <w:pgMar w:left="313" w:top="225" w:right="319" w:bottom="1440" w:gutter="0" w:footer="0" w:header="0"/>
          <w:type w:val="continuous"/>
        </w:sectPr>
      </w:pPr>
    </w:p>
    <w:p>
      <w:pPr>
        <w:ind w:left="147" w:hanging="147"/>
        <w:spacing w:after="0" w:line="278" w:lineRule="auto"/>
        <w:tabs>
          <w:tab w:leader="none" w:pos="157" w:val="left"/>
        </w:tabs>
        <w:numPr>
          <w:ilvl w:val="0"/>
          <w:numId w:val="27"/>
        </w:numPr>
        <w:rPr>
          <w:rFonts w:ascii="Arial" w:cs="Arial" w:eastAsia="Arial" w:hAnsi="Arial"/>
          <w:sz w:val="14"/>
          <w:szCs w:val="14"/>
          <w:color w:val="7CBD3F"/>
        </w:rPr>
      </w:pPr>
      <w:r>
        <w:rPr>
          <w:rFonts w:ascii="Arial" w:cs="Arial" w:eastAsia="Arial" w:hAnsi="Arial"/>
          <w:sz w:val="14"/>
          <w:szCs w:val="14"/>
          <w:i w:val="1"/>
          <w:iCs w:val="1"/>
          <w:color w:val="auto"/>
        </w:rPr>
        <w:t xml:space="preserve">Culture: </w:t>
      </w:r>
      <w:r>
        <w:rPr>
          <w:rFonts w:ascii="Arial" w:cs="Arial" w:eastAsia="Arial" w:hAnsi="Arial"/>
          <w:sz w:val="14"/>
          <w:szCs w:val="14"/>
          <w:color w:val="auto"/>
        </w:rPr>
        <w:t>Goals related to maintaining and improving employee</w:t>
      </w:r>
      <w:r>
        <w:rPr>
          <w:rFonts w:ascii="Arial" w:cs="Arial" w:eastAsia="Arial" w:hAnsi="Arial"/>
          <w:sz w:val="14"/>
          <w:szCs w:val="14"/>
          <w:i w:val="1"/>
          <w:iCs w:val="1"/>
          <w:color w:val="auto"/>
        </w:rPr>
        <w:t xml:space="preserve"> </w:t>
      </w:r>
      <w:r>
        <w:rPr>
          <w:rFonts w:ascii="Arial" w:cs="Arial" w:eastAsia="Arial" w:hAnsi="Arial"/>
          <w:sz w:val="14"/>
          <w:szCs w:val="14"/>
          <w:color w:val="auto"/>
        </w:rPr>
        <w:t>engagement, inclusion and well being (each 0.5%, together 1.5%)</w:t>
      </w:r>
    </w:p>
    <w:p>
      <w:pPr>
        <w:spacing w:after="0" w:line="20" w:lineRule="exact"/>
        <w:rPr>
          <w:sz w:val="20"/>
          <w:szCs w:val="20"/>
          <w:color w:val="auto"/>
        </w:rPr>
      </w:pPr>
      <w:r>
        <w:rPr>
          <w:sz w:val="20"/>
          <w:szCs w:val="20"/>
          <w:color w:val="auto"/>
        </w:rPr>
        <w:br w:type="column"/>
      </w:r>
    </w:p>
    <w:p>
      <w:pPr>
        <w:ind w:left="170" w:hanging="170"/>
        <w:spacing w:after="0"/>
        <w:tabs>
          <w:tab w:leader="none" w:pos="170" w:val="left"/>
        </w:tabs>
        <w:numPr>
          <w:ilvl w:val="0"/>
          <w:numId w:val="28"/>
        </w:numPr>
        <w:rPr>
          <w:rFonts w:ascii="Arial" w:cs="Arial" w:eastAsia="Arial" w:hAnsi="Arial"/>
          <w:sz w:val="13"/>
          <w:szCs w:val="13"/>
          <w:color w:val="7CBD3F"/>
        </w:rPr>
      </w:pPr>
      <w:r>
        <w:rPr>
          <w:rFonts w:ascii="Arial" w:cs="Arial" w:eastAsia="Arial" w:hAnsi="Arial"/>
          <w:sz w:val="13"/>
          <w:szCs w:val="13"/>
          <w:i w:val="1"/>
          <w:iCs w:val="1"/>
          <w:color w:val="auto"/>
        </w:rPr>
        <w:t xml:space="preserve">Employee engagement: </w:t>
      </w:r>
      <w:r>
        <w:rPr>
          <w:rFonts w:ascii="Arial" w:cs="Arial" w:eastAsia="Arial" w:hAnsi="Arial"/>
          <w:sz w:val="13"/>
          <w:szCs w:val="13"/>
          <w:b w:val="1"/>
          <w:bCs w:val="1"/>
          <w:color w:val="auto"/>
        </w:rPr>
        <w:t>Met</w:t>
      </w:r>
      <w:r>
        <w:rPr>
          <w:rFonts w:ascii="Arial" w:cs="Arial" w:eastAsia="Arial" w:hAnsi="Arial"/>
          <w:sz w:val="13"/>
          <w:szCs w:val="13"/>
          <w:i w:val="1"/>
          <w:iCs w:val="1"/>
          <w:color w:val="auto"/>
        </w:rPr>
        <w:t xml:space="preserve"> </w:t>
      </w:r>
      <w:r>
        <w:rPr>
          <w:rFonts w:ascii="Arial" w:cs="Arial" w:eastAsia="Arial" w:hAnsi="Arial"/>
          <w:sz w:val="13"/>
          <w:szCs w:val="13"/>
          <w:color w:val="auto"/>
        </w:rPr>
        <w:t>base target for goal (100% achievement)</w:t>
      </w:r>
    </w:p>
    <w:p>
      <w:pPr>
        <w:spacing w:after="0" w:line="27" w:lineRule="exact"/>
        <w:rPr>
          <w:rFonts w:ascii="Arial" w:cs="Arial" w:eastAsia="Arial" w:hAnsi="Arial"/>
          <w:sz w:val="13"/>
          <w:szCs w:val="13"/>
          <w:color w:val="7CBD3F"/>
        </w:rPr>
      </w:pPr>
    </w:p>
    <w:p>
      <w:pPr>
        <w:ind w:left="170" w:hanging="170"/>
        <w:spacing w:after="0"/>
        <w:tabs>
          <w:tab w:leader="none" w:pos="170" w:val="left"/>
        </w:tabs>
        <w:numPr>
          <w:ilvl w:val="0"/>
          <w:numId w:val="28"/>
        </w:numPr>
        <w:rPr>
          <w:rFonts w:ascii="Arial" w:cs="Arial" w:eastAsia="Arial" w:hAnsi="Arial"/>
          <w:sz w:val="14"/>
          <w:szCs w:val="14"/>
          <w:color w:val="7CBD3F"/>
        </w:rPr>
      </w:pPr>
      <w:r>
        <w:rPr>
          <w:rFonts w:ascii="Arial" w:cs="Arial" w:eastAsia="Arial" w:hAnsi="Arial"/>
          <w:sz w:val="14"/>
          <w:szCs w:val="14"/>
          <w:i w:val="1"/>
          <w:iCs w:val="1"/>
          <w:color w:val="auto"/>
        </w:rPr>
        <w:t xml:space="preserve">Inclusion: </w:t>
      </w:r>
      <w:r>
        <w:rPr>
          <w:rFonts w:ascii="Arial" w:cs="Arial" w:eastAsia="Arial" w:hAnsi="Arial"/>
          <w:sz w:val="14"/>
          <w:szCs w:val="14"/>
          <w:b w:val="1"/>
          <w:bCs w:val="1"/>
          <w:color w:val="auto"/>
        </w:rPr>
        <w:t>Exceeded</w:t>
      </w:r>
      <w:r>
        <w:rPr>
          <w:rFonts w:ascii="Arial" w:cs="Arial" w:eastAsia="Arial" w:hAnsi="Arial"/>
          <w:sz w:val="14"/>
          <w:szCs w:val="14"/>
          <w:i w:val="1"/>
          <w:iCs w:val="1"/>
          <w:color w:val="auto"/>
        </w:rPr>
        <w:t xml:space="preserve"> </w:t>
      </w:r>
      <w:r>
        <w:rPr>
          <w:rFonts w:ascii="Arial" w:cs="Arial" w:eastAsia="Arial" w:hAnsi="Arial"/>
          <w:sz w:val="14"/>
          <w:szCs w:val="14"/>
          <w:color w:val="auto"/>
        </w:rPr>
        <w:t>outperform goal (150% achievement)</w:t>
      </w:r>
    </w:p>
    <w:p>
      <w:pPr>
        <w:spacing w:after="0" w:line="2" w:lineRule="exact"/>
        <w:rPr>
          <w:rFonts w:ascii="Arial" w:cs="Arial" w:eastAsia="Arial" w:hAnsi="Arial"/>
          <w:sz w:val="14"/>
          <w:szCs w:val="14"/>
          <w:color w:val="7CBD3F"/>
        </w:rPr>
      </w:pPr>
    </w:p>
    <w:p>
      <w:pPr>
        <w:ind w:left="170" w:hanging="170"/>
        <w:spacing w:after="0"/>
        <w:tabs>
          <w:tab w:leader="none" w:pos="170" w:val="left"/>
        </w:tabs>
        <w:numPr>
          <w:ilvl w:val="0"/>
          <w:numId w:val="28"/>
        </w:numPr>
        <w:rPr>
          <w:rFonts w:ascii="Arial" w:cs="Arial" w:eastAsia="Arial" w:hAnsi="Arial"/>
          <w:sz w:val="14"/>
          <w:szCs w:val="14"/>
          <w:color w:val="7CBD3F"/>
        </w:rPr>
      </w:pPr>
      <w:r>
        <w:rPr>
          <w:rFonts w:ascii="Arial" w:cs="Arial" w:eastAsia="Arial" w:hAnsi="Arial"/>
          <w:sz w:val="14"/>
          <w:szCs w:val="14"/>
          <w:i w:val="1"/>
          <w:iCs w:val="1"/>
          <w:color w:val="auto"/>
        </w:rPr>
        <w:t xml:space="preserve">Well-being: </w:t>
      </w:r>
      <w:r>
        <w:rPr>
          <w:rFonts w:ascii="Arial" w:cs="Arial" w:eastAsia="Arial" w:hAnsi="Arial"/>
          <w:sz w:val="14"/>
          <w:szCs w:val="14"/>
          <w:b w:val="1"/>
          <w:bCs w:val="1"/>
          <w:color w:val="auto"/>
        </w:rPr>
        <w:t>Met</w:t>
      </w:r>
      <w:r>
        <w:rPr>
          <w:rFonts w:ascii="Arial" w:cs="Arial" w:eastAsia="Arial" w:hAnsi="Arial"/>
          <w:sz w:val="14"/>
          <w:szCs w:val="14"/>
          <w:i w:val="1"/>
          <w:iCs w:val="1"/>
          <w:color w:val="auto"/>
        </w:rPr>
        <w:t xml:space="preserve"> </w:t>
      </w:r>
      <w:r>
        <w:rPr>
          <w:rFonts w:ascii="Arial" w:cs="Arial" w:eastAsia="Arial" w:hAnsi="Arial"/>
          <w:sz w:val="14"/>
          <w:szCs w:val="14"/>
          <w:color w:val="auto"/>
        </w:rPr>
        <w:t>base target for goal (100% achievement)</w:t>
      </w:r>
    </w:p>
    <w:p>
      <w:pPr>
        <w:spacing w:after="0" w:line="70" w:lineRule="exact"/>
        <w:rPr>
          <w:sz w:val="20"/>
          <w:szCs w:val="20"/>
          <w:color w:val="auto"/>
        </w:rPr>
      </w:pPr>
    </w:p>
    <w:p>
      <w:pPr>
        <w:sectPr>
          <w:pgSz w:w="11900" w:h="16838" w:orient="portrait"/>
          <w:cols w:equalWidth="0" w:num="2">
            <w:col w:w="4227" w:space="390"/>
            <w:col w:w="6650"/>
          </w:cols>
          <w:pgMar w:left="313" w:top="225" w:right="319" w:bottom="1440" w:gutter="0" w:footer="0" w:header="0"/>
          <w:type w:val="continuous"/>
        </w:sectPr>
      </w:pPr>
    </w:p>
    <w:p>
      <w:pPr>
        <w:ind w:left="147" w:hanging="147"/>
        <w:spacing w:after="0" w:line="278" w:lineRule="auto"/>
        <w:tabs>
          <w:tab w:leader="none" w:pos="157" w:val="left"/>
        </w:tabs>
        <w:numPr>
          <w:ilvl w:val="0"/>
          <w:numId w:val="29"/>
        </w:numPr>
        <w:rPr>
          <w:rFonts w:ascii="Arial" w:cs="Arial" w:eastAsia="Arial" w:hAnsi="Arial"/>
          <w:sz w:val="14"/>
          <w:szCs w:val="14"/>
          <w:color w:val="7CBD3F"/>
        </w:rPr>
      </w:pPr>
      <w:r>
        <w:rPr>
          <w:rFonts w:ascii="Arial" w:cs="Arial" w:eastAsia="Arial" w:hAnsi="Arial"/>
          <w:sz w:val="14"/>
          <w:szCs w:val="14"/>
          <w:i w:val="1"/>
          <w:iCs w:val="1"/>
          <w:color w:val="auto"/>
        </w:rPr>
        <w:t xml:space="preserve">Governance: </w:t>
      </w:r>
      <w:r>
        <w:rPr>
          <w:rFonts w:ascii="Arial" w:cs="Arial" w:eastAsia="Arial" w:hAnsi="Arial"/>
          <w:sz w:val="14"/>
          <w:szCs w:val="14"/>
          <w:color w:val="auto"/>
        </w:rPr>
        <w:t>Goals related to continuous compliant and ethical</w:t>
      </w:r>
      <w:r>
        <w:rPr>
          <w:rFonts w:ascii="Arial" w:cs="Arial" w:eastAsia="Arial" w:hAnsi="Arial"/>
          <w:sz w:val="14"/>
          <w:szCs w:val="14"/>
          <w:i w:val="1"/>
          <w:iCs w:val="1"/>
          <w:color w:val="auto"/>
        </w:rPr>
        <w:t xml:space="preserve"> </w:t>
      </w:r>
      <w:r>
        <w:rPr>
          <w:rFonts w:ascii="Arial" w:cs="Arial" w:eastAsia="Arial" w:hAnsi="Arial"/>
          <w:sz w:val="14"/>
          <w:szCs w:val="14"/>
          <w:color w:val="auto"/>
        </w:rPr>
        <w:t>practices (2%)</w:t>
      </w:r>
    </w:p>
    <w:p>
      <w:pPr>
        <w:spacing w:after="0" w:line="20" w:lineRule="exact"/>
        <w:rPr>
          <w:sz w:val="20"/>
          <w:szCs w:val="20"/>
          <w:color w:val="auto"/>
        </w:rPr>
      </w:pPr>
      <w:r>
        <w:rPr>
          <w:sz w:val="20"/>
          <w:szCs w:val="20"/>
          <w:color w:val="auto"/>
        </w:rPr>
        <w:br w:type="column"/>
      </w:r>
    </w:p>
    <w:p>
      <w:pPr>
        <w:ind w:left="170" w:hanging="170"/>
        <w:spacing w:after="0"/>
        <w:tabs>
          <w:tab w:leader="none" w:pos="170" w:val="left"/>
        </w:tabs>
        <w:numPr>
          <w:ilvl w:val="0"/>
          <w:numId w:val="30"/>
        </w:numPr>
        <w:rPr>
          <w:rFonts w:ascii="Arial" w:cs="Arial" w:eastAsia="Arial" w:hAnsi="Arial"/>
          <w:sz w:val="13"/>
          <w:szCs w:val="13"/>
          <w:color w:val="7CBD3F"/>
        </w:rPr>
      </w:pPr>
      <w:r>
        <w:rPr>
          <w:rFonts w:ascii="Arial" w:cs="Arial" w:eastAsia="Arial" w:hAnsi="Arial"/>
          <w:sz w:val="13"/>
          <w:szCs w:val="13"/>
          <w:b w:val="1"/>
          <w:bCs w:val="1"/>
          <w:color w:val="auto"/>
        </w:rPr>
        <w:t xml:space="preserve">Exceeded. </w:t>
      </w:r>
      <w:r>
        <w:rPr>
          <w:rFonts w:ascii="Arial" w:cs="Arial" w:eastAsia="Arial" w:hAnsi="Arial"/>
          <w:sz w:val="13"/>
          <w:szCs w:val="13"/>
          <w:color w:val="auto"/>
        </w:rPr>
        <w:t>Achieved outperform target goals (150% achievement)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-2931160</wp:posOffset>
            </wp:positionH>
            <wp:positionV relativeFrom="paragraph">
              <wp:posOffset>120015</wp:posOffset>
            </wp:positionV>
            <wp:extent cx="7150735" cy="1460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0735" cy="14605"/>
                    </a:xfrm>
                    <a:prstGeom prst="rect">
                      <a:avLst/>
                    </a:prstGeom>
                    <a:noFill/>
                  </pic:spPr>
                </pic:pic>
              </a:graphicData>
            </a:graphic>
          </wp:anchor>
        </w:drawing>
      </w:r>
    </w:p>
    <w:p>
      <w:pPr>
        <w:spacing w:after="0" w:line="363" w:lineRule="exact"/>
        <w:rPr>
          <w:sz w:val="20"/>
          <w:szCs w:val="20"/>
          <w:color w:val="auto"/>
        </w:rPr>
      </w:pPr>
    </w:p>
    <w:p>
      <w:pPr>
        <w:sectPr>
          <w:pgSz w:w="11900" w:h="16838" w:orient="portrait"/>
          <w:cols w:equalWidth="0" w:num="2">
            <w:col w:w="4067" w:space="550"/>
            <w:col w:w="6650"/>
          </w:cols>
          <w:pgMar w:left="313" w:top="225" w:right="319" w:bottom="1440" w:gutter="0" w:footer="0" w:header="0"/>
          <w:type w:val="continuous"/>
        </w:sectPr>
      </w:pPr>
    </w:p>
    <w:p>
      <w:pPr>
        <w:jc w:val="both"/>
        <w:ind w:left="7" w:right="20"/>
        <w:spacing w:after="0" w:line="278" w:lineRule="auto"/>
        <w:rPr>
          <w:sz w:val="20"/>
          <w:szCs w:val="20"/>
          <w:color w:val="auto"/>
        </w:rPr>
      </w:pPr>
      <w:r>
        <w:rPr>
          <w:rFonts w:ascii="Arial" w:cs="Arial" w:eastAsia="Arial" w:hAnsi="Arial"/>
          <w:sz w:val="14"/>
          <w:szCs w:val="14"/>
          <w:color w:val="auto"/>
        </w:rPr>
        <w:t>In establishing these goals, the Compensation Committee selected performance goals that it considered aggressive, meaning that they are goals that were considered achievable, but only with a high degree of diligence and success in execution.</w:t>
      </w:r>
    </w:p>
    <w:p>
      <w:pPr>
        <w:spacing w:after="0" w:line="117" w:lineRule="exact"/>
        <w:rPr>
          <w:sz w:val="20"/>
          <w:szCs w:val="20"/>
          <w:color w:val="auto"/>
        </w:rPr>
      </w:pPr>
    </w:p>
    <w:p>
      <w:pPr>
        <w:jc w:val="both"/>
        <w:ind w:left="7" w:right="20"/>
        <w:spacing w:after="0" w:line="252" w:lineRule="auto"/>
        <w:rPr>
          <w:sz w:val="20"/>
          <w:szCs w:val="20"/>
          <w:color w:val="auto"/>
        </w:rPr>
      </w:pPr>
      <w:r>
        <w:rPr>
          <w:rFonts w:ascii="Arial" w:cs="Arial" w:eastAsia="Arial" w:hAnsi="Arial"/>
          <w:sz w:val="14"/>
          <w:szCs w:val="14"/>
          <w:color w:val="auto"/>
        </w:rPr>
        <w:t>In assessing performance against these goals, the Compensation Committee reviewed each goal and determined whether or not it was achieved. The Compensation Committee then referred to the relative importance of the goals, based on the previously established weightings of each goal. The Compensation Committee also considered additional key corporate achievements that were not represented in the 2024 corporate goals, including completion of a successful financing transaction and significant work to gain alignment with the FDA to support the submission of the BLA for UX111 for accelerated approval. For all goals combined, including additional achievements by the Company not previously defined, the Compensation Committee determined an overall 110% achievement for fiscal year 2024.</w:t>
      </w:r>
    </w:p>
    <w:p>
      <w:pPr>
        <w:spacing w:after="0" w:line="134" w:lineRule="exact"/>
        <w:rPr>
          <w:sz w:val="20"/>
          <w:szCs w:val="20"/>
          <w:color w:val="auto"/>
        </w:rPr>
      </w:pPr>
    </w:p>
    <w:p>
      <w:pPr>
        <w:jc w:val="both"/>
        <w:ind w:left="7" w:right="20"/>
        <w:spacing w:after="0" w:line="260" w:lineRule="auto"/>
        <w:rPr>
          <w:sz w:val="20"/>
          <w:szCs w:val="20"/>
          <w:color w:val="auto"/>
        </w:rPr>
      </w:pPr>
      <w:r>
        <w:rPr>
          <w:rFonts w:ascii="Arial" w:cs="Arial" w:eastAsia="Arial" w:hAnsi="Arial"/>
          <w:sz w:val="14"/>
          <w:szCs w:val="14"/>
          <w:color w:val="auto"/>
        </w:rPr>
        <w:t>In February 2025, in addition to assessing the foregoing corporate goals, the Compensation Committee (after consultation with our Chief Executive Officer) assessed the individual accomplishments of our named executive officers for purposes of determining the individual component of their annual bonus, other than our Chief Executive Officer whose annual bonus is based solely on the corporate goals described above. Key individual achievements for these named executive officers are summarized below.</w:t>
      </w:r>
    </w:p>
    <w:p>
      <w:pPr>
        <w:spacing w:after="0" w:line="130" w:lineRule="exact"/>
        <w:rPr>
          <w:sz w:val="20"/>
          <w:szCs w:val="20"/>
          <w:color w:val="auto"/>
        </w:rPr>
      </w:pPr>
    </w:p>
    <w:tbl>
      <w:tblPr>
        <w:tblLayout w:type="fixed"/>
        <w:tblInd w:w="7" w:type="dxa"/>
        <w:tblCellMar>
          <w:top w:w="0" w:type="dxa"/>
          <w:left w:w="0" w:type="dxa"/>
          <w:bottom w:w="0" w:type="dxa"/>
          <w:right w:w="0" w:type="dxa"/>
        </w:tblCellMar>
      </w:tblPr>
      <w:tr>
        <w:trPr>
          <w:trHeight w:val="179"/>
        </w:trPr>
        <w:tc>
          <w:tcPr>
            <w:tcW w:w="2600" w:type="dxa"/>
            <w:vAlign w:val="bottom"/>
            <w:tcBorders>
              <w:bottom w:val="single" w:sz="8" w:color="7CBD3F"/>
            </w:tcBorders>
          </w:tcPr>
          <w:p>
            <w:pPr>
              <w:ind w:left="40"/>
              <w:spacing w:after="0"/>
              <w:rPr>
                <w:sz w:val="20"/>
                <w:szCs w:val="20"/>
                <w:color w:val="auto"/>
              </w:rPr>
            </w:pPr>
            <w:r>
              <w:rPr>
                <w:rFonts w:ascii="Arial" w:cs="Arial" w:eastAsia="Arial" w:hAnsi="Arial"/>
                <w:sz w:val="14"/>
                <w:szCs w:val="14"/>
                <w:b w:val="1"/>
                <w:bCs w:val="1"/>
                <w:color w:val="auto"/>
              </w:rPr>
              <w:t>Named Executive Officer</w:t>
            </w:r>
          </w:p>
        </w:tc>
        <w:tc>
          <w:tcPr>
            <w:tcW w:w="8660" w:type="dxa"/>
            <w:vAlign w:val="bottom"/>
            <w:tcBorders>
              <w:bottom w:val="single" w:sz="8" w:color="7CBD3F"/>
            </w:tcBorders>
            <w:gridSpan w:val="2"/>
          </w:tcPr>
          <w:p>
            <w:pPr>
              <w:ind w:left="100"/>
              <w:spacing w:after="0"/>
              <w:rPr>
                <w:sz w:val="20"/>
                <w:szCs w:val="20"/>
                <w:color w:val="auto"/>
              </w:rPr>
            </w:pPr>
            <w:r>
              <w:rPr>
                <w:rFonts w:ascii="Arial" w:cs="Arial" w:eastAsia="Arial" w:hAnsi="Arial"/>
                <w:sz w:val="14"/>
                <w:szCs w:val="14"/>
                <w:b w:val="1"/>
                <w:bCs w:val="1"/>
                <w:color w:val="auto"/>
              </w:rPr>
              <w:t>Key 2024 Achievements</w:t>
            </w:r>
          </w:p>
        </w:tc>
      </w:tr>
      <w:tr>
        <w:trPr>
          <w:trHeight w:val="151"/>
        </w:trPr>
        <w:tc>
          <w:tcPr>
            <w:tcW w:w="2600" w:type="dxa"/>
            <w:vAlign w:val="bottom"/>
          </w:tcPr>
          <w:p>
            <w:pPr>
              <w:ind w:left="40"/>
              <w:spacing w:after="0" w:line="151" w:lineRule="exact"/>
              <w:rPr>
                <w:sz w:val="20"/>
                <w:szCs w:val="20"/>
                <w:color w:val="auto"/>
              </w:rPr>
            </w:pPr>
            <w:r>
              <w:rPr>
                <w:rFonts w:ascii="Arial" w:cs="Arial" w:eastAsia="Arial" w:hAnsi="Arial"/>
                <w:sz w:val="14"/>
                <w:szCs w:val="14"/>
                <w:b w:val="1"/>
                <w:bCs w:val="1"/>
                <w:color w:val="auto"/>
              </w:rPr>
              <w:t>Howard Horn</w:t>
            </w:r>
          </w:p>
        </w:tc>
        <w:tc>
          <w:tcPr>
            <w:tcW w:w="180" w:type="dxa"/>
            <w:vAlign w:val="bottom"/>
          </w:tcPr>
          <w:p>
            <w:pPr>
              <w:ind w:left="100"/>
              <w:spacing w:after="0" w:line="151" w:lineRule="exact"/>
              <w:rPr>
                <w:sz w:val="20"/>
                <w:szCs w:val="20"/>
                <w:color w:val="auto"/>
              </w:rPr>
            </w:pPr>
            <w:r>
              <w:rPr>
                <w:rFonts w:ascii="Arial" w:cs="Arial" w:eastAsia="Arial" w:hAnsi="Arial"/>
                <w:sz w:val="14"/>
                <w:szCs w:val="14"/>
                <w:color w:val="7CBD3F"/>
              </w:rPr>
              <w:t>•</w:t>
            </w:r>
          </w:p>
        </w:tc>
        <w:tc>
          <w:tcPr>
            <w:tcW w:w="8480" w:type="dxa"/>
            <w:vAlign w:val="bottom"/>
          </w:tcPr>
          <w:p>
            <w:pPr>
              <w:ind w:left="40"/>
              <w:spacing w:after="0" w:line="151" w:lineRule="exact"/>
              <w:rPr>
                <w:sz w:val="20"/>
                <w:szCs w:val="20"/>
                <w:color w:val="auto"/>
              </w:rPr>
            </w:pPr>
            <w:r>
              <w:rPr>
                <w:rFonts w:ascii="Arial" w:cs="Arial" w:eastAsia="Arial" w:hAnsi="Arial"/>
                <w:sz w:val="14"/>
                <w:szCs w:val="14"/>
                <w:color w:val="auto"/>
              </w:rPr>
              <w:t>Successful execution of follow on equity offering for gross proceeds of $403 million</w:t>
            </w:r>
          </w:p>
        </w:tc>
      </w:tr>
      <w:tr>
        <w:trPr>
          <w:trHeight w:val="163"/>
        </w:trPr>
        <w:tc>
          <w:tcPr>
            <w:tcW w:w="2600" w:type="dxa"/>
            <w:vAlign w:val="bottom"/>
          </w:tcPr>
          <w:p>
            <w:pPr>
              <w:ind w:left="40"/>
              <w:spacing w:after="0"/>
              <w:rPr>
                <w:sz w:val="20"/>
                <w:szCs w:val="20"/>
                <w:color w:val="auto"/>
              </w:rPr>
            </w:pPr>
            <w:r>
              <w:rPr>
                <w:rFonts w:ascii="Arial" w:cs="Arial" w:eastAsia="Arial" w:hAnsi="Arial"/>
                <w:sz w:val="14"/>
                <w:szCs w:val="14"/>
                <w:i w:val="1"/>
                <w:iCs w:val="1"/>
                <w:color w:val="auto"/>
              </w:rPr>
              <w:t>Chief Financial Officer and EVP,</w:t>
            </w:r>
          </w:p>
        </w:tc>
        <w:tc>
          <w:tcPr>
            <w:tcW w:w="180" w:type="dxa"/>
            <w:vAlign w:val="bottom"/>
          </w:tcPr>
          <w:p>
            <w:pPr>
              <w:ind w:left="100"/>
              <w:spacing w:after="0"/>
              <w:rPr>
                <w:sz w:val="20"/>
                <w:szCs w:val="20"/>
                <w:color w:val="auto"/>
              </w:rPr>
            </w:pPr>
            <w:r>
              <w:rPr>
                <w:rFonts w:ascii="Arial" w:cs="Arial" w:eastAsia="Arial" w:hAnsi="Arial"/>
                <w:sz w:val="14"/>
                <w:szCs w:val="14"/>
                <w:color w:val="7CBD3F"/>
              </w:rPr>
              <w:t>•</w:t>
            </w:r>
          </w:p>
        </w:tc>
        <w:tc>
          <w:tcPr>
            <w:tcW w:w="8480" w:type="dxa"/>
            <w:vAlign w:val="bottom"/>
          </w:tcPr>
          <w:p>
            <w:pPr>
              <w:ind w:left="40"/>
              <w:spacing w:after="0"/>
              <w:rPr>
                <w:sz w:val="20"/>
                <w:szCs w:val="20"/>
                <w:color w:val="auto"/>
              </w:rPr>
            </w:pPr>
            <w:r>
              <w:rPr>
                <w:rFonts w:ascii="Arial" w:cs="Arial" w:eastAsia="Arial" w:hAnsi="Arial"/>
                <w:sz w:val="14"/>
                <w:szCs w:val="14"/>
                <w:color w:val="auto"/>
              </w:rPr>
              <w:t>Informed decision making and drove execution of business development transactions, 2024 strategy and budget and long-range plan</w:t>
            </w:r>
          </w:p>
        </w:tc>
      </w:tr>
      <w:tr>
        <w:trPr>
          <w:trHeight w:val="176"/>
        </w:trPr>
        <w:tc>
          <w:tcPr>
            <w:tcW w:w="2600" w:type="dxa"/>
            <w:vAlign w:val="bottom"/>
          </w:tcPr>
          <w:p>
            <w:pPr>
              <w:ind w:left="40"/>
              <w:spacing w:after="0"/>
              <w:rPr>
                <w:sz w:val="20"/>
                <w:szCs w:val="20"/>
                <w:color w:val="auto"/>
              </w:rPr>
            </w:pPr>
            <w:r>
              <w:rPr>
                <w:rFonts w:ascii="Arial" w:cs="Arial" w:eastAsia="Arial" w:hAnsi="Arial"/>
                <w:sz w:val="14"/>
                <w:szCs w:val="14"/>
                <w:i w:val="1"/>
                <w:iCs w:val="1"/>
                <w:color w:val="auto"/>
              </w:rPr>
              <w:t>Corporate Strategy</w:t>
            </w:r>
          </w:p>
        </w:tc>
        <w:tc>
          <w:tcPr>
            <w:tcW w:w="180" w:type="dxa"/>
            <w:vAlign w:val="bottom"/>
          </w:tcPr>
          <w:p>
            <w:pPr>
              <w:ind w:left="100"/>
              <w:spacing w:after="0"/>
              <w:rPr>
                <w:sz w:val="20"/>
                <w:szCs w:val="20"/>
                <w:color w:val="auto"/>
              </w:rPr>
            </w:pPr>
            <w:r>
              <w:rPr>
                <w:rFonts w:ascii="Arial" w:cs="Arial" w:eastAsia="Arial" w:hAnsi="Arial"/>
                <w:sz w:val="14"/>
                <w:szCs w:val="14"/>
                <w:color w:val="7CBD3F"/>
              </w:rPr>
              <w:t>•</w:t>
            </w:r>
          </w:p>
        </w:tc>
        <w:tc>
          <w:tcPr>
            <w:tcW w:w="8480" w:type="dxa"/>
            <w:vAlign w:val="bottom"/>
          </w:tcPr>
          <w:p>
            <w:pPr>
              <w:ind w:left="40"/>
              <w:spacing w:after="0"/>
              <w:rPr>
                <w:sz w:val="20"/>
                <w:szCs w:val="20"/>
                <w:color w:val="auto"/>
              </w:rPr>
            </w:pPr>
            <w:r>
              <w:rPr>
                <w:rFonts w:ascii="Arial" w:cs="Arial" w:eastAsia="Arial" w:hAnsi="Arial"/>
                <w:sz w:val="14"/>
                <w:szCs w:val="14"/>
                <w:color w:val="auto"/>
              </w:rPr>
              <w:t>Execution of defined operational excellence projects in collaboration with business teams</w:t>
            </w:r>
          </w:p>
        </w:tc>
      </w:tr>
      <w:tr>
        <w:trPr>
          <w:trHeight w:val="151"/>
        </w:trPr>
        <w:tc>
          <w:tcPr>
            <w:tcW w:w="2600" w:type="dxa"/>
            <w:vAlign w:val="bottom"/>
            <w:shd w:val="clear" w:color="auto" w:fill="F0F7E7"/>
          </w:tcPr>
          <w:p>
            <w:pPr>
              <w:ind w:left="40"/>
              <w:spacing w:after="0" w:line="151" w:lineRule="exact"/>
              <w:rPr>
                <w:sz w:val="20"/>
                <w:szCs w:val="20"/>
                <w:color w:val="auto"/>
              </w:rPr>
            </w:pPr>
            <w:r>
              <w:rPr>
                <w:rFonts w:ascii="Arial" w:cs="Arial" w:eastAsia="Arial" w:hAnsi="Arial"/>
                <w:sz w:val="14"/>
                <w:szCs w:val="14"/>
                <w:b w:val="1"/>
                <w:bCs w:val="1"/>
                <w:color w:val="auto"/>
              </w:rPr>
              <w:t>Erik Harris</w:t>
            </w:r>
          </w:p>
        </w:tc>
        <w:tc>
          <w:tcPr>
            <w:tcW w:w="8660" w:type="dxa"/>
            <w:vAlign w:val="bottom"/>
            <w:gridSpan w:val="2"/>
            <w:shd w:val="clear" w:color="auto" w:fill="F0F7E7"/>
          </w:tcPr>
          <w:p>
            <w:pPr>
              <w:ind w:left="100"/>
              <w:spacing w:after="0" w:line="151" w:lineRule="exact"/>
              <w:rPr>
                <w:sz w:val="20"/>
                <w:szCs w:val="20"/>
                <w:color w:val="auto"/>
              </w:rPr>
            </w:pPr>
            <w:r>
              <w:rPr>
                <w:rFonts w:ascii="Arial" w:cs="Arial" w:eastAsia="Arial" w:hAnsi="Arial"/>
                <w:sz w:val="14"/>
                <w:szCs w:val="14"/>
                <w:color w:val="7CBD3F"/>
              </w:rPr>
              <w:t xml:space="preserve">• </w:t>
            </w:r>
            <w:r>
              <w:rPr>
                <w:rFonts w:ascii="Arial" w:cs="Arial" w:eastAsia="Arial" w:hAnsi="Arial"/>
                <w:sz w:val="14"/>
                <w:szCs w:val="14"/>
                <w:color w:val="000000"/>
              </w:rPr>
              <w:t>Achieved continued growth in product sales to support achievement of global revenue targets, including exceeding top range of revenue</w:t>
            </w:r>
          </w:p>
        </w:tc>
      </w:tr>
      <w:tr>
        <w:trPr>
          <w:trHeight w:val="163"/>
        </w:trPr>
        <w:tc>
          <w:tcPr>
            <w:tcW w:w="2600" w:type="dxa"/>
            <w:vAlign w:val="bottom"/>
            <w:shd w:val="clear" w:color="auto" w:fill="F0F7E7"/>
          </w:tcPr>
          <w:p>
            <w:pPr>
              <w:ind w:left="40"/>
              <w:spacing w:after="0"/>
              <w:rPr>
                <w:sz w:val="20"/>
                <w:szCs w:val="20"/>
                <w:color w:val="auto"/>
              </w:rPr>
            </w:pPr>
            <w:r>
              <w:rPr>
                <w:rFonts w:ascii="Arial" w:cs="Arial" w:eastAsia="Arial" w:hAnsi="Arial"/>
                <w:sz w:val="14"/>
                <w:szCs w:val="14"/>
                <w:i w:val="1"/>
                <w:iCs w:val="1"/>
                <w:color w:val="auto"/>
              </w:rPr>
              <w:t>Chief Commercial Officer and EVP</w:t>
            </w:r>
          </w:p>
        </w:tc>
        <w:tc>
          <w:tcPr>
            <w:tcW w:w="180" w:type="dxa"/>
            <w:vAlign w:val="bottom"/>
            <w:shd w:val="clear" w:color="auto" w:fill="F0F7E7"/>
          </w:tcPr>
          <w:p>
            <w:pPr>
              <w:spacing w:after="0"/>
              <w:rPr>
                <w:sz w:val="14"/>
                <w:szCs w:val="14"/>
                <w:color w:val="auto"/>
              </w:rPr>
            </w:pPr>
          </w:p>
        </w:tc>
        <w:tc>
          <w:tcPr>
            <w:tcW w:w="8480" w:type="dxa"/>
            <w:vAlign w:val="bottom"/>
            <w:shd w:val="clear" w:color="auto" w:fill="F0F7E7"/>
          </w:tcPr>
          <w:p>
            <w:pPr>
              <w:ind w:left="40"/>
              <w:spacing w:after="0"/>
              <w:rPr>
                <w:sz w:val="20"/>
                <w:szCs w:val="20"/>
                <w:color w:val="auto"/>
              </w:rPr>
            </w:pPr>
            <w:r>
              <w:rPr>
                <w:rFonts w:ascii="Arial" w:cs="Arial" w:eastAsia="Arial" w:hAnsi="Arial"/>
                <w:sz w:val="14"/>
                <w:szCs w:val="14"/>
                <w:color w:val="auto"/>
              </w:rPr>
              <w:t>guidance</w:t>
            </w:r>
          </w:p>
        </w:tc>
      </w:tr>
      <w:tr>
        <w:trPr>
          <w:trHeight w:val="163"/>
        </w:trPr>
        <w:tc>
          <w:tcPr>
            <w:tcW w:w="2600" w:type="dxa"/>
            <w:vAlign w:val="bottom"/>
            <w:shd w:val="clear" w:color="auto" w:fill="F0F7E7"/>
          </w:tcPr>
          <w:p>
            <w:pPr>
              <w:spacing w:after="0"/>
              <w:rPr>
                <w:sz w:val="14"/>
                <w:szCs w:val="14"/>
                <w:color w:val="auto"/>
              </w:rPr>
            </w:pPr>
          </w:p>
        </w:tc>
        <w:tc>
          <w:tcPr>
            <w:tcW w:w="180" w:type="dxa"/>
            <w:vAlign w:val="bottom"/>
            <w:shd w:val="clear" w:color="auto" w:fill="F0F7E7"/>
          </w:tcPr>
          <w:p>
            <w:pPr>
              <w:ind w:left="100"/>
              <w:spacing w:after="0"/>
              <w:rPr>
                <w:sz w:val="20"/>
                <w:szCs w:val="20"/>
                <w:color w:val="auto"/>
              </w:rPr>
            </w:pPr>
            <w:r>
              <w:rPr>
                <w:rFonts w:ascii="Arial" w:cs="Arial" w:eastAsia="Arial" w:hAnsi="Arial"/>
                <w:sz w:val="14"/>
                <w:szCs w:val="14"/>
                <w:color w:val="7CBD3F"/>
              </w:rPr>
              <w:t>•</w:t>
            </w:r>
          </w:p>
        </w:tc>
        <w:tc>
          <w:tcPr>
            <w:tcW w:w="8480" w:type="dxa"/>
            <w:vAlign w:val="bottom"/>
            <w:shd w:val="clear" w:color="auto" w:fill="F0F7E7"/>
          </w:tcPr>
          <w:p>
            <w:pPr>
              <w:ind w:left="40"/>
              <w:spacing w:after="0"/>
              <w:rPr>
                <w:sz w:val="20"/>
                <w:szCs w:val="20"/>
                <w:color w:val="auto"/>
              </w:rPr>
            </w:pPr>
            <w:r>
              <w:rPr>
                <w:rFonts w:ascii="Arial" w:cs="Arial" w:eastAsia="Arial" w:hAnsi="Arial"/>
                <w:sz w:val="14"/>
                <w:szCs w:val="14"/>
                <w:color w:val="auto"/>
              </w:rPr>
              <w:t>Executed commercial planning for launch readiness for late-stage programs</w:t>
            </w:r>
          </w:p>
        </w:tc>
      </w:tr>
      <w:tr>
        <w:trPr>
          <w:trHeight w:val="176"/>
        </w:trPr>
        <w:tc>
          <w:tcPr>
            <w:tcW w:w="2600" w:type="dxa"/>
            <w:vAlign w:val="bottom"/>
            <w:shd w:val="clear" w:color="auto" w:fill="F0F7E7"/>
          </w:tcPr>
          <w:p>
            <w:pPr>
              <w:spacing w:after="0"/>
              <w:rPr>
                <w:sz w:val="15"/>
                <w:szCs w:val="15"/>
                <w:color w:val="auto"/>
              </w:rPr>
            </w:pPr>
          </w:p>
        </w:tc>
        <w:tc>
          <w:tcPr>
            <w:tcW w:w="180" w:type="dxa"/>
            <w:vAlign w:val="bottom"/>
            <w:shd w:val="clear" w:color="auto" w:fill="F0F7E7"/>
          </w:tcPr>
          <w:p>
            <w:pPr>
              <w:ind w:left="100"/>
              <w:spacing w:after="0"/>
              <w:rPr>
                <w:sz w:val="20"/>
                <w:szCs w:val="20"/>
                <w:color w:val="auto"/>
              </w:rPr>
            </w:pPr>
            <w:r>
              <w:rPr>
                <w:rFonts w:ascii="Arial" w:cs="Arial" w:eastAsia="Arial" w:hAnsi="Arial"/>
                <w:sz w:val="14"/>
                <w:szCs w:val="14"/>
                <w:color w:val="7CBD3F"/>
              </w:rPr>
              <w:t>•</w:t>
            </w:r>
          </w:p>
        </w:tc>
        <w:tc>
          <w:tcPr>
            <w:tcW w:w="8480" w:type="dxa"/>
            <w:vAlign w:val="bottom"/>
            <w:shd w:val="clear" w:color="auto" w:fill="F0F7E7"/>
          </w:tcPr>
          <w:p>
            <w:pPr>
              <w:ind w:left="40"/>
              <w:spacing w:after="0"/>
              <w:rPr>
                <w:sz w:val="20"/>
                <w:szCs w:val="20"/>
                <w:color w:val="auto"/>
              </w:rPr>
            </w:pPr>
            <w:r>
              <w:rPr>
                <w:rFonts w:ascii="Arial" w:cs="Arial" w:eastAsia="Arial" w:hAnsi="Arial"/>
                <w:sz w:val="14"/>
                <w:szCs w:val="14"/>
                <w:color w:val="auto"/>
              </w:rPr>
              <w:t>Retention of key contributors for commercial leadership team</w:t>
            </w:r>
          </w:p>
        </w:tc>
      </w:tr>
      <w:tr>
        <w:trPr>
          <w:trHeight w:val="151"/>
        </w:trPr>
        <w:tc>
          <w:tcPr>
            <w:tcW w:w="2600" w:type="dxa"/>
            <w:vAlign w:val="bottom"/>
          </w:tcPr>
          <w:p>
            <w:pPr>
              <w:ind w:left="40"/>
              <w:spacing w:after="0" w:line="151" w:lineRule="exact"/>
              <w:rPr>
                <w:sz w:val="20"/>
                <w:szCs w:val="20"/>
                <w:color w:val="auto"/>
              </w:rPr>
            </w:pPr>
            <w:r>
              <w:rPr>
                <w:rFonts w:ascii="Arial" w:cs="Arial" w:eastAsia="Arial" w:hAnsi="Arial"/>
                <w:sz w:val="14"/>
                <w:szCs w:val="14"/>
                <w:b w:val="1"/>
                <w:bCs w:val="1"/>
                <w:color w:val="auto"/>
              </w:rPr>
              <w:t>Eric Crombez, M.D.</w:t>
            </w:r>
          </w:p>
        </w:tc>
        <w:tc>
          <w:tcPr>
            <w:tcW w:w="180" w:type="dxa"/>
            <w:vAlign w:val="bottom"/>
          </w:tcPr>
          <w:p>
            <w:pPr>
              <w:ind w:left="100"/>
              <w:spacing w:after="0" w:line="151" w:lineRule="exact"/>
              <w:rPr>
                <w:sz w:val="20"/>
                <w:szCs w:val="20"/>
                <w:color w:val="auto"/>
              </w:rPr>
            </w:pPr>
            <w:r>
              <w:rPr>
                <w:rFonts w:ascii="Arial" w:cs="Arial" w:eastAsia="Arial" w:hAnsi="Arial"/>
                <w:sz w:val="14"/>
                <w:szCs w:val="14"/>
                <w:color w:val="7CBD3F"/>
              </w:rPr>
              <w:t>•</w:t>
            </w:r>
          </w:p>
        </w:tc>
        <w:tc>
          <w:tcPr>
            <w:tcW w:w="8480" w:type="dxa"/>
            <w:vAlign w:val="bottom"/>
          </w:tcPr>
          <w:p>
            <w:pPr>
              <w:ind w:left="40"/>
              <w:spacing w:after="0" w:line="151" w:lineRule="exact"/>
              <w:rPr>
                <w:sz w:val="20"/>
                <w:szCs w:val="20"/>
                <w:color w:val="auto"/>
              </w:rPr>
            </w:pPr>
            <w:r>
              <w:rPr>
                <w:rFonts w:ascii="Arial" w:cs="Arial" w:eastAsia="Arial" w:hAnsi="Arial"/>
                <w:sz w:val="14"/>
                <w:szCs w:val="14"/>
                <w:color w:val="auto"/>
              </w:rPr>
              <w:t>Led development team in achievement of high priority clinical milestones</w:t>
            </w:r>
          </w:p>
        </w:tc>
      </w:tr>
      <w:tr>
        <w:trPr>
          <w:trHeight w:val="163"/>
        </w:trPr>
        <w:tc>
          <w:tcPr>
            <w:tcW w:w="2600" w:type="dxa"/>
            <w:vAlign w:val="bottom"/>
          </w:tcPr>
          <w:p>
            <w:pPr>
              <w:ind w:left="40"/>
              <w:spacing w:after="0"/>
              <w:rPr>
                <w:sz w:val="20"/>
                <w:szCs w:val="20"/>
                <w:color w:val="auto"/>
              </w:rPr>
            </w:pPr>
            <w:r>
              <w:rPr>
                <w:rFonts w:ascii="Arial" w:cs="Arial" w:eastAsia="Arial" w:hAnsi="Arial"/>
                <w:sz w:val="14"/>
                <w:szCs w:val="14"/>
                <w:i w:val="1"/>
                <w:iCs w:val="1"/>
                <w:color w:val="auto"/>
              </w:rPr>
              <w:t>Chief Medical Officer and EVP</w:t>
            </w:r>
          </w:p>
        </w:tc>
        <w:tc>
          <w:tcPr>
            <w:tcW w:w="180" w:type="dxa"/>
            <w:vAlign w:val="bottom"/>
          </w:tcPr>
          <w:p>
            <w:pPr>
              <w:ind w:left="100"/>
              <w:spacing w:after="0"/>
              <w:rPr>
                <w:sz w:val="20"/>
                <w:szCs w:val="20"/>
                <w:color w:val="auto"/>
              </w:rPr>
            </w:pPr>
            <w:r>
              <w:rPr>
                <w:rFonts w:ascii="Arial" w:cs="Arial" w:eastAsia="Arial" w:hAnsi="Arial"/>
                <w:sz w:val="14"/>
                <w:szCs w:val="14"/>
                <w:color w:val="7CBD3F"/>
              </w:rPr>
              <w:t>•</w:t>
            </w:r>
          </w:p>
        </w:tc>
        <w:tc>
          <w:tcPr>
            <w:tcW w:w="8480" w:type="dxa"/>
            <w:vAlign w:val="bottom"/>
          </w:tcPr>
          <w:p>
            <w:pPr>
              <w:ind w:left="40"/>
              <w:spacing w:after="0"/>
              <w:rPr>
                <w:sz w:val="20"/>
                <w:szCs w:val="20"/>
                <w:color w:val="auto"/>
              </w:rPr>
            </w:pPr>
            <w:r>
              <w:rPr>
                <w:rFonts w:ascii="Arial" w:cs="Arial" w:eastAsia="Arial" w:hAnsi="Arial"/>
                <w:sz w:val="14"/>
                <w:szCs w:val="14"/>
                <w:color w:val="auto"/>
              </w:rPr>
              <w:t>Effective resource planning and right-sizing of development teams to achieve milestones</w:t>
            </w:r>
          </w:p>
        </w:tc>
      </w:tr>
      <w:tr>
        <w:trPr>
          <w:trHeight w:val="176"/>
        </w:trPr>
        <w:tc>
          <w:tcPr>
            <w:tcW w:w="2600" w:type="dxa"/>
            <w:vAlign w:val="bottom"/>
          </w:tcPr>
          <w:p>
            <w:pPr>
              <w:spacing w:after="0"/>
              <w:rPr>
                <w:sz w:val="15"/>
                <w:szCs w:val="15"/>
                <w:color w:val="auto"/>
              </w:rPr>
            </w:pPr>
          </w:p>
        </w:tc>
        <w:tc>
          <w:tcPr>
            <w:tcW w:w="180" w:type="dxa"/>
            <w:vAlign w:val="bottom"/>
          </w:tcPr>
          <w:p>
            <w:pPr>
              <w:ind w:left="100"/>
              <w:spacing w:after="0"/>
              <w:rPr>
                <w:sz w:val="20"/>
                <w:szCs w:val="20"/>
                <w:color w:val="auto"/>
              </w:rPr>
            </w:pPr>
            <w:r>
              <w:rPr>
                <w:rFonts w:ascii="Arial" w:cs="Arial" w:eastAsia="Arial" w:hAnsi="Arial"/>
                <w:sz w:val="14"/>
                <w:szCs w:val="14"/>
                <w:color w:val="7CBD3F"/>
              </w:rPr>
              <w:t>•</w:t>
            </w:r>
          </w:p>
        </w:tc>
        <w:tc>
          <w:tcPr>
            <w:tcW w:w="8480" w:type="dxa"/>
            <w:vAlign w:val="bottom"/>
          </w:tcPr>
          <w:p>
            <w:pPr>
              <w:ind w:left="40"/>
              <w:spacing w:after="0"/>
              <w:rPr>
                <w:sz w:val="20"/>
                <w:szCs w:val="20"/>
                <w:color w:val="auto"/>
              </w:rPr>
            </w:pPr>
            <w:r>
              <w:rPr>
                <w:rFonts w:ascii="Arial" w:cs="Arial" w:eastAsia="Arial" w:hAnsi="Arial"/>
                <w:sz w:val="14"/>
                <w:szCs w:val="14"/>
                <w:color w:val="auto"/>
              </w:rPr>
              <w:t>Continued close collaboration with cross-functional executive team to elevate development team performance and drive the business</w:t>
            </w:r>
          </w:p>
        </w:tc>
      </w:tr>
      <w:tr>
        <w:trPr>
          <w:trHeight w:val="151"/>
        </w:trPr>
        <w:tc>
          <w:tcPr>
            <w:tcW w:w="2600" w:type="dxa"/>
            <w:vAlign w:val="bottom"/>
            <w:shd w:val="clear" w:color="auto" w:fill="F0F7E7"/>
          </w:tcPr>
          <w:p>
            <w:pPr>
              <w:ind w:left="40"/>
              <w:spacing w:after="0" w:line="151" w:lineRule="exact"/>
              <w:rPr>
                <w:sz w:val="20"/>
                <w:szCs w:val="20"/>
                <w:color w:val="auto"/>
              </w:rPr>
            </w:pPr>
            <w:r>
              <w:rPr>
                <w:rFonts w:ascii="Arial" w:cs="Arial" w:eastAsia="Arial" w:hAnsi="Arial"/>
                <w:sz w:val="14"/>
                <w:szCs w:val="14"/>
                <w:b w:val="1"/>
                <w:bCs w:val="1"/>
                <w:color w:val="auto"/>
              </w:rPr>
              <w:t>John R. Pinion II</w:t>
            </w:r>
          </w:p>
        </w:tc>
        <w:tc>
          <w:tcPr>
            <w:tcW w:w="180" w:type="dxa"/>
            <w:vAlign w:val="bottom"/>
            <w:shd w:val="clear" w:color="auto" w:fill="F0F7E7"/>
          </w:tcPr>
          <w:p>
            <w:pPr>
              <w:ind w:left="100"/>
              <w:spacing w:after="0" w:line="151" w:lineRule="exact"/>
              <w:rPr>
                <w:sz w:val="20"/>
                <w:szCs w:val="20"/>
                <w:color w:val="auto"/>
              </w:rPr>
            </w:pPr>
            <w:r>
              <w:rPr>
                <w:rFonts w:ascii="Arial" w:cs="Arial" w:eastAsia="Arial" w:hAnsi="Arial"/>
                <w:sz w:val="14"/>
                <w:szCs w:val="14"/>
                <w:color w:val="7CBD3F"/>
              </w:rPr>
              <w:t>•</w:t>
            </w:r>
          </w:p>
        </w:tc>
        <w:tc>
          <w:tcPr>
            <w:tcW w:w="8480" w:type="dxa"/>
            <w:vAlign w:val="bottom"/>
            <w:shd w:val="clear" w:color="auto" w:fill="F0F7E7"/>
          </w:tcPr>
          <w:p>
            <w:pPr>
              <w:ind w:left="40"/>
              <w:spacing w:after="0" w:line="151" w:lineRule="exact"/>
              <w:rPr>
                <w:sz w:val="20"/>
                <w:szCs w:val="20"/>
                <w:color w:val="auto"/>
              </w:rPr>
            </w:pPr>
            <w:r>
              <w:rPr>
                <w:rFonts w:ascii="Arial" w:cs="Arial" w:eastAsia="Arial" w:hAnsi="Arial"/>
                <w:sz w:val="14"/>
                <w:szCs w:val="14"/>
                <w:color w:val="auto"/>
              </w:rPr>
              <w:t>Led and sponsored non-clinical activities to enable development and advancement of translational science portfolio</w:t>
            </w:r>
          </w:p>
        </w:tc>
      </w:tr>
      <w:tr>
        <w:trPr>
          <w:trHeight w:val="163"/>
        </w:trPr>
        <w:tc>
          <w:tcPr>
            <w:tcW w:w="2600" w:type="dxa"/>
            <w:vAlign w:val="bottom"/>
            <w:shd w:val="clear" w:color="auto" w:fill="F0F7E7"/>
          </w:tcPr>
          <w:p>
            <w:pPr>
              <w:ind w:left="40"/>
              <w:spacing w:after="0"/>
              <w:rPr>
                <w:sz w:val="20"/>
                <w:szCs w:val="20"/>
                <w:color w:val="auto"/>
              </w:rPr>
            </w:pPr>
            <w:r>
              <w:rPr>
                <w:rFonts w:ascii="Arial" w:cs="Arial" w:eastAsia="Arial" w:hAnsi="Arial"/>
                <w:sz w:val="14"/>
                <w:szCs w:val="14"/>
                <w:i w:val="1"/>
                <w:iCs w:val="1"/>
                <w:color w:val="auto"/>
              </w:rPr>
              <w:t>Chief Quality Officer and Executive Vice</w:t>
            </w:r>
          </w:p>
        </w:tc>
        <w:tc>
          <w:tcPr>
            <w:tcW w:w="180" w:type="dxa"/>
            <w:vAlign w:val="bottom"/>
            <w:shd w:val="clear" w:color="auto" w:fill="F0F7E7"/>
          </w:tcPr>
          <w:p>
            <w:pPr>
              <w:ind w:left="100"/>
              <w:spacing w:after="0"/>
              <w:rPr>
                <w:sz w:val="20"/>
                <w:szCs w:val="20"/>
                <w:color w:val="auto"/>
              </w:rPr>
            </w:pPr>
            <w:r>
              <w:rPr>
                <w:rFonts w:ascii="Arial" w:cs="Arial" w:eastAsia="Arial" w:hAnsi="Arial"/>
                <w:sz w:val="14"/>
                <w:szCs w:val="14"/>
                <w:color w:val="7CBD3F"/>
              </w:rPr>
              <w:t>•</w:t>
            </w:r>
          </w:p>
        </w:tc>
        <w:tc>
          <w:tcPr>
            <w:tcW w:w="8480" w:type="dxa"/>
            <w:vAlign w:val="bottom"/>
            <w:shd w:val="clear" w:color="auto" w:fill="F0F7E7"/>
          </w:tcPr>
          <w:p>
            <w:pPr>
              <w:ind w:left="40"/>
              <w:spacing w:after="0"/>
              <w:rPr>
                <w:sz w:val="20"/>
                <w:szCs w:val="20"/>
                <w:color w:val="auto"/>
              </w:rPr>
            </w:pPr>
            <w:r>
              <w:rPr>
                <w:rFonts w:ascii="Arial" w:cs="Arial" w:eastAsia="Arial" w:hAnsi="Arial"/>
                <w:sz w:val="14"/>
                <w:szCs w:val="14"/>
                <w:color w:val="auto"/>
              </w:rPr>
              <w:t>Successfully led start-up and advancement of Amlogenyx operations and other specified pre-clinical development, per plan</w:t>
            </w:r>
          </w:p>
        </w:tc>
      </w:tr>
      <w:tr>
        <w:trPr>
          <w:trHeight w:val="163"/>
        </w:trPr>
        <w:tc>
          <w:tcPr>
            <w:tcW w:w="2600" w:type="dxa"/>
            <w:vAlign w:val="bottom"/>
            <w:shd w:val="clear" w:color="auto" w:fill="F0F7E7"/>
          </w:tcPr>
          <w:p>
            <w:pPr>
              <w:ind w:left="40"/>
              <w:spacing w:after="0"/>
              <w:rPr>
                <w:sz w:val="20"/>
                <w:szCs w:val="20"/>
                <w:color w:val="auto"/>
              </w:rPr>
            </w:pPr>
            <w:r>
              <w:rPr>
                <w:rFonts w:ascii="Arial" w:cs="Arial" w:eastAsia="Arial" w:hAnsi="Arial"/>
                <w:sz w:val="14"/>
                <w:szCs w:val="14"/>
                <w:i w:val="1"/>
                <w:iCs w:val="1"/>
                <w:color w:val="auto"/>
              </w:rPr>
              <w:t>President, Translational Sciences</w:t>
            </w:r>
          </w:p>
        </w:tc>
        <w:tc>
          <w:tcPr>
            <w:tcW w:w="180" w:type="dxa"/>
            <w:vAlign w:val="bottom"/>
            <w:shd w:val="clear" w:color="auto" w:fill="F0F7E7"/>
          </w:tcPr>
          <w:p>
            <w:pPr>
              <w:ind w:left="100"/>
              <w:spacing w:after="0"/>
              <w:rPr>
                <w:sz w:val="20"/>
                <w:szCs w:val="20"/>
                <w:color w:val="auto"/>
              </w:rPr>
            </w:pPr>
            <w:r>
              <w:rPr>
                <w:rFonts w:ascii="Arial" w:cs="Arial" w:eastAsia="Arial" w:hAnsi="Arial"/>
                <w:sz w:val="14"/>
                <w:szCs w:val="14"/>
                <w:color w:val="7CBD3F"/>
              </w:rPr>
              <w:t>•</w:t>
            </w:r>
          </w:p>
        </w:tc>
        <w:tc>
          <w:tcPr>
            <w:tcW w:w="8480" w:type="dxa"/>
            <w:vAlign w:val="bottom"/>
            <w:shd w:val="clear" w:color="auto" w:fill="F0F7E7"/>
          </w:tcPr>
          <w:p>
            <w:pPr>
              <w:ind w:left="40"/>
              <w:spacing w:after="0"/>
              <w:rPr>
                <w:sz w:val="20"/>
                <w:szCs w:val="20"/>
                <w:color w:val="auto"/>
              </w:rPr>
            </w:pPr>
            <w:r>
              <w:rPr>
                <w:rFonts w:ascii="Arial" w:cs="Arial" w:eastAsia="Arial" w:hAnsi="Arial"/>
                <w:sz w:val="14"/>
                <w:szCs w:val="14"/>
                <w:color w:val="auto"/>
              </w:rPr>
              <w:t>Led reliable quality supply across commercial and clinical products to support patient needs, revenue growth and clinical program</w:t>
            </w:r>
          </w:p>
        </w:tc>
      </w:tr>
      <w:tr>
        <w:trPr>
          <w:trHeight w:val="179"/>
        </w:trPr>
        <w:tc>
          <w:tcPr>
            <w:tcW w:w="2600" w:type="dxa"/>
            <w:vAlign w:val="bottom"/>
            <w:tcBorders>
              <w:bottom w:val="single" w:sz="8" w:color="7CBD3F"/>
            </w:tcBorders>
            <w:shd w:val="clear" w:color="auto" w:fill="F0F7E7"/>
          </w:tcPr>
          <w:p>
            <w:pPr>
              <w:spacing w:after="0"/>
              <w:rPr>
                <w:sz w:val="15"/>
                <w:szCs w:val="15"/>
                <w:color w:val="auto"/>
              </w:rPr>
            </w:pPr>
          </w:p>
        </w:tc>
        <w:tc>
          <w:tcPr>
            <w:tcW w:w="180" w:type="dxa"/>
            <w:vAlign w:val="bottom"/>
            <w:tcBorders>
              <w:bottom w:val="single" w:sz="8" w:color="7CBD3F"/>
            </w:tcBorders>
            <w:shd w:val="clear" w:color="auto" w:fill="F0F7E7"/>
          </w:tcPr>
          <w:p>
            <w:pPr>
              <w:spacing w:after="0"/>
              <w:rPr>
                <w:sz w:val="15"/>
                <w:szCs w:val="15"/>
                <w:color w:val="auto"/>
              </w:rPr>
            </w:pPr>
          </w:p>
        </w:tc>
        <w:tc>
          <w:tcPr>
            <w:tcW w:w="8480" w:type="dxa"/>
            <w:vAlign w:val="bottom"/>
            <w:tcBorders>
              <w:bottom w:val="single" w:sz="8" w:color="7CBD3F"/>
            </w:tcBorders>
            <w:shd w:val="clear" w:color="auto" w:fill="F0F7E7"/>
          </w:tcPr>
          <w:p>
            <w:pPr>
              <w:ind w:left="40"/>
              <w:spacing w:after="0"/>
              <w:rPr>
                <w:sz w:val="20"/>
                <w:szCs w:val="20"/>
                <w:color w:val="auto"/>
              </w:rPr>
            </w:pPr>
            <w:r>
              <w:rPr>
                <w:rFonts w:ascii="Arial" w:cs="Arial" w:eastAsia="Arial" w:hAnsi="Arial"/>
                <w:sz w:val="14"/>
                <w:szCs w:val="14"/>
                <w:color w:val="auto"/>
              </w:rPr>
              <w:t>success</w:t>
            </w:r>
          </w:p>
        </w:tc>
      </w:tr>
    </w:tbl>
    <w:p>
      <w:pPr>
        <w:spacing w:after="0" w:line="151"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auto"/>
        </w:rPr>
        <w:t xml:space="preserve">ULTRAGENYX PHARMACEUTICAL INC. </w:t>
      </w:r>
      <w:r>
        <w:rPr>
          <w:rFonts w:ascii="Arial" w:cs="Arial" w:eastAsia="Arial" w:hAnsi="Arial"/>
          <w:sz w:val="14"/>
          <w:szCs w:val="14"/>
          <w:color w:val="7CBD3F"/>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2025 Proxy Statement</w:t>
      </w:r>
      <w:r>
        <w:rPr>
          <w:rFonts w:ascii="Arial" w:cs="Arial" w:eastAsia="Arial" w:hAnsi="Arial"/>
          <w:sz w:val="14"/>
          <w:szCs w:val="14"/>
          <w:b w:val="1"/>
          <w:bCs w:val="1"/>
          <w:color w:val="auto"/>
        </w:rPr>
        <w:tab/>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150735"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0735" cy="29845"/>
                    </a:xfrm>
                    <a:prstGeom prst="rect">
                      <a:avLst/>
                    </a:prstGeom>
                    <a:noFill/>
                  </pic:spPr>
                </pic:pic>
              </a:graphicData>
            </a:graphic>
          </wp:anchor>
        </w:drawing>
      </w:r>
    </w:p>
    <w:p>
      <w:pPr>
        <w:sectPr>
          <w:pgSz w:w="11900" w:h="16838" w:orient="portrait"/>
          <w:cols w:equalWidth="0" w:num="1">
            <w:col w:w="11267"/>
          </w:cols>
          <w:pgMar w:left="313" w:top="225" w:right="319" w:bottom="1440" w:gutter="0" w:footer="0" w:header="0"/>
          <w:type w:val="continuous"/>
        </w:sectPr>
      </w:pPr>
    </w:p>
    <w:bookmarkStart w:id="47" w:name="page48"/>
    <w:bookmarkEnd w:id="47"/>
    <w:p>
      <w:pPr>
        <w:spacing w:after="0"/>
        <w:rPr>
          <w:sz w:val="20"/>
          <w:szCs w:val="20"/>
          <w:color w:val="auto"/>
        </w:rPr>
      </w:pPr>
      <w:r>
        <w:rPr>
          <w:rFonts w:ascii="Arial" w:cs="Arial" w:eastAsia="Arial" w:hAnsi="Arial"/>
          <w:sz w:val="12"/>
          <w:szCs w:val="12"/>
          <w:b w:val="1"/>
          <w:bCs w:val="1"/>
          <w:u w:val="single" w:color="auto"/>
          <w:color w:val="0000EE"/>
        </w:rPr>
        <w:t>Back to Contents</w:t>
      </w:r>
    </w:p>
    <w:p>
      <w:pPr>
        <w:spacing w:after="0" w:line="149" w:lineRule="exact"/>
        <w:rPr>
          <w:sz w:val="20"/>
          <w:szCs w:val="20"/>
          <w:color w:val="auto"/>
        </w:rPr>
      </w:pPr>
    </w:p>
    <w:p>
      <w:pPr>
        <w:jc w:val="both"/>
        <w:ind w:right="20"/>
        <w:spacing w:after="0" w:line="278" w:lineRule="auto"/>
        <w:rPr>
          <w:sz w:val="20"/>
          <w:szCs w:val="20"/>
          <w:color w:val="auto"/>
        </w:rPr>
      </w:pPr>
      <w:r>
        <w:rPr>
          <w:rFonts w:ascii="Arial" w:cs="Arial" w:eastAsia="Arial" w:hAnsi="Arial"/>
          <w:sz w:val="14"/>
          <w:szCs w:val="14"/>
          <w:color w:val="auto"/>
        </w:rPr>
        <w:t>Dr. Kakkis evaluated the performance of Mr. Horn, Mr. Harris, Dr. Crombez and Mr. Pinion after considering the above achievements and provided a proposed bonus amount for each such officer to the Compensation Committee in light of such officer’s achievements during 2024.</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Achievement of Goals and Relationship to Compensation Awarded</w:t>
      </w:r>
    </w:p>
    <w:p>
      <w:pPr>
        <w:spacing w:after="0" w:line="158" w:lineRule="exact"/>
        <w:rPr>
          <w:sz w:val="20"/>
          <w:szCs w:val="20"/>
          <w:color w:val="auto"/>
        </w:rPr>
      </w:pPr>
    </w:p>
    <w:p>
      <w:pPr>
        <w:jc w:val="both"/>
        <w:ind w:right="20"/>
        <w:spacing w:after="0" w:line="260" w:lineRule="auto"/>
        <w:rPr>
          <w:sz w:val="20"/>
          <w:szCs w:val="20"/>
          <w:color w:val="auto"/>
        </w:rPr>
      </w:pPr>
      <w:r>
        <w:rPr>
          <w:rFonts w:ascii="Arial" w:cs="Arial" w:eastAsia="Arial" w:hAnsi="Arial"/>
          <w:sz w:val="14"/>
          <w:szCs w:val="14"/>
          <w:color w:val="auto"/>
        </w:rPr>
        <w:t>The overall 110% achievement score for the 2024 corporate goals, combined with Dr. Kakkis’ assessment of the individual performance and achievement of Mr. Horn, Mr. Harris, Dr. Crombez and Mr. Pinion during fiscal 2024 resulted in the Compensation Committee approving bonus awards for performance in 2024 as set forth in the following table. The bonuses awarded under our 2024 annual incentive program were paid in March 2025.</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21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Bonus</w:t>
            </w:r>
          </w:p>
        </w:tc>
        <w:tc>
          <w:tcPr>
            <w:tcW w:w="0" w:type="dxa"/>
            <w:vAlign w:val="bottom"/>
          </w:tcPr>
          <w:p>
            <w:pPr>
              <w:spacing w:after="0"/>
              <w:rPr>
                <w:sz w:val="1"/>
                <w:szCs w:val="1"/>
                <w:color w:val="auto"/>
              </w:rPr>
            </w:pPr>
          </w:p>
        </w:tc>
      </w:tr>
      <w:tr>
        <w:trPr>
          <w:trHeight w:val="163"/>
        </w:trPr>
        <w:tc>
          <w:tcPr>
            <w:tcW w:w="21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Achieved</w:t>
            </w:r>
          </w:p>
        </w:tc>
        <w:tc>
          <w:tcPr>
            <w:tcW w:w="0" w:type="dxa"/>
            <w:vAlign w:val="bottom"/>
          </w:tcPr>
          <w:p>
            <w:pPr>
              <w:spacing w:after="0"/>
              <w:rPr>
                <w:sz w:val="1"/>
                <w:szCs w:val="1"/>
                <w:color w:val="auto"/>
              </w:rPr>
            </w:pPr>
          </w:p>
        </w:tc>
      </w:tr>
      <w:tr>
        <w:trPr>
          <w:trHeight w:val="163"/>
        </w:trPr>
        <w:tc>
          <w:tcPr>
            <w:tcW w:w="21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900" w:type="dxa"/>
            <w:vAlign w:val="bottom"/>
          </w:tcPr>
          <w:p>
            <w:pPr>
              <w:jc w:val="right"/>
              <w:ind w:right="210"/>
              <w:spacing w:after="0"/>
              <w:rPr>
                <w:sz w:val="20"/>
                <w:szCs w:val="20"/>
                <w:color w:val="auto"/>
              </w:rPr>
            </w:pPr>
            <w:r>
              <w:rPr>
                <w:rFonts w:ascii="Arial" w:cs="Arial" w:eastAsia="Arial" w:hAnsi="Arial"/>
                <w:sz w:val="14"/>
                <w:szCs w:val="14"/>
                <w:b w:val="1"/>
                <w:bCs w:val="1"/>
                <w:color w:val="auto"/>
              </w:rPr>
              <w:t>Corporate</w:t>
            </w:r>
          </w:p>
        </w:tc>
        <w:tc>
          <w:tcPr>
            <w:tcW w:w="1180" w:type="dxa"/>
            <w:vAlign w:val="bottom"/>
          </w:tcPr>
          <w:p>
            <w:pPr>
              <w:jc w:val="right"/>
              <w:ind w:right="70"/>
              <w:spacing w:after="0"/>
              <w:rPr>
                <w:sz w:val="20"/>
                <w:szCs w:val="20"/>
                <w:color w:val="auto"/>
              </w:rPr>
            </w:pPr>
            <w:r>
              <w:rPr>
                <w:rFonts w:ascii="Arial" w:cs="Arial" w:eastAsia="Arial" w:hAnsi="Arial"/>
                <w:sz w:val="14"/>
                <w:szCs w:val="14"/>
                <w:b w:val="1"/>
                <w:bCs w:val="1"/>
                <w:color w:val="auto"/>
              </w:rPr>
              <w:t>Individual</w:t>
            </w:r>
          </w:p>
        </w:tc>
        <w:tc>
          <w:tcPr>
            <w:tcW w:w="14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(as %</w:t>
            </w:r>
          </w:p>
        </w:tc>
        <w:tc>
          <w:tcPr>
            <w:tcW w:w="0" w:type="dxa"/>
            <w:vAlign w:val="bottom"/>
          </w:tcPr>
          <w:p>
            <w:pPr>
              <w:spacing w:after="0"/>
              <w:rPr>
                <w:sz w:val="1"/>
                <w:szCs w:val="1"/>
                <w:color w:val="auto"/>
              </w:rPr>
            </w:pPr>
          </w:p>
        </w:tc>
      </w:tr>
      <w:tr>
        <w:trPr>
          <w:trHeight w:val="163"/>
        </w:trPr>
        <w:tc>
          <w:tcPr>
            <w:tcW w:w="21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900" w:type="dxa"/>
            <w:vAlign w:val="bottom"/>
          </w:tcPr>
          <w:p>
            <w:pPr>
              <w:jc w:val="right"/>
              <w:ind w:right="210"/>
              <w:spacing w:after="0"/>
              <w:rPr>
                <w:sz w:val="20"/>
                <w:szCs w:val="20"/>
                <w:color w:val="auto"/>
              </w:rPr>
            </w:pPr>
            <w:r>
              <w:rPr>
                <w:rFonts w:ascii="Arial" w:cs="Arial" w:eastAsia="Arial" w:hAnsi="Arial"/>
                <w:sz w:val="14"/>
                <w:szCs w:val="14"/>
                <w:b w:val="1"/>
                <w:bCs w:val="1"/>
                <w:color w:val="auto"/>
              </w:rPr>
              <w:t>Component Score (%)</w:t>
            </w:r>
          </w:p>
        </w:tc>
        <w:tc>
          <w:tcPr>
            <w:tcW w:w="1180" w:type="dxa"/>
            <w:vAlign w:val="bottom"/>
          </w:tcPr>
          <w:p>
            <w:pPr>
              <w:jc w:val="right"/>
              <w:ind w:right="70"/>
              <w:spacing w:after="0"/>
              <w:rPr>
                <w:sz w:val="20"/>
                <w:szCs w:val="20"/>
                <w:color w:val="auto"/>
              </w:rPr>
            </w:pPr>
            <w:r>
              <w:rPr>
                <w:rFonts w:ascii="Arial" w:cs="Arial" w:eastAsia="Arial" w:hAnsi="Arial"/>
                <w:sz w:val="14"/>
                <w:szCs w:val="14"/>
                <w:b w:val="1"/>
                <w:bCs w:val="1"/>
                <w:color w:val="auto"/>
              </w:rPr>
              <w:t>Component</w:t>
            </w:r>
          </w:p>
        </w:tc>
        <w:tc>
          <w:tcPr>
            <w:tcW w:w="1420" w:type="dxa"/>
            <w:vAlign w:val="bottom"/>
          </w:tcPr>
          <w:p>
            <w:pPr>
              <w:jc w:val="right"/>
              <w:ind w:right="90"/>
              <w:spacing w:after="0"/>
              <w:rPr>
                <w:sz w:val="20"/>
                <w:szCs w:val="20"/>
                <w:color w:val="auto"/>
              </w:rPr>
            </w:pPr>
            <w:r>
              <w:rPr>
                <w:rFonts w:ascii="Arial" w:cs="Arial" w:eastAsia="Arial" w:hAnsi="Arial"/>
                <w:sz w:val="14"/>
                <w:szCs w:val="14"/>
                <w:b w:val="1"/>
                <w:bCs w:val="1"/>
                <w:color w:val="auto"/>
              </w:rPr>
              <w:t>Total Fiscal 2024</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of Base</w:t>
            </w:r>
          </w:p>
        </w:tc>
        <w:tc>
          <w:tcPr>
            <w:tcW w:w="0" w:type="dxa"/>
            <w:vAlign w:val="bottom"/>
          </w:tcPr>
          <w:p>
            <w:pPr>
              <w:spacing w:after="0"/>
              <w:rPr>
                <w:sz w:val="1"/>
                <w:szCs w:val="1"/>
                <w:color w:val="auto"/>
              </w:rPr>
            </w:pPr>
          </w:p>
        </w:tc>
      </w:tr>
      <w:tr>
        <w:trPr>
          <w:trHeight w:val="179"/>
        </w:trPr>
        <w:tc>
          <w:tcPr>
            <w:tcW w:w="2120" w:type="dxa"/>
            <w:vAlign w:val="bottom"/>
            <w:tcBorders>
              <w:bottom w:val="single" w:sz="8" w:color="7CBD3F"/>
            </w:tcBorders>
          </w:tcPr>
          <w:p>
            <w:pPr>
              <w:ind w:left="40"/>
              <w:spacing w:after="0"/>
              <w:rPr>
                <w:sz w:val="20"/>
                <w:szCs w:val="20"/>
                <w:color w:val="auto"/>
              </w:rPr>
            </w:pPr>
            <w:r>
              <w:rPr>
                <w:rFonts w:ascii="Arial" w:cs="Arial" w:eastAsia="Arial" w:hAnsi="Arial"/>
                <w:sz w:val="14"/>
                <w:szCs w:val="14"/>
                <w:b w:val="1"/>
                <w:bCs w:val="1"/>
                <w:color w:val="auto"/>
              </w:rPr>
              <w:t>Name</w:t>
            </w:r>
          </w:p>
        </w:tc>
        <w:tc>
          <w:tcPr>
            <w:tcW w:w="3800" w:type="dxa"/>
            <w:vAlign w:val="bottom"/>
            <w:tcBorders>
              <w:bottom w:val="single" w:sz="8" w:color="7CBD3F"/>
            </w:tcBorders>
          </w:tcPr>
          <w:p>
            <w:pPr>
              <w:ind w:left="400"/>
              <w:spacing w:after="0"/>
              <w:rPr>
                <w:sz w:val="20"/>
                <w:szCs w:val="20"/>
                <w:color w:val="auto"/>
              </w:rPr>
            </w:pPr>
            <w:r>
              <w:rPr>
                <w:rFonts w:ascii="Arial" w:cs="Arial" w:eastAsia="Arial" w:hAnsi="Arial"/>
                <w:sz w:val="14"/>
                <w:szCs w:val="14"/>
                <w:b w:val="1"/>
                <w:bCs w:val="1"/>
                <w:color w:val="auto"/>
              </w:rPr>
              <w:t>Title</w:t>
            </w:r>
          </w:p>
        </w:tc>
        <w:tc>
          <w:tcPr>
            <w:tcW w:w="1900" w:type="dxa"/>
            <w:vAlign w:val="bottom"/>
            <w:tcBorders>
              <w:bottom w:val="single" w:sz="8" w:color="7CBD3F"/>
            </w:tcBorders>
          </w:tcPr>
          <w:p>
            <w:pPr>
              <w:jc w:val="right"/>
              <w:ind w:right="210"/>
              <w:spacing w:after="0"/>
              <w:rPr>
                <w:sz w:val="20"/>
                <w:szCs w:val="20"/>
                <w:color w:val="auto"/>
              </w:rPr>
            </w:pPr>
            <w:r>
              <w:rPr>
                <w:rFonts w:ascii="Arial" w:cs="Arial" w:eastAsia="Arial" w:hAnsi="Arial"/>
                <w:sz w:val="14"/>
                <w:szCs w:val="14"/>
                <w:b w:val="1"/>
                <w:bCs w:val="1"/>
                <w:color w:val="auto"/>
              </w:rPr>
              <w:t>(100% for CEO)</w:t>
            </w:r>
          </w:p>
        </w:tc>
        <w:tc>
          <w:tcPr>
            <w:tcW w:w="1180" w:type="dxa"/>
            <w:vAlign w:val="bottom"/>
            <w:tcBorders>
              <w:bottom w:val="single" w:sz="8" w:color="7CBD3F"/>
            </w:tcBorders>
          </w:tcPr>
          <w:p>
            <w:pPr>
              <w:jc w:val="right"/>
              <w:ind w:right="70"/>
              <w:spacing w:after="0"/>
              <w:rPr>
                <w:sz w:val="20"/>
                <w:szCs w:val="20"/>
                <w:color w:val="auto"/>
              </w:rPr>
            </w:pPr>
            <w:r>
              <w:rPr>
                <w:rFonts w:ascii="Arial" w:cs="Arial" w:eastAsia="Arial" w:hAnsi="Arial"/>
                <w:sz w:val="14"/>
                <w:szCs w:val="14"/>
                <w:b w:val="1"/>
                <w:bCs w:val="1"/>
                <w:color w:val="auto"/>
              </w:rPr>
              <w:t>Score (%)</w:t>
            </w:r>
          </w:p>
        </w:tc>
        <w:tc>
          <w:tcPr>
            <w:tcW w:w="1420" w:type="dxa"/>
            <w:vAlign w:val="bottom"/>
            <w:tcBorders>
              <w:bottom w:val="single" w:sz="8" w:color="7CBD3F"/>
            </w:tcBorders>
          </w:tcPr>
          <w:p>
            <w:pPr>
              <w:jc w:val="right"/>
              <w:ind w:right="90"/>
              <w:spacing w:after="0"/>
              <w:rPr>
                <w:sz w:val="20"/>
                <w:szCs w:val="20"/>
                <w:color w:val="auto"/>
              </w:rPr>
            </w:pPr>
            <w:r>
              <w:rPr>
                <w:rFonts w:ascii="Arial" w:cs="Arial" w:eastAsia="Arial" w:hAnsi="Arial"/>
                <w:sz w:val="14"/>
                <w:szCs w:val="14"/>
                <w:b w:val="1"/>
                <w:bCs w:val="1"/>
                <w:color w:val="auto"/>
              </w:rPr>
              <w:t>Bonus</w:t>
            </w:r>
          </w:p>
        </w:tc>
        <w:tc>
          <w:tcPr>
            <w:tcW w:w="840" w:type="dxa"/>
            <w:vAlign w:val="bottom"/>
            <w:tcBorders>
              <w:bottom w:val="single" w:sz="8" w:color="7CBD3F"/>
            </w:tcBorders>
          </w:tcPr>
          <w:p>
            <w:pPr>
              <w:jc w:val="right"/>
              <w:spacing w:after="0"/>
              <w:rPr>
                <w:sz w:val="20"/>
                <w:szCs w:val="20"/>
                <w:color w:val="auto"/>
              </w:rPr>
            </w:pPr>
            <w:r>
              <w:rPr>
                <w:rFonts w:ascii="Arial" w:cs="Arial" w:eastAsia="Arial" w:hAnsi="Arial"/>
                <w:sz w:val="14"/>
                <w:szCs w:val="14"/>
                <w:b w:val="1"/>
                <w:bCs w:val="1"/>
                <w:color w:val="auto"/>
              </w:rPr>
              <w:t>Salary)</w:t>
            </w:r>
          </w:p>
        </w:tc>
        <w:tc>
          <w:tcPr>
            <w:tcW w:w="0" w:type="dxa"/>
            <w:vAlign w:val="bottom"/>
          </w:tcPr>
          <w:p>
            <w:pPr>
              <w:spacing w:after="0"/>
              <w:rPr>
                <w:sz w:val="1"/>
                <w:szCs w:val="1"/>
                <w:color w:val="auto"/>
              </w:rPr>
            </w:pPr>
          </w:p>
        </w:tc>
      </w:tr>
      <w:tr>
        <w:trPr>
          <w:trHeight w:val="163"/>
        </w:trPr>
        <w:tc>
          <w:tcPr>
            <w:tcW w:w="2120" w:type="dxa"/>
            <w:vAlign w:val="bottom"/>
          </w:tcPr>
          <w:p>
            <w:pPr>
              <w:ind w:left="40"/>
              <w:spacing w:after="0"/>
              <w:rPr>
                <w:sz w:val="20"/>
                <w:szCs w:val="20"/>
                <w:color w:val="auto"/>
              </w:rPr>
            </w:pPr>
            <w:r>
              <w:rPr>
                <w:rFonts w:ascii="Arial" w:cs="Arial" w:eastAsia="Arial" w:hAnsi="Arial"/>
                <w:sz w:val="14"/>
                <w:szCs w:val="14"/>
                <w:color w:val="auto"/>
              </w:rPr>
              <w:t>Emil D. Kakkis, M.D., Ph.D.</w:t>
            </w:r>
          </w:p>
        </w:tc>
        <w:tc>
          <w:tcPr>
            <w:tcW w:w="3800" w:type="dxa"/>
            <w:vAlign w:val="bottom"/>
          </w:tcPr>
          <w:p>
            <w:pPr>
              <w:ind w:left="400"/>
              <w:spacing w:after="0"/>
              <w:rPr>
                <w:sz w:val="20"/>
                <w:szCs w:val="20"/>
                <w:color w:val="auto"/>
              </w:rPr>
            </w:pPr>
            <w:r>
              <w:rPr>
                <w:rFonts w:ascii="Arial" w:cs="Arial" w:eastAsia="Arial" w:hAnsi="Arial"/>
                <w:sz w:val="14"/>
                <w:szCs w:val="14"/>
                <w:color w:val="auto"/>
              </w:rPr>
              <w:t>President and Chief Executive Officer</w:t>
            </w:r>
          </w:p>
        </w:tc>
        <w:tc>
          <w:tcPr>
            <w:tcW w:w="1900" w:type="dxa"/>
            <w:vAlign w:val="bottom"/>
          </w:tcPr>
          <w:p>
            <w:pPr>
              <w:jc w:val="right"/>
              <w:ind w:right="210"/>
              <w:spacing w:after="0"/>
              <w:rPr>
                <w:sz w:val="20"/>
                <w:szCs w:val="20"/>
                <w:color w:val="auto"/>
              </w:rPr>
            </w:pPr>
            <w:r>
              <w:rPr>
                <w:rFonts w:ascii="Arial" w:cs="Arial" w:eastAsia="Arial" w:hAnsi="Arial"/>
                <w:sz w:val="14"/>
                <w:szCs w:val="14"/>
                <w:color w:val="auto"/>
              </w:rPr>
              <w:t>110</w:t>
            </w:r>
          </w:p>
        </w:tc>
        <w:tc>
          <w:tcPr>
            <w:tcW w:w="118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90"/>
              <w:spacing w:after="0"/>
              <w:rPr>
                <w:sz w:val="20"/>
                <w:szCs w:val="20"/>
                <w:color w:val="auto"/>
              </w:rPr>
            </w:pPr>
            <w:r>
              <w:rPr>
                <w:rFonts w:ascii="Arial" w:cs="Arial" w:eastAsia="Arial" w:hAnsi="Arial"/>
                <w:sz w:val="14"/>
                <w:szCs w:val="14"/>
                <w:color w:val="auto"/>
              </w:rPr>
              <w:t>$757,768</w:t>
            </w:r>
          </w:p>
        </w:tc>
        <w:tc>
          <w:tcPr>
            <w:tcW w:w="840" w:type="dxa"/>
            <w:vAlign w:val="bottom"/>
          </w:tcPr>
          <w:p>
            <w:pPr>
              <w:jc w:val="right"/>
              <w:spacing w:after="0"/>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151"/>
        </w:trPr>
        <w:tc>
          <w:tcPr>
            <w:tcW w:w="2120" w:type="dxa"/>
            <w:vAlign w:val="bottom"/>
            <w:vMerge w:val="restart"/>
            <w:shd w:val="clear" w:color="auto" w:fill="F0F7E7"/>
          </w:tcPr>
          <w:p>
            <w:pPr>
              <w:ind w:left="40"/>
              <w:spacing w:after="0"/>
              <w:rPr>
                <w:sz w:val="20"/>
                <w:szCs w:val="20"/>
                <w:color w:val="auto"/>
              </w:rPr>
            </w:pPr>
            <w:r>
              <w:rPr>
                <w:rFonts w:ascii="Arial" w:cs="Arial" w:eastAsia="Arial" w:hAnsi="Arial"/>
                <w:sz w:val="14"/>
                <w:szCs w:val="14"/>
                <w:color w:val="auto"/>
              </w:rPr>
              <w:t>Howard Horn</w:t>
            </w:r>
          </w:p>
        </w:tc>
        <w:tc>
          <w:tcPr>
            <w:tcW w:w="3800" w:type="dxa"/>
            <w:vAlign w:val="bottom"/>
            <w:shd w:val="clear" w:color="auto" w:fill="F0F7E7"/>
          </w:tcPr>
          <w:p>
            <w:pPr>
              <w:ind w:left="400"/>
              <w:spacing w:after="0" w:line="151" w:lineRule="exact"/>
              <w:rPr>
                <w:sz w:val="20"/>
                <w:szCs w:val="20"/>
                <w:color w:val="auto"/>
              </w:rPr>
            </w:pPr>
            <w:r>
              <w:rPr>
                <w:rFonts w:ascii="Arial" w:cs="Arial" w:eastAsia="Arial" w:hAnsi="Arial"/>
                <w:sz w:val="14"/>
                <w:szCs w:val="14"/>
                <w:color w:val="auto"/>
              </w:rPr>
              <w:t>Chief Financial Officer and Executive Vice President,</w:t>
            </w:r>
          </w:p>
        </w:tc>
        <w:tc>
          <w:tcPr>
            <w:tcW w:w="1900" w:type="dxa"/>
            <w:vAlign w:val="bottom"/>
            <w:vMerge w:val="restart"/>
            <w:shd w:val="clear" w:color="auto" w:fill="F0F7E7"/>
          </w:tcPr>
          <w:p>
            <w:pPr>
              <w:jc w:val="right"/>
              <w:ind w:right="210"/>
              <w:spacing w:after="0"/>
              <w:rPr>
                <w:sz w:val="20"/>
                <w:szCs w:val="20"/>
                <w:color w:val="auto"/>
              </w:rPr>
            </w:pPr>
            <w:r>
              <w:rPr>
                <w:rFonts w:ascii="Arial" w:cs="Arial" w:eastAsia="Arial" w:hAnsi="Arial"/>
                <w:sz w:val="14"/>
                <w:szCs w:val="14"/>
                <w:color w:val="auto"/>
              </w:rPr>
              <w:t>110</w:t>
            </w:r>
          </w:p>
        </w:tc>
        <w:tc>
          <w:tcPr>
            <w:tcW w:w="1180" w:type="dxa"/>
            <w:vAlign w:val="bottom"/>
            <w:vMerge w:val="restart"/>
            <w:shd w:val="clear" w:color="auto" w:fill="F0F7E7"/>
          </w:tcPr>
          <w:p>
            <w:pPr>
              <w:jc w:val="right"/>
              <w:ind w:right="70"/>
              <w:spacing w:after="0"/>
              <w:rPr>
                <w:sz w:val="20"/>
                <w:szCs w:val="20"/>
                <w:color w:val="auto"/>
              </w:rPr>
            </w:pPr>
            <w:r>
              <w:rPr>
                <w:rFonts w:ascii="Arial" w:cs="Arial" w:eastAsia="Arial" w:hAnsi="Arial"/>
                <w:sz w:val="14"/>
                <w:szCs w:val="14"/>
                <w:color w:val="auto"/>
              </w:rPr>
              <w:t>106</w:t>
            </w:r>
          </w:p>
        </w:tc>
        <w:tc>
          <w:tcPr>
            <w:tcW w:w="1420" w:type="dxa"/>
            <w:vAlign w:val="bottom"/>
            <w:vMerge w:val="restart"/>
            <w:shd w:val="clear" w:color="auto" w:fill="F0F7E7"/>
          </w:tcPr>
          <w:p>
            <w:pPr>
              <w:jc w:val="right"/>
              <w:ind w:right="90"/>
              <w:spacing w:after="0"/>
              <w:rPr>
                <w:sz w:val="20"/>
                <w:szCs w:val="20"/>
                <w:color w:val="auto"/>
              </w:rPr>
            </w:pPr>
            <w:r>
              <w:rPr>
                <w:rFonts w:ascii="Arial" w:cs="Arial" w:eastAsia="Arial" w:hAnsi="Arial"/>
                <w:sz w:val="14"/>
                <w:szCs w:val="14"/>
                <w:color w:val="auto"/>
              </w:rPr>
              <w:t>$343,970</w:t>
            </w:r>
          </w:p>
        </w:tc>
        <w:tc>
          <w:tcPr>
            <w:tcW w:w="840" w:type="dxa"/>
            <w:vAlign w:val="bottom"/>
            <w:vMerge w:val="restart"/>
            <w:shd w:val="clear" w:color="auto" w:fill="F0F7E7"/>
          </w:tcPr>
          <w:p>
            <w:pPr>
              <w:jc w:val="right"/>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103"/>
        </w:trPr>
        <w:tc>
          <w:tcPr>
            <w:tcW w:w="2120" w:type="dxa"/>
            <w:vAlign w:val="bottom"/>
            <w:vMerge w:val="continue"/>
            <w:shd w:val="clear" w:color="auto" w:fill="F0F7E7"/>
          </w:tcPr>
          <w:p>
            <w:pPr>
              <w:spacing w:after="0"/>
              <w:rPr>
                <w:sz w:val="8"/>
                <w:szCs w:val="8"/>
                <w:color w:val="auto"/>
              </w:rPr>
            </w:pPr>
          </w:p>
        </w:tc>
        <w:tc>
          <w:tcPr>
            <w:tcW w:w="3800" w:type="dxa"/>
            <w:vAlign w:val="bottom"/>
            <w:vMerge w:val="restart"/>
            <w:shd w:val="clear" w:color="auto" w:fill="F0F7E7"/>
          </w:tcPr>
          <w:p>
            <w:pPr>
              <w:ind w:left="400"/>
              <w:spacing w:after="0"/>
              <w:rPr>
                <w:sz w:val="20"/>
                <w:szCs w:val="20"/>
                <w:color w:val="auto"/>
              </w:rPr>
            </w:pPr>
            <w:r>
              <w:rPr>
                <w:rFonts w:ascii="Arial" w:cs="Arial" w:eastAsia="Arial" w:hAnsi="Arial"/>
                <w:sz w:val="14"/>
                <w:szCs w:val="14"/>
                <w:color w:val="auto"/>
              </w:rPr>
              <w:t>Corporate Strategy</w:t>
            </w:r>
          </w:p>
        </w:tc>
        <w:tc>
          <w:tcPr>
            <w:tcW w:w="1900" w:type="dxa"/>
            <w:vAlign w:val="bottom"/>
            <w:vMerge w:val="continue"/>
            <w:shd w:val="clear" w:color="auto" w:fill="F0F7E7"/>
          </w:tcPr>
          <w:p>
            <w:pPr>
              <w:spacing w:after="0"/>
              <w:rPr>
                <w:sz w:val="8"/>
                <w:szCs w:val="8"/>
                <w:color w:val="auto"/>
              </w:rPr>
            </w:pPr>
          </w:p>
        </w:tc>
        <w:tc>
          <w:tcPr>
            <w:tcW w:w="1180" w:type="dxa"/>
            <w:vAlign w:val="bottom"/>
            <w:vMerge w:val="continue"/>
            <w:shd w:val="clear" w:color="auto" w:fill="F0F7E7"/>
          </w:tcPr>
          <w:p>
            <w:pPr>
              <w:spacing w:after="0"/>
              <w:rPr>
                <w:sz w:val="8"/>
                <w:szCs w:val="8"/>
                <w:color w:val="auto"/>
              </w:rPr>
            </w:pPr>
          </w:p>
        </w:tc>
        <w:tc>
          <w:tcPr>
            <w:tcW w:w="1420" w:type="dxa"/>
            <w:vAlign w:val="bottom"/>
            <w:vMerge w:val="continue"/>
            <w:shd w:val="clear" w:color="auto" w:fill="F0F7E7"/>
          </w:tcPr>
          <w:p>
            <w:pPr>
              <w:spacing w:after="0"/>
              <w:rPr>
                <w:sz w:val="8"/>
                <w:szCs w:val="8"/>
                <w:color w:val="auto"/>
              </w:rPr>
            </w:pPr>
          </w:p>
        </w:tc>
        <w:tc>
          <w:tcPr>
            <w:tcW w:w="840" w:type="dxa"/>
            <w:vAlign w:val="bottom"/>
            <w:vMerge w:val="continue"/>
            <w:shd w:val="clear" w:color="auto" w:fill="F0F7E7"/>
          </w:tcPr>
          <w:p>
            <w:pPr>
              <w:spacing w:after="0"/>
              <w:rPr>
                <w:sz w:val="8"/>
                <w:szCs w:val="8"/>
                <w:color w:val="auto"/>
              </w:rPr>
            </w:pPr>
          </w:p>
        </w:tc>
        <w:tc>
          <w:tcPr>
            <w:tcW w:w="0" w:type="dxa"/>
            <w:vAlign w:val="bottom"/>
          </w:tcPr>
          <w:p>
            <w:pPr>
              <w:spacing w:after="0"/>
              <w:rPr>
                <w:sz w:val="1"/>
                <w:szCs w:val="1"/>
                <w:color w:val="auto"/>
              </w:rPr>
            </w:pPr>
          </w:p>
        </w:tc>
      </w:tr>
      <w:tr>
        <w:trPr>
          <w:trHeight w:val="73"/>
        </w:trPr>
        <w:tc>
          <w:tcPr>
            <w:tcW w:w="2120" w:type="dxa"/>
            <w:vAlign w:val="bottom"/>
            <w:shd w:val="clear" w:color="auto" w:fill="F0F7E7"/>
          </w:tcPr>
          <w:p>
            <w:pPr>
              <w:spacing w:after="0"/>
              <w:rPr>
                <w:sz w:val="6"/>
                <w:szCs w:val="6"/>
                <w:color w:val="auto"/>
              </w:rPr>
            </w:pPr>
          </w:p>
        </w:tc>
        <w:tc>
          <w:tcPr>
            <w:tcW w:w="3800" w:type="dxa"/>
            <w:vAlign w:val="bottom"/>
            <w:vMerge w:val="continue"/>
            <w:shd w:val="clear" w:color="auto" w:fill="F0F7E7"/>
          </w:tcPr>
          <w:p>
            <w:pPr>
              <w:spacing w:after="0"/>
              <w:rPr>
                <w:sz w:val="6"/>
                <w:szCs w:val="6"/>
                <w:color w:val="auto"/>
              </w:rPr>
            </w:pPr>
          </w:p>
        </w:tc>
        <w:tc>
          <w:tcPr>
            <w:tcW w:w="1900" w:type="dxa"/>
            <w:vAlign w:val="bottom"/>
            <w:shd w:val="clear" w:color="auto" w:fill="F0F7E7"/>
          </w:tcPr>
          <w:p>
            <w:pPr>
              <w:spacing w:after="0"/>
              <w:rPr>
                <w:sz w:val="6"/>
                <w:szCs w:val="6"/>
                <w:color w:val="auto"/>
              </w:rPr>
            </w:pPr>
          </w:p>
        </w:tc>
        <w:tc>
          <w:tcPr>
            <w:tcW w:w="1180" w:type="dxa"/>
            <w:vAlign w:val="bottom"/>
            <w:shd w:val="clear" w:color="auto" w:fill="F0F7E7"/>
          </w:tcPr>
          <w:p>
            <w:pPr>
              <w:spacing w:after="0"/>
              <w:rPr>
                <w:sz w:val="6"/>
                <w:szCs w:val="6"/>
                <w:color w:val="auto"/>
              </w:rPr>
            </w:pPr>
          </w:p>
        </w:tc>
        <w:tc>
          <w:tcPr>
            <w:tcW w:w="1420" w:type="dxa"/>
            <w:vAlign w:val="bottom"/>
            <w:shd w:val="clear" w:color="auto" w:fill="F0F7E7"/>
          </w:tcPr>
          <w:p>
            <w:pPr>
              <w:spacing w:after="0"/>
              <w:rPr>
                <w:sz w:val="6"/>
                <w:szCs w:val="6"/>
                <w:color w:val="auto"/>
              </w:rPr>
            </w:pPr>
          </w:p>
        </w:tc>
        <w:tc>
          <w:tcPr>
            <w:tcW w:w="840" w:type="dxa"/>
            <w:vAlign w:val="bottom"/>
            <w:shd w:val="clear" w:color="auto" w:fill="F0F7E7"/>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2120" w:type="dxa"/>
            <w:vAlign w:val="bottom"/>
            <w:vMerge w:val="restart"/>
          </w:tcPr>
          <w:p>
            <w:pPr>
              <w:ind w:left="40"/>
              <w:spacing w:after="0"/>
              <w:rPr>
                <w:sz w:val="20"/>
                <w:szCs w:val="20"/>
                <w:color w:val="auto"/>
              </w:rPr>
            </w:pPr>
            <w:r>
              <w:rPr>
                <w:rFonts w:ascii="Arial" w:cs="Arial" w:eastAsia="Arial" w:hAnsi="Arial"/>
                <w:sz w:val="14"/>
                <w:szCs w:val="14"/>
                <w:color w:val="auto"/>
              </w:rPr>
              <w:t>Erik Harris</w:t>
            </w:r>
          </w:p>
        </w:tc>
        <w:tc>
          <w:tcPr>
            <w:tcW w:w="3800" w:type="dxa"/>
            <w:vAlign w:val="bottom"/>
          </w:tcPr>
          <w:p>
            <w:pPr>
              <w:ind w:left="400"/>
              <w:spacing w:after="0" w:line="151" w:lineRule="exact"/>
              <w:rPr>
                <w:sz w:val="20"/>
                <w:szCs w:val="20"/>
                <w:color w:val="auto"/>
              </w:rPr>
            </w:pPr>
            <w:r>
              <w:rPr>
                <w:rFonts w:ascii="Arial" w:cs="Arial" w:eastAsia="Arial" w:hAnsi="Arial"/>
                <w:sz w:val="14"/>
                <w:szCs w:val="14"/>
                <w:color w:val="auto"/>
              </w:rPr>
              <w:t>Chief Commercial Officer and Executive Vice</w:t>
            </w:r>
          </w:p>
        </w:tc>
        <w:tc>
          <w:tcPr>
            <w:tcW w:w="1900" w:type="dxa"/>
            <w:vAlign w:val="bottom"/>
            <w:vMerge w:val="restart"/>
          </w:tcPr>
          <w:p>
            <w:pPr>
              <w:jc w:val="right"/>
              <w:ind w:right="210"/>
              <w:spacing w:after="0"/>
              <w:rPr>
                <w:sz w:val="20"/>
                <w:szCs w:val="20"/>
                <w:color w:val="auto"/>
              </w:rPr>
            </w:pPr>
            <w:r>
              <w:rPr>
                <w:rFonts w:ascii="Arial" w:cs="Arial" w:eastAsia="Arial" w:hAnsi="Arial"/>
                <w:sz w:val="14"/>
                <w:szCs w:val="14"/>
                <w:color w:val="auto"/>
              </w:rPr>
              <w:t>110</w:t>
            </w:r>
          </w:p>
        </w:tc>
        <w:tc>
          <w:tcPr>
            <w:tcW w:w="1180" w:type="dxa"/>
            <w:vAlign w:val="bottom"/>
            <w:vMerge w:val="restart"/>
          </w:tcPr>
          <w:p>
            <w:pPr>
              <w:jc w:val="right"/>
              <w:ind w:right="70"/>
              <w:spacing w:after="0"/>
              <w:rPr>
                <w:sz w:val="20"/>
                <w:szCs w:val="20"/>
                <w:color w:val="auto"/>
              </w:rPr>
            </w:pPr>
            <w:r>
              <w:rPr>
                <w:rFonts w:ascii="Arial" w:cs="Arial" w:eastAsia="Arial" w:hAnsi="Arial"/>
                <w:sz w:val="14"/>
                <w:szCs w:val="14"/>
                <w:color w:val="auto"/>
              </w:rPr>
              <w:t>110</w:t>
            </w:r>
          </w:p>
        </w:tc>
        <w:tc>
          <w:tcPr>
            <w:tcW w:w="1420" w:type="dxa"/>
            <w:vAlign w:val="bottom"/>
            <w:vMerge w:val="restart"/>
          </w:tcPr>
          <w:p>
            <w:pPr>
              <w:jc w:val="right"/>
              <w:ind w:right="90"/>
              <w:spacing w:after="0"/>
              <w:rPr>
                <w:sz w:val="20"/>
                <w:szCs w:val="20"/>
                <w:color w:val="auto"/>
              </w:rPr>
            </w:pPr>
            <w:r>
              <w:rPr>
                <w:rFonts w:ascii="Arial" w:cs="Arial" w:eastAsia="Arial" w:hAnsi="Arial"/>
                <w:sz w:val="14"/>
                <w:szCs w:val="14"/>
                <w:color w:val="auto"/>
              </w:rPr>
              <w:t>$367,235</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03"/>
        </w:trPr>
        <w:tc>
          <w:tcPr>
            <w:tcW w:w="2120" w:type="dxa"/>
            <w:vAlign w:val="bottom"/>
            <w:vMerge w:val="continue"/>
          </w:tcPr>
          <w:p>
            <w:pPr>
              <w:spacing w:after="0"/>
              <w:rPr>
                <w:sz w:val="8"/>
                <w:szCs w:val="8"/>
                <w:color w:val="auto"/>
              </w:rPr>
            </w:pPr>
          </w:p>
        </w:tc>
        <w:tc>
          <w:tcPr>
            <w:tcW w:w="3800" w:type="dxa"/>
            <w:vAlign w:val="bottom"/>
            <w:vMerge w:val="restart"/>
          </w:tcPr>
          <w:p>
            <w:pPr>
              <w:ind w:left="400"/>
              <w:spacing w:after="0"/>
              <w:rPr>
                <w:sz w:val="20"/>
                <w:szCs w:val="20"/>
                <w:color w:val="auto"/>
              </w:rPr>
            </w:pPr>
            <w:r>
              <w:rPr>
                <w:rFonts w:ascii="Arial" w:cs="Arial" w:eastAsia="Arial" w:hAnsi="Arial"/>
                <w:sz w:val="14"/>
                <w:szCs w:val="14"/>
                <w:color w:val="auto"/>
              </w:rPr>
              <w:t>President</w:t>
            </w:r>
          </w:p>
        </w:tc>
        <w:tc>
          <w:tcPr>
            <w:tcW w:w="1900" w:type="dxa"/>
            <w:vAlign w:val="bottom"/>
            <w:vMerge w:val="continue"/>
          </w:tcPr>
          <w:p>
            <w:pPr>
              <w:spacing w:after="0"/>
              <w:rPr>
                <w:sz w:val="8"/>
                <w:szCs w:val="8"/>
                <w:color w:val="auto"/>
              </w:rPr>
            </w:pPr>
          </w:p>
        </w:tc>
        <w:tc>
          <w:tcPr>
            <w:tcW w:w="1180" w:type="dxa"/>
            <w:vAlign w:val="bottom"/>
            <w:vMerge w:val="continue"/>
          </w:tcPr>
          <w:p>
            <w:pPr>
              <w:spacing w:after="0"/>
              <w:rPr>
                <w:sz w:val="8"/>
                <w:szCs w:val="8"/>
                <w:color w:val="auto"/>
              </w:rPr>
            </w:pPr>
          </w:p>
        </w:tc>
        <w:tc>
          <w:tcPr>
            <w:tcW w:w="142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3"/>
        </w:trPr>
        <w:tc>
          <w:tcPr>
            <w:tcW w:w="2120" w:type="dxa"/>
            <w:vAlign w:val="bottom"/>
          </w:tcPr>
          <w:p>
            <w:pPr>
              <w:spacing w:after="0"/>
              <w:rPr>
                <w:sz w:val="6"/>
                <w:szCs w:val="6"/>
                <w:color w:val="auto"/>
              </w:rPr>
            </w:pPr>
          </w:p>
        </w:tc>
        <w:tc>
          <w:tcPr>
            <w:tcW w:w="3800" w:type="dxa"/>
            <w:vAlign w:val="bottom"/>
            <w:vMerge w:val="continue"/>
          </w:tcPr>
          <w:p>
            <w:pPr>
              <w:spacing w:after="0"/>
              <w:rPr>
                <w:sz w:val="6"/>
                <w:szCs w:val="6"/>
                <w:color w:val="auto"/>
              </w:rPr>
            </w:pPr>
          </w:p>
        </w:tc>
        <w:tc>
          <w:tcPr>
            <w:tcW w:w="19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420" w:type="dxa"/>
            <w:vAlign w:val="bottom"/>
          </w:tcPr>
          <w:p>
            <w:pPr>
              <w:spacing w:after="0"/>
              <w:rPr>
                <w:sz w:val="6"/>
                <w:szCs w:val="6"/>
                <w:color w:val="auto"/>
              </w:rPr>
            </w:pPr>
          </w:p>
        </w:tc>
        <w:tc>
          <w:tcPr>
            <w:tcW w:w="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2120" w:type="dxa"/>
            <w:vAlign w:val="bottom"/>
            <w:shd w:val="clear" w:color="auto" w:fill="F0F7E7"/>
          </w:tcPr>
          <w:p>
            <w:pPr>
              <w:ind w:left="40"/>
              <w:spacing w:after="0"/>
              <w:rPr>
                <w:sz w:val="20"/>
                <w:szCs w:val="20"/>
                <w:color w:val="auto"/>
              </w:rPr>
            </w:pPr>
            <w:r>
              <w:rPr>
                <w:rFonts w:ascii="Arial" w:cs="Arial" w:eastAsia="Arial" w:hAnsi="Arial"/>
                <w:sz w:val="14"/>
                <w:szCs w:val="14"/>
                <w:color w:val="auto"/>
              </w:rPr>
              <w:t>Eric Crombez, M.D.</w:t>
            </w:r>
          </w:p>
        </w:tc>
        <w:tc>
          <w:tcPr>
            <w:tcW w:w="3800" w:type="dxa"/>
            <w:vAlign w:val="bottom"/>
            <w:shd w:val="clear" w:color="auto" w:fill="F0F7E7"/>
          </w:tcPr>
          <w:p>
            <w:pPr>
              <w:ind w:left="400"/>
              <w:spacing w:after="0"/>
              <w:rPr>
                <w:sz w:val="20"/>
                <w:szCs w:val="20"/>
                <w:color w:val="auto"/>
              </w:rPr>
            </w:pPr>
            <w:r>
              <w:rPr>
                <w:rFonts w:ascii="Arial" w:cs="Arial" w:eastAsia="Arial" w:hAnsi="Arial"/>
                <w:sz w:val="14"/>
                <w:szCs w:val="14"/>
                <w:color w:val="auto"/>
              </w:rPr>
              <w:t>Chief Medical Officer and Executive Vice President</w:t>
            </w:r>
          </w:p>
        </w:tc>
        <w:tc>
          <w:tcPr>
            <w:tcW w:w="1900" w:type="dxa"/>
            <w:vAlign w:val="bottom"/>
            <w:shd w:val="clear" w:color="auto" w:fill="F0F7E7"/>
          </w:tcPr>
          <w:p>
            <w:pPr>
              <w:jc w:val="right"/>
              <w:ind w:right="210"/>
              <w:spacing w:after="0"/>
              <w:rPr>
                <w:sz w:val="20"/>
                <w:szCs w:val="20"/>
                <w:color w:val="auto"/>
              </w:rPr>
            </w:pPr>
            <w:r>
              <w:rPr>
                <w:rFonts w:ascii="Arial" w:cs="Arial" w:eastAsia="Arial" w:hAnsi="Arial"/>
                <w:sz w:val="14"/>
                <w:szCs w:val="14"/>
                <w:color w:val="auto"/>
              </w:rPr>
              <w:t>110</w:t>
            </w:r>
          </w:p>
        </w:tc>
        <w:tc>
          <w:tcPr>
            <w:tcW w:w="1180" w:type="dxa"/>
            <w:vAlign w:val="bottom"/>
            <w:shd w:val="clear" w:color="auto" w:fill="F0F7E7"/>
          </w:tcPr>
          <w:p>
            <w:pPr>
              <w:jc w:val="right"/>
              <w:ind w:right="70"/>
              <w:spacing w:after="0"/>
              <w:rPr>
                <w:sz w:val="20"/>
                <w:szCs w:val="20"/>
                <w:color w:val="auto"/>
              </w:rPr>
            </w:pPr>
            <w:r>
              <w:rPr>
                <w:rFonts w:ascii="Arial" w:cs="Arial" w:eastAsia="Arial" w:hAnsi="Arial"/>
                <w:sz w:val="14"/>
                <w:szCs w:val="14"/>
                <w:color w:val="auto"/>
              </w:rPr>
              <w:t>115</w:t>
            </w:r>
          </w:p>
        </w:tc>
        <w:tc>
          <w:tcPr>
            <w:tcW w:w="1420" w:type="dxa"/>
            <w:vAlign w:val="bottom"/>
            <w:shd w:val="clear" w:color="auto" w:fill="F0F7E7"/>
          </w:tcPr>
          <w:p>
            <w:pPr>
              <w:jc w:val="right"/>
              <w:ind w:right="90"/>
              <w:spacing w:after="0"/>
              <w:rPr>
                <w:sz w:val="20"/>
                <w:szCs w:val="20"/>
                <w:color w:val="auto"/>
              </w:rPr>
            </w:pPr>
            <w:r>
              <w:rPr>
                <w:rFonts w:ascii="Arial" w:cs="Arial" w:eastAsia="Arial" w:hAnsi="Arial"/>
                <w:sz w:val="14"/>
                <w:szCs w:val="14"/>
                <w:color w:val="auto"/>
              </w:rPr>
              <w:t>$382,030</w:t>
            </w:r>
          </w:p>
        </w:tc>
        <w:tc>
          <w:tcPr>
            <w:tcW w:w="840" w:type="dxa"/>
            <w:vAlign w:val="bottom"/>
            <w:shd w:val="clear" w:color="auto" w:fill="F0F7E7"/>
          </w:tcPr>
          <w:p>
            <w:pPr>
              <w:jc w:val="right"/>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151"/>
        </w:trPr>
        <w:tc>
          <w:tcPr>
            <w:tcW w:w="2120" w:type="dxa"/>
            <w:vAlign w:val="bottom"/>
            <w:vMerge w:val="restart"/>
          </w:tcPr>
          <w:p>
            <w:pPr>
              <w:ind w:left="40"/>
              <w:spacing w:after="0"/>
              <w:rPr>
                <w:sz w:val="20"/>
                <w:szCs w:val="20"/>
                <w:color w:val="auto"/>
              </w:rPr>
            </w:pPr>
            <w:r>
              <w:rPr>
                <w:rFonts w:ascii="Arial" w:cs="Arial" w:eastAsia="Arial" w:hAnsi="Arial"/>
                <w:sz w:val="14"/>
                <w:szCs w:val="14"/>
                <w:color w:val="auto"/>
              </w:rPr>
              <w:t>John R. Pinion II</w:t>
            </w:r>
          </w:p>
        </w:tc>
        <w:tc>
          <w:tcPr>
            <w:tcW w:w="3800" w:type="dxa"/>
            <w:vAlign w:val="bottom"/>
          </w:tcPr>
          <w:p>
            <w:pPr>
              <w:ind w:left="400"/>
              <w:spacing w:after="0" w:line="151" w:lineRule="exact"/>
              <w:rPr>
                <w:sz w:val="20"/>
                <w:szCs w:val="20"/>
                <w:color w:val="auto"/>
              </w:rPr>
            </w:pPr>
            <w:r>
              <w:rPr>
                <w:rFonts w:ascii="Arial" w:cs="Arial" w:eastAsia="Arial" w:hAnsi="Arial"/>
                <w:sz w:val="14"/>
                <w:szCs w:val="14"/>
                <w:color w:val="auto"/>
              </w:rPr>
              <w:t>Chief Quality Officer and Executive Vice President,</w:t>
            </w:r>
          </w:p>
        </w:tc>
        <w:tc>
          <w:tcPr>
            <w:tcW w:w="1900" w:type="dxa"/>
            <w:vAlign w:val="bottom"/>
            <w:vMerge w:val="restart"/>
          </w:tcPr>
          <w:p>
            <w:pPr>
              <w:jc w:val="right"/>
              <w:ind w:right="210"/>
              <w:spacing w:after="0"/>
              <w:rPr>
                <w:sz w:val="20"/>
                <w:szCs w:val="20"/>
                <w:color w:val="auto"/>
              </w:rPr>
            </w:pPr>
            <w:r>
              <w:rPr>
                <w:rFonts w:ascii="Arial" w:cs="Arial" w:eastAsia="Arial" w:hAnsi="Arial"/>
                <w:sz w:val="14"/>
                <w:szCs w:val="14"/>
                <w:color w:val="auto"/>
              </w:rPr>
              <w:t>110</w:t>
            </w:r>
          </w:p>
        </w:tc>
        <w:tc>
          <w:tcPr>
            <w:tcW w:w="1180" w:type="dxa"/>
            <w:vAlign w:val="bottom"/>
            <w:vMerge w:val="restart"/>
          </w:tcPr>
          <w:p>
            <w:pPr>
              <w:jc w:val="right"/>
              <w:ind w:right="70"/>
              <w:spacing w:after="0"/>
              <w:rPr>
                <w:sz w:val="20"/>
                <w:szCs w:val="20"/>
                <w:color w:val="auto"/>
              </w:rPr>
            </w:pPr>
            <w:r>
              <w:rPr>
                <w:rFonts w:ascii="Arial" w:cs="Arial" w:eastAsia="Arial" w:hAnsi="Arial"/>
                <w:sz w:val="14"/>
                <w:szCs w:val="14"/>
                <w:color w:val="auto"/>
              </w:rPr>
              <w:t>108</w:t>
            </w:r>
          </w:p>
        </w:tc>
        <w:tc>
          <w:tcPr>
            <w:tcW w:w="1420" w:type="dxa"/>
            <w:vAlign w:val="bottom"/>
            <w:vMerge w:val="restart"/>
          </w:tcPr>
          <w:p>
            <w:pPr>
              <w:jc w:val="right"/>
              <w:ind w:right="90"/>
              <w:spacing w:after="0"/>
              <w:rPr>
                <w:sz w:val="20"/>
                <w:szCs w:val="20"/>
                <w:color w:val="auto"/>
              </w:rPr>
            </w:pPr>
            <w:r>
              <w:rPr>
                <w:rFonts w:ascii="Arial" w:cs="Arial" w:eastAsia="Arial" w:hAnsi="Arial"/>
                <w:sz w:val="14"/>
                <w:szCs w:val="14"/>
                <w:color w:val="auto"/>
              </w:rPr>
              <w:t>$339,768</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03"/>
        </w:trPr>
        <w:tc>
          <w:tcPr>
            <w:tcW w:w="2120" w:type="dxa"/>
            <w:vAlign w:val="bottom"/>
            <w:vMerge w:val="continue"/>
          </w:tcPr>
          <w:p>
            <w:pPr>
              <w:spacing w:after="0"/>
              <w:rPr>
                <w:sz w:val="8"/>
                <w:szCs w:val="8"/>
                <w:color w:val="auto"/>
              </w:rPr>
            </w:pPr>
          </w:p>
        </w:tc>
        <w:tc>
          <w:tcPr>
            <w:tcW w:w="3800" w:type="dxa"/>
            <w:vAlign w:val="bottom"/>
            <w:vMerge w:val="restart"/>
          </w:tcPr>
          <w:p>
            <w:pPr>
              <w:ind w:left="400"/>
              <w:spacing w:after="0"/>
              <w:rPr>
                <w:sz w:val="20"/>
                <w:szCs w:val="20"/>
                <w:color w:val="auto"/>
              </w:rPr>
            </w:pPr>
            <w:r>
              <w:rPr>
                <w:rFonts w:ascii="Arial" w:cs="Arial" w:eastAsia="Arial" w:hAnsi="Arial"/>
                <w:sz w:val="14"/>
                <w:szCs w:val="14"/>
                <w:color w:val="auto"/>
              </w:rPr>
              <w:t>Translational Sciences</w:t>
            </w:r>
          </w:p>
        </w:tc>
        <w:tc>
          <w:tcPr>
            <w:tcW w:w="1900" w:type="dxa"/>
            <w:vAlign w:val="bottom"/>
            <w:vMerge w:val="continue"/>
          </w:tcPr>
          <w:p>
            <w:pPr>
              <w:spacing w:after="0"/>
              <w:rPr>
                <w:sz w:val="8"/>
                <w:szCs w:val="8"/>
                <w:color w:val="auto"/>
              </w:rPr>
            </w:pPr>
          </w:p>
        </w:tc>
        <w:tc>
          <w:tcPr>
            <w:tcW w:w="1180" w:type="dxa"/>
            <w:vAlign w:val="bottom"/>
            <w:vMerge w:val="continue"/>
          </w:tcPr>
          <w:p>
            <w:pPr>
              <w:spacing w:after="0"/>
              <w:rPr>
                <w:sz w:val="8"/>
                <w:szCs w:val="8"/>
                <w:color w:val="auto"/>
              </w:rPr>
            </w:pPr>
          </w:p>
        </w:tc>
        <w:tc>
          <w:tcPr>
            <w:tcW w:w="142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2120" w:type="dxa"/>
            <w:vAlign w:val="bottom"/>
            <w:tcBorders>
              <w:bottom w:val="single" w:sz="8" w:color="7CBD3F"/>
            </w:tcBorders>
          </w:tcPr>
          <w:p>
            <w:pPr>
              <w:spacing w:after="0"/>
              <w:rPr>
                <w:sz w:val="6"/>
                <w:szCs w:val="6"/>
                <w:color w:val="auto"/>
              </w:rPr>
            </w:pPr>
          </w:p>
        </w:tc>
        <w:tc>
          <w:tcPr>
            <w:tcW w:w="3800" w:type="dxa"/>
            <w:vAlign w:val="bottom"/>
            <w:tcBorders>
              <w:bottom w:val="single" w:sz="8" w:color="7CBD3F"/>
            </w:tcBorders>
            <w:vMerge w:val="continue"/>
          </w:tcPr>
          <w:p>
            <w:pPr>
              <w:spacing w:after="0"/>
              <w:rPr>
                <w:sz w:val="6"/>
                <w:szCs w:val="6"/>
                <w:color w:val="auto"/>
              </w:rPr>
            </w:pPr>
          </w:p>
        </w:tc>
        <w:tc>
          <w:tcPr>
            <w:tcW w:w="1900" w:type="dxa"/>
            <w:vAlign w:val="bottom"/>
            <w:tcBorders>
              <w:bottom w:val="single" w:sz="8" w:color="7CBD3F"/>
            </w:tcBorders>
          </w:tcPr>
          <w:p>
            <w:pPr>
              <w:spacing w:after="0"/>
              <w:rPr>
                <w:sz w:val="6"/>
                <w:szCs w:val="6"/>
                <w:color w:val="auto"/>
              </w:rPr>
            </w:pPr>
          </w:p>
        </w:tc>
        <w:tc>
          <w:tcPr>
            <w:tcW w:w="1180" w:type="dxa"/>
            <w:vAlign w:val="bottom"/>
            <w:tcBorders>
              <w:bottom w:val="single" w:sz="8" w:color="7CBD3F"/>
            </w:tcBorders>
          </w:tcPr>
          <w:p>
            <w:pPr>
              <w:spacing w:after="0"/>
              <w:rPr>
                <w:sz w:val="6"/>
                <w:szCs w:val="6"/>
                <w:color w:val="auto"/>
              </w:rPr>
            </w:pPr>
          </w:p>
        </w:tc>
        <w:tc>
          <w:tcPr>
            <w:tcW w:w="1420" w:type="dxa"/>
            <w:vAlign w:val="bottom"/>
            <w:tcBorders>
              <w:bottom w:val="single" w:sz="8" w:color="7CBD3F"/>
            </w:tcBorders>
          </w:tcPr>
          <w:p>
            <w:pPr>
              <w:spacing w:after="0"/>
              <w:rPr>
                <w:sz w:val="6"/>
                <w:szCs w:val="6"/>
                <w:color w:val="auto"/>
              </w:rPr>
            </w:pPr>
          </w:p>
        </w:tc>
        <w:tc>
          <w:tcPr>
            <w:tcW w:w="840" w:type="dxa"/>
            <w:vAlign w:val="bottom"/>
            <w:tcBorders>
              <w:bottom w:val="single" w:sz="8" w:color="7CBD3F"/>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9"/>
          <w:szCs w:val="19"/>
          <w:b w:val="1"/>
          <w:bCs w:val="1"/>
          <w:color w:val="7CBD3F"/>
        </w:rPr>
        <w:t>Equity Compensation</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158" w:lineRule="exact"/>
        <w:rPr>
          <w:sz w:val="20"/>
          <w:szCs w:val="20"/>
          <w:color w:val="auto"/>
        </w:rPr>
      </w:pPr>
    </w:p>
    <w:p>
      <w:pPr>
        <w:jc w:val="both"/>
        <w:spacing w:after="0" w:line="250" w:lineRule="auto"/>
        <w:rPr>
          <w:sz w:val="20"/>
          <w:szCs w:val="20"/>
          <w:color w:val="auto"/>
        </w:rPr>
      </w:pPr>
      <w:r>
        <w:rPr>
          <w:rFonts w:ascii="Arial" w:cs="Arial" w:eastAsia="Arial" w:hAnsi="Arial"/>
          <w:sz w:val="14"/>
          <w:szCs w:val="14"/>
          <w:i w:val="1"/>
          <w:iCs w:val="1"/>
          <w:color w:val="auto"/>
        </w:rPr>
        <w:t xml:space="preserve">Stock Options, Restricted Stock Units and Performance Stock Units. </w:t>
      </w:r>
      <w:r>
        <w:rPr>
          <w:rFonts w:ascii="Arial" w:cs="Arial" w:eastAsia="Arial" w:hAnsi="Arial"/>
          <w:sz w:val="14"/>
          <w:szCs w:val="14"/>
          <w:color w:val="auto"/>
        </w:rPr>
        <w:t>Executive officers are eligible to receive equity compensation in the form of stock options, RSUs and/or PSUs.</w:t>
      </w:r>
      <w:r>
        <w:rPr>
          <w:rFonts w:ascii="Arial" w:cs="Arial" w:eastAsia="Arial" w:hAnsi="Arial"/>
          <w:sz w:val="14"/>
          <w:szCs w:val="14"/>
          <w:i w:val="1"/>
          <w:iCs w:val="1"/>
          <w:color w:val="auto"/>
        </w:rPr>
        <w:t xml:space="preserve"> </w:t>
      </w:r>
      <w:r>
        <w:rPr>
          <w:rFonts w:ascii="Arial" w:cs="Arial" w:eastAsia="Arial" w:hAnsi="Arial"/>
          <w:sz w:val="14"/>
          <w:szCs w:val="14"/>
          <w:color w:val="auto"/>
        </w:rPr>
        <w:t>The Compensation Committee grants stock options, RSUs and/or PSUs annually to executive officers to recognize their contributions to the achievement of corporate objectives, to align their interests with those of our stockholders by creating value tied to the performance of our stock price, and for retention purposes. In determining the form and value of an annual grant, the Compensation Committee considers the contributions and responsibilities of each executive officer, appropriate incentives for the achievement of our long-term growth, the size and value of grants made to other executives at peer companies holding comparable positions, individual achievement of designated performance goals, and our overall performance relative to corporate objectives. The Compensation Committee also grants stock options and RSUs to new executive officer hires.</w:t>
      </w:r>
    </w:p>
    <w:p>
      <w:pPr>
        <w:spacing w:after="0" w:line="136"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Under the terms of our 2023 Plan, pursuant to which all equity grants are currently made, the exercise price of any stock options awarded must be equal to at least 100% of the fair market value of our common stock (the closing sales price on The Nasdaq Global Select Market) on the date of grant.</w:t>
      </w:r>
    </w:p>
    <w:p>
      <w:pPr>
        <w:spacing w:after="0" w:line="117" w:lineRule="exact"/>
        <w:rPr>
          <w:sz w:val="20"/>
          <w:szCs w:val="20"/>
          <w:color w:val="auto"/>
        </w:rPr>
      </w:pPr>
    </w:p>
    <w:p>
      <w:pPr>
        <w:jc w:val="both"/>
        <w:ind w:right="20"/>
        <w:spacing w:after="0" w:line="255" w:lineRule="auto"/>
        <w:rPr>
          <w:sz w:val="20"/>
          <w:szCs w:val="20"/>
          <w:color w:val="auto"/>
        </w:rPr>
      </w:pPr>
      <w:r>
        <w:rPr>
          <w:rFonts w:ascii="Arial" w:cs="Arial" w:eastAsia="Arial" w:hAnsi="Arial"/>
          <w:sz w:val="14"/>
          <w:szCs w:val="14"/>
          <w:color w:val="auto"/>
        </w:rPr>
        <w:t>Authority to make equity grants to executive officers rests with the Compensation Committee. Recommendations for equity grants are made by Aon based on grant values for similarly situated executive positions in our peer group companies and accounting for dilution constraints and management of our burn rate. Our CEO recommends grants for individual executives within those guidelines. The Compensation Committee then reviews and considers our CEO’s recommendation and approves the final grant amounts. The Compensation Committee also determines and approves the final grant amounts to our CEO.</w:t>
      </w:r>
    </w:p>
    <w:p>
      <w:pPr>
        <w:spacing w:after="0" w:line="132" w:lineRule="exact"/>
        <w:rPr>
          <w:sz w:val="20"/>
          <w:szCs w:val="20"/>
          <w:color w:val="auto"/>
        </w:rPr>
      </w:pPr>
    </w:p>
    <w:p>
      <w:pPr>
        <w:jc w:val="both"/>
        <w:spacing w:after="0" w:line="252" w:lineRule="auto"/>
        <w:rPr>
          <w:sz w:val="20"/>
          <w:szCs w:val="20"/>
          <w:color w:val="auto"/>
        </w:rPr>
      </w:pPr>
      <w:r>
        <w:rPr>
          <w:rFonts w:ascii="Arial" w:cs="Arial" w:eastAsia="Arial" w:hAnsi="Arial"/>
          <w:sz w:val="14"/>
          <w:szCs w:val="14"/>
          <w:color w:val="auto"/>
        </w:rPr>
        <w:t>We believe that annual equity awards serve as a useful performance recognition mechanism, encouraging the retention of executive officers by maintaining their focus on our long-term performance, as well as on the achievement of specific performance goals. Our typical option awards to executive officers (including our named executive officers) have a term of 10 years and vest and become exercisable over a period of four years, with 25% of the underlying shares vesting on the first anniversary of the grant date and the remainder monthly over the next three years. Our typical RSU awards to executive officers (including our named executive officers) vest and become exercisable over a period of four years, with 25% of the underlying shares vesting on each anniversary of the grant date.</w:t>
      </w:r>
    </w:p>
    <w:p>
      <w:pPr>
        <w:spacing w:after="0" w:line="134"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In addition to the new hire and annual equity awards described above, the Compensation Committee considers grants of other equity awards, as needed, to align business strategy with our compensation practices.</w:t>
      </w:r>
    </w:p>
    <w:p>
      <w:pPr>
        <w:spacing w:after="0" w:line="199" w:lineRule="exact"/>
        <w:rPr>
          <w:sz w:val="20"/>
          <w:szCs w:val="20"/>
          <w:color w:val="auto"/>
        </w:rPr>
      </w:pPr>
    </w:p>
    <w:p>
      <w:pPr>
        <w:spacing w:after="0"/>
        <w:rPr>
          <w:sz w:val="20"/>
          <w:szCs w:val="20"/>
          <w:color w:val="auto"/>
        </w:rPr>
      </w:pPr>
      <w:r>
        <w:rPr>
          <w:rFonts w:ascii="Arial" w:cs="Arial" w:eastAsia="Arial" w:hAnsi="Arial"/>
          <w:sz w:val="19"/>
          <w:szCs w:val="19"/>
          <w:b w:val="1"/>
          <w:bCs w:val="1"/>
          <w:color w:val="7CBD3F"/>
        </w:rPr>
        <w:t>Annual Equity Grants in Fiscal 2024</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Grants of Ultragenyx Awards</w:t>
      </w:r>
    </w:p>
    <w:p>
      <w:pPr>
        <w:spacing w:after="0" w:line="158"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In March 2024, the Compensation Committee approved equity grants that reflected an equal value split among options, RSUs and PSUs for our named executive officers other than our Chief Executive Officer, who instead received 60% of his grant in the form of PSUs,</w:t>
      </w:r>
    </w:p>
    <w:p>
      <w:pPr>
        <w:spacing w:after="0" w:line="117"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auto"/>
        </w:rPr>
        <w:t xml:space="preserve">ULTRAGENYX PHARMACEUTICAL INC. </w:t>
      </w:r>
      <w:r>
        <w:rPr>
          <w:rFonts w:ascii="Arial" w:cs="Arial" w:eastAsia="Arial" w:hAnsi="Arial"/>
          <w:sz w:val="14"/>
          <w:szCs w:val="14"/>
          <w:color w:val="7CBD3F"/>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2025 Proxy Statement</w:t>
      </w:r>
      <w:r>
        <w:rPr>
          <w:rFonts w:ascii="Arial" w:cs="Arial" w:eastAsia="Arial" w:hAnsi="Arial"/>
          <w:sz w:val="14"/>
          <w:szCs w:val="14"/>
          <w:b w:val="1"/>
          <w:bCs w:val="1"/>
          <w:color w:val="auto"/>
        </w:rPr>
        <w:tab/>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142240</wp:posOffset>
            </wp:positionV>
            <wp:extent cx="7150735"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0735" cy="29845"/>
                    </a:xfrm>
                    <a:prstGeom prst="rect">
                      <a:avLst/>
                    </a:prstGeom>
                    <a:noFill/>
                  </pic:spPr>
                </pic:pic>
              </a:graphicData>
            </a:graphic>
          </wp:anchor>
        </w:drawing>
      </w:r>
    </w:p>
    <w:p>
      <w:pPr>
        <w:sectPr>
          <w:pgSz w:w="11900" w:h="16838" w:orient="portrait"/>
          <w:cols w:equalWidth="0" w:num="1">
            <w:col w:w="11260"/>
          </w:cols>
          <w:pgMar w:left="320" w:top="225" w:right="319" w:bottom="1440" w:gutter="0" w:footer="0" w:header="0"/>
        </w:sectPr>
      </w:pPr>
    </w:p>
    <w:bookmarkStart w:id="48" w:name="page49"/>
    <w:bookmarkEnd w:id="48"/>
    <w:p>
      <w:pPr>
        <w:spacing w:after="0"/>
        <w:rPr>
          <w:sz w:val="20"/>
          <w:szCs w:val="20"/>
          <w:color w:val="auto"/>
        </w:rPr>
      </w:pPr>
      <w:r>
        <w:rPr>
          <w:rFonts w:ascii="Arial" w:cs="Arial" w:eastAsia="Arial" w:hAnsi="Arial"/>
          <w:sz w:val="12"/>
          <w:szCs w:val="12"/>
          <w:b w:val="1"/>
          <w:bCs w:val="1"/>
          <w:u w:val="single" w:color="auto"/>
          <w:color w:val="0000EE"/>
        </w:rPr>
        <w:t>Back to Contents</w:t>
      </w:r>
    </w:p>
    <w:p>
      <w:pPr>
        <w:spacing w:after="0" w:line="149" w:lineRule="exact"/>
        <w:rPr>
          <w:sz w:val="20"/>
          <w:szCs w:val="20"/>
          <w:color w:val="auto"/>
        </w:rPr>
      </w:pPr>
    </w:p>
    <w:p>
      <w:pPr>
        <w:jc w:val="both"/>
        <w:ind w:right="20"/>
        <w:spacing w:after="0" w:line="278" w:lineRule="auto"/>
        <w:rPr>
          <w:sz w:val="20"/>
          <w:szCs w:val="20"/>
          <w:color w:val="auto"/>
        </w:rPr>
      </w:pPr>
      <w:r>
        <w:rPr>
          <w:rFonts w:ascii="Arial" w:cs="Arial" w:eastAsia="Arial" w:hAnsi="Arial"/>
          <w:sz w:val="14"/>
          <w:szCs w:val="14"/>
          <w:color w:val="auto"/>
        </w:rPr>
        <w:t>with the remaining portion split equally among options and RSUs. The increased portion of our Chief Executive Officer’s annual equity grant that is performance-based is intended to enhance the alignment with stockholder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2727325</wp:posOffset>
            </wp:positionH>
            <wp:positionV relativeFrom="paragraph">
              <wp:posOffset>81915</wp:posOffset>
            </wp:positionV>
            <wp:extent cx="1695450" cy="157670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695450" cy="1576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The PSU awards granted to our executive officers in March 2024 (2024 PSUs) consist of a revenue portion (1/3 of the 2024 PSUs, which reflects a decrease from 50% of the 2023 PSUs) with a two-year performance period, a relative TSR portion (1/3 of the 2024 PSUs, which reflects an increase compared to 25% of the 2023 PSUs) with a three-year performance period and a strategic performance portion (1/3 of the 2024 PSUs, which reflects an increase compared to 25% of the 2023 PSUs) with a three-year performance period, which is longer than the two-year performance period for the strategic portion of the 2023 PSUs. The increased emphasis on relative TSR portion and the strategic performance portion of the PSU awards reduces the overall portion of our incentive compensation program that is focused on revenue and creates a more balanced mix of performance goals that are key to creation of long-term success. The increased performance period for the strategic performance portion of the 2024 PSUs results in additional program rigor due to a sustained performance requirement over a longer timeframe.</w:t>
      </w:r>
    </w:p>
    <w:p>
      <w:pPr>
        <w:spacing w:after="0" w:line="136"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The revenue-based 2024 PSUs will vest based upon achievement of revenue-based targets during the period beginning January 1, 2024 and ending December 31, 2025, with all of the earned revenue-based PSUs vesting on the later of (i) the date in which the Compensation Committee certifies such achievement and (ii) March 1, 2026. The revenue-based PSUs will be earned at 50% of target for threshold performance and 200% of target for maximum performance, with no PSUs being earned for below threshold performance.</w:t>
      </w:r>
    </w:p>
    <w:p>
      <w:pPr>
        <w:spacing w:after="0" w:line="130"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The relative TSR-based 2024 PSUs will vest based upon our TSR performance relative to the TSR of the companies in the Nasdaq Biotechnology Index during the period beginning January 1, 2024 and ending December 31, 2026, with all of the earned relative TSR-based PSUs vesting on the later of (i) the date in which the Compensation Committee certifies such achievement and (ii) March 1, 2027. The relative TSR-based PSUs will be earned as follows based on our percentile ranking among the Nasdaq Biotechnology Index during the performance period:</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4680" w:type="dxa"/>
            <w:vAlign w:val="bottom"/>
            <w:tcBorders>
              <w:bottom w:val="single" w:sz="8" w:color="7CBD3F"/>
            </w:tcBorders>
          </w:tcPr>
          <w:p>
            <w:pPr>
              <w:ind w:left="40"/>
              <w:spacing w:after="0"/>
              <w:rPr>
                <w:sz w:val="20"/>
                <w:szCs w:val="20"/>
                <w:color w:val="auto"/>
              </w:rPr>
            </w:pPr>
            <w:r>
              <w:rPr>
                <w:rFonts w:ascii="Arial" w:cs="Arial" w:eastAsia="Arial" w:hAnsi="Arial"/>
                <w:sz w:val="14"/>
                <w:szCs w:val="14"/>
                <w:b w:val="1"/>
                <w:bCs w:val="1"/>
                <w:color w:val="auto"/>
              </w:rPr>
              <w:t>Level of Performance</w:t>
            </w:r>
          </w:p>
        </w:tc>
        <w:tc>
          <w:tcPr>
            <w:tcW w:w="4780" w:type="dxa"/>
            <w:vAlign w:val="bottom"/>
            <w:tcBorders>
              <w:bottom w:val="single" w:sz="8" w:color="7CBD3F"/>
            </w:tcBorders>
          </w:tcPr>
          <w:p>
            <w:pPr>
              <w:jc w:val="right"/>
              <w:ind w:right="498"/>
              <w:spacing w:after="0"/>
              <w:rPr>
                <w:sz w:val="20"/>
                <w:szCs w:val="20"/>
                <w:color w:val="auto"/>
              </w:rPr>
            </w:pPr>
            <w:r>
              <w:rPr>
                <w:rFonts w:ascii="Arial" w:cs="Arial" w:eastAsia="Arial" w:hAnsi="Arial"/>
                <w:sz w:val="14"/>
                <w:szCs w:val="14"/>
                <w:b w:val="1"/>
                <w:bCs w:val="1"/>
                <w:color w:val="auto"/>
              </w:rPr>
              <w:t>TSR Percentile</w:t>
            </w:r>
          </w:p>
        </w:tc>
        <w:tc>
          <w:tcPr>
            <w:tcW w:w="1800" w:type="dxa"/>
            <w:vAlign w:val="bottom"/>
            <w:tcBorders>
              <w:bottom w:val="single" w:sz="8" w:color="7CBD3F"/>
            </w:tcBorders>
          </w:tcPr>
          <w:p>
            <w:pPr>
              <w:jc w:val="right"/>
              <w:spacing w:after="0"/>
              <w:rPr>
                <w:sz w:val="20"/>
                <w:szCs w:val="20"/>
                <w:color w:val="auto"/>
              </w:rPr>
            </w:pPr>
            <w:r>
              <w:rPr>
                <w:rFonts w:ascii="Arial" w:cs="Arial" w:eastAsia="Arial" w:hAnsi="Arial"/>
                <w:sz w:val="14"/>
                <w:szCs w:val="14"/>
                <w:b w:val="1"/>
                <w:bCs w:val="1"/>
                <w:color w:val="auto"/>
              </w:rPr>
              <w:t>Earned TSR PSUs</w:t>
            </w:r>
          </w:p>
        </w:tc>
      </w:tr>
      <w:tr>
        <w:trPr>
          <w:trHeight w:val="198"/>
        </w:trPr>
        <w:tc>
          <w:tcPr>
            <w:tcW w:w="4680" w:type="dxa"/>
            <w:vAlign w:val="bottom"/>
          </w:tcPr>
          <w:p>
            <w:pPr>
              <w:ind w:left="40"/>
              <w:spacing w:after="0"/>
              <w:rPr>
                <w:sz w:val="20"/>
                <w:szCs w:val="20"/>
                <w:color w:val="auto"/>
              </w:rPr>
            </w:pPr>
            <w:r>
              <w:rPr>
                <w:rFonts w:ascii="Arial" w:cs="Arial" w:eastAsia="Arial" w:hAnsi="Arial"/>
                <w:sz w:val="14"/>
                <w:szCs w:val="14"/>
                <w:color w:val="auto"/>
              </w:rPr>
              <w:t>Threshold</w:t>
            </w:r>
          </w:p>
        </w:tc>
        <w:tc>
          <w:tcPr>
            <w:tcW w:w="4780" w:type="dxa"/>
            <w:vAlign w:val="bottom"/>
          </w:tcPr>
          <w:p>
            <w:pPr>
              <w:jc w:val="right"/>
              <w:ind w:right="498"/>
              <w:spacing w:after="0" w:line="199" w:lineRule="exact"/>
              <w:rPr>
                <w:sz w:val="20"/>
                <w:szCs w:val="20"/>
                <w:color w:val="auto"/>
              </w:rPr>
            </w:pPr>
            <w:r>
              <w:rPr>
                <w:rFonts w:ascii="Arial" w:cs="Arial" w:eastAsia="Arial" w:hAnsi="Arial"/>
                <w:sz w:val="22"/>
                <w:szCs w:val="22"/>
                <w:color w:val="auto"/>
                <w:vertAlign w:val="subscript"/>
              </w:rPr>
              <w:t>25</w:t>
            </w:r>
            <w:r>
              <w:rPr>
                <w:rFonts w:ascii="Arial" w:cs="Arial" w:eastAsia="Arial" w:hAnsi="Arial"/>
                <w:sz w:val="10"/>
                <w:szCs w:val="10"/>
                <w:color w:val="auto"/>
              </w:rPr>
              <w:t>th</w:t>
            </w:r>
          </w:p>
        </w:tc>
        <w:tc>
          <w:tcPr>
            <w:tcW w:w="1800" w:type="dxa"/>
            <w:vAlign w:val="bottom"/>
          </w:tcPr>
          <w:p>
            <w:pPr>
              <w:jc w:val="right"/>
              <w:spacing w:after="0"/>
              <w:rPr>
                <w:sz w:val="20"/>
                <w:szCs w:val="20"/>
                <w:color w:val="auto"/>
              </w:rPr>
            </w:pPr>
            <w:r>
              <w:rPr>
                <w:rFonts w:ascii="Arial" w:cs="Arial" w:eastAsia="Arial" w:hAnsi="Arial"/>
                <w:sz w:val="14"/>
                <w:szCs w:val="14"/>
                <w:color w:val="auto"/>
              </w:rPr>
              <w:t>25%</w:t>
            </w:r>
          </w:p>
        </w:tc>
      </w:tr>
      <w:tr>
        <w:trPr>
          <w:trHeight w:val="198"/>
        </w:trPr>
        <w:tc>
          <w:tcPr>
            <w:tcW w:w="4680" w:type="dxa"/>
            <w:vAlign w:val="bottom"/>
            <w:shd w:val="clear" w:color="auto" w:fill="F0F7E7"/>
          </w:tcPr>
          <w:p>
            <w:pPr>
              <w:ind w:left="40"/>
              <w:spacing w:after="0"/>
              <w:rPr>
                <w:sz w:val="20"/>
                <w:szCs w:val="20"/>
                <w:color w:val="auto"/>
              </w:rPr>
            </w:pPr>
            <w:r>
              <w:rPr>
                <w:rFonts w:ascii="Arial" w:cs="Arial" w:eastAsia="Arial" w:hAnsi="Arial"/>
                <w:sz w:val="14"/>
                <w:szCs w:val="14"/>
                <w:color w:val="auto"/>
              </w:rPr>
              <w:t>Target</w:t>
            </w:r>
          </w:p>
        </w:tc>
        <w:tc>
          <w:tcPr>
            <w:tcW w:w="4780" w:type="dxa"/>
            <w:vAlign w:val="bottom"/>
            <w:shd w:val="clear" w:color="auto" w:fill="F0F7E7"/>
          </w:tcPr>
          <w:p>
            <w:pPr>
              <w:jc w:val="right"/>
              <w:ind w:right="498"/>
              <w:spacing w:after="0" w:line="199" w:lineRule="exact"/>
              <w:rPr>
                <w:sz w:val="20"/>
                <w:szCs w:val="20"/>
                <w:color w:val="auto"/>
              </w:rPr>
            </w:pPr>
            <w:r>
              <w:rPr>
                <w:rFonts w:ascii="Arial" w:cs="Arial" w:eastAsia="Arial" w:hAnsi="Arial"/>
                <w:sz w:val="13"/>
                <w:szCs w:val="13"/>
                <w:color w:val="auto"/>
              </w:rPr>
              <w:t>50</w:t>
            </w:r>
            <w:r>
              <w:rPr>
                <w:rFonts w:ascii="Arial" w:cs="Arial" w:eastAsia="Arial" w:hAnsi="Arial"/>
                <w:sz w:val="22"/>
                <w:szCs w:val="22"/>
                <w:color w:val="auto"/>
                <w:vertAlign w:val="superscript"/>
              </w:rPr>
              <w:t>th</w:t>
            </w:r>
          </w:p>
        </w:tc>
        <w:tc>
          <w:tcPr>
            <w:tcW w:w="1800" w:type="dxa"/>
            <w:vAlign w:val="bottom"/>
            <w:shd w:val="clear" w:color="auto" w:fill="F0F7E7"/>
          </w:tcPr>
          <w:p>
            <w:pPr>
              <w:jc w:val="right"/>
              <w:spacing w:after="0"/>
              <w:rPr>
                <w:sz w:val="20"/>
                <w:szCs w:val="20"/>
                <w:color w:val="auto"/>
              </w:rPr>
            </w:pPr>
            <w:r>
              <w:rPr>
                <w:rFonts w:ascii="Arial" w:cs="Arial" w:eastAsia="Arial" w:hAnsi="Arial"/>
                <w:sz w:val="14"/>
                <w:szCs w:val="14"/>
                <w:color w:val="auto"/>
              </w:rPr>
              <w:t>100%</w:t>
            </w:r>
          </w:p>
        </w:tc>
      </w:tr>
      <w:tr>
        <w:trPr>
          <w:trHeight w:val="198"/>
        </w:trPr>
        <w:tc>
          <w:tcPr>
            <w:tcW w:w="4680" w:type="dxa"/>
            <w:vAlign w:val="bottom"/>
          </w:tcPr>
          <w:p>
            <w:pPr>
              <w:ind w:left="40"/>
              <w:spacing w:after="0"/>
              <w:rPr>
                <w:sz w:val="20"/>
                <w:szCs w:val="20"/>
                <w:color w:val="auto"/>
              </w:rPr>
            </w:pPr>
            <w:r>
              <w:rPr>
                <w:rFonts w:ascii="Arial" w:cs="Arial" w:eastAsia="Arial" w:hAnsi="Arial"/>
                <w:sz w:val="14"/>
                <w:szCs w:val="14"/>
                <w:color w:val="auto"/>
              </w:rPr>
              <w:t>Stretch</w:t>
            </w:r>
          </w:p>
        </w:tc>
        <w:tc>
          <w:tcPr>
            <w:tcW w:w="4780" w:type="dxa"/>
            <w:vAlign w:val="bottom"/>
          </w:tcPr>
          <w:p>
            <w:pPr>
              <w:jc w:val="right"/>
              <w:ind w:right="498"/>
              <w:spacing w:after="0" w:line="199" w:lineRule="exact"/>
              <w:rPr>
                <w:sz w:val="20"/>
                <w:szCs w:val="20"/>
                <w:color w:val="auto"/>
              </w:rPr>
            </w:pPr>
            <w:r>
              <w:rPr>
                <w:rFonts w:ascii="Arial" w:cs="Arial" w:eastAsia="Arial" w:hAnsi="Arial"/>
                <w:sz w:val="13"/>
                <w:szCs w:val="13"/>
                <w:color w:val="auto"/>
              </w:rPr>
              <w:t>75</w:t>
            </w:r>
            <w:r>
              <w:rPr>
                <w:rFonts w:ascii="Arial" w:cs="Arial" w:eastAsia="Arial" w:hAnsi="Arial"/>
                <w:sz w:val="22"/>
                <w:szCs w:val="22"/>
                <w:color w:val="auto"/>
                <w:vertAlign w:val="superscript"/>
              </w:rPr>
              <w:t>th</w:t>
            </w:r>
          </w:p>
        </w:tc>
        <w:tc>
          <w:tcPr>
            <w:tcW w:w="1800" w:type="dxa"/>
            <w:vAlign w:val="bottom"/>
          </w:tcPr>
          <w:p>
            <w:pPr>
              <w:jc w:val="right"/>
              <w:spacing w:after="0"/>
              <w:rPr>
                <w:sz w:val="20"/>
                <w:szCs w:val="20"/>
                <w:color w:val="auto"/>
              </w:rPr>
            </w:pPr>
            <w:r>
              <w:rPr>
                <w:rFonts w:ascii="Arial" w:cs="Arial" w:eastAsia="Arial" w:hAnsi="Arial"/>
                <w:sz w:val="14"/>
                <w:szCs w:val="14"/>
                <w:color w:val="auto"/>
              </w:rPr>
              <w:t>150%</w:t>
            </w:r>
          </w:p>
        </w:tc>
      </w:tr>
      <w:tr>
        <w:trPr>
          <w:trHeight w:val="201"/>
        </w:trPr>
        <w:tc>
          <w:tcPr>
            <w:tcW w:w="4680" w:type="dxa"/>
            <w:vAlign w:val="bottom"/>
            <w:tcBorders>
              <w:bottom w:val="single" w:sz="8" w:color="7CBD3F"/>
            </w:tcBorders>
            <w:shd w:val="clear" w:color="auto" w:fill="F0F7E7"/>
          </w:tcPr>
          <w:p>
            <w:pPr>
              <w:ind w:left="40"/>
              <w:spacing w:after="0"/>
              <w:rPr>
                <w:sz w:val="20"/>
                <w:szCs w:val="20"/>
                <w:color w:val="auto"/>
              </w:rPr>
            </w:pPr>
            <w:r>
              <w:rPr>
                <w:rFonts w:ascii="Arial" w:cs="Arial" w:eastAsia="Arial" w:hAnsi="Arial"/>
                <w:sz w:val="14"/>
                <w:szCs w:val="14"/>
                <w:color w:val="auto"/>
              </w:rPr>
              <w:t>Maximum</w:t>
            </w:r>
          </w:p>
        </w:tc>
        <w:tc>
          <w:tcPr>
            <w:tcW w:w="4780" w:type="dxa"/>
            <w:vAlign w:val="bottom"/>
            <w:tcBorders>
              <w:bottom w:val="single" w:sz="8" w:color="7CBD3F"/>
            </w:tcBorders>
            <w:shd w:val="clear" w:color="auto" w:fill="F0F7E7"/>
          </w:tcPr>
          <w:p>
            <w:pPr>
              <w:jc w:val="right"/>
              <w:ind w:right="498"/>
              <w:spacing w:after="0" w:line="199" w:lineRule="exact"/>
              <w:rPr>
                <w:sz w:val="20"/>
                <w:szCs w:val="20"/>
                <w:color w:val="auto"/>
              </w:rPr>
            </w:pPr>
            <w:r>
              <w:rPr>
                <w:rFonts w:ascii="Arial" w:cs="Arial" w:eastAsia="Arial" w:hAnsi="Arial"/>
                <w:sz w:val="22"/>
                <w:szCs w:val="22"/>
                <w:color w:val="auto"/>
                <w:vertAlign w:val="subscript"/>
              </w:rPr>
              <w:t>90</w:t>
            </w:r>
            <w:r>
              <w:rPr>
                <w:rFonts w:ascii="Arial" w:cs="Arial" w:eastAsia="Arial" w:hAnsi="Arial"/>
                <w:sz w:val="10"/>
                <w:szCs w:val="10"/>
                <w:color w:val="auto"/>
              </w:rPr>
              <w:t>th</w:t>
            </w:r>
          </w:p>
        </w:tc>
        <w:tc>
          <w:tcPr>
            <w:tcW w:w="1800" w:type="dxa"/>
            <w:vAlign w:val="bottom"/>
            <w:tcBorders>
              <w:bottom w:val="single" w:sz="8" w:color="7CBD3F"/>
            </w:tcBorders>
            <w:shd w:val="clear" w:color="auto" w:fill="F0F7E7"/>
          </w:tcPr>
          <w:p>
            <w:pPr>
              <w:jc w:val="right"/>
              <w:spacing w:after="0"/>
              <w:rPr>
                <w:sz w:val="20"/>
                <w:szCs w:val="20"/>
                <w:color w:val="auto"/>
              </w:rPr>
            </w:pPr>
            <w:r>
              <w:rPr>
                <w:rFonts w:ascii="Arial" w:cs="Arial" w:eastAsia="Arial" w:hAnsi="Arial"/>
                <w:sz w:val="14"/>
                <w:szCs w:val="14"/>
                <w:color w:val="auto"/>
              </w:rPr>
              <w:t>200%</w:t>
            </w:r>
          </w:p>
        </w:tc>
      </w:tr>
    </w:tbl>
    <w:p>
      <w:pPr>
        <w:spacing w:after="0" w:line="151" w:lineRule="exact"/>
        <w:rPr>
          <w:sz w:val="20"/>
          <w:szCs w:val="20"/>
          <w:color w:val="auto"/>
        </w:rPr>
      </w:pPr>
    </w:p>
    <w:p>
      <w:pPr>
        <w:jc w:val="both"/>
        <w:ind w:right="20"/>
        <w:spacing w:after="0" w:line="255" w:lineRule="auto"/>
        <w:rPr>
          <w:sz w:val="20"/>
          <w:szCs w:val="20"/>
          <w:color w:val="auto"/>
        </w:rPr>
      </w:pPr>
      <w:r>
        <w:rPr>
          <w:rFonts w:ascii="Arial" w:cs="Arial" w:eastAsia="Arial" w:hAnsi="Arial"/>
          <w:sz w:val="14"/>
          <w:szCs w:val="14"/>
          <w:color w:val="auto"/>
        </w:rPr>
        <w:t>The strategic performance based 2024 PSUs will vest upon achievement of specified strategic performance objectives during the period between January 1, 2024 and ending December 31, 2026, with all of the earned strategic performance based PSUs vesting on the later of (i) the date in which the Compensation Committee certifies such achievement and (ii) March 1, 2027. The strategic performance based PSUs will be earned as follows based on the number of strategic goals achieved during the performance period. No PSUs are earned under the strategic performance based 2024 PSUs for below threshold performance.</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3320" w:type="dxa"/>
            <w:vAlign w:val="bottom"/>
            <w:tcBorders>
              <w:bottom w:val="single" w:sz="8" w:color="7CBD3F"/>
            </w:tcBorders>
          </w:tcPr>
          <w:p>
            <w:pPr>
              <w:ind w:left="40"/>
              <w:spacing w:after="0"/>
              <w:rPr>
                <w:sz w:val="20"/>
                <w:szCs w:val="20"/>
                <w:color w:val="auto"/>
              </w:rPr>
            </w:pPr>
            <w:r>
              <w:rPr>
                <w:rFonts w:ascii="Arial" w:cs="Arial" w:eastAsia="Arial" w:hAnsi="Arial"/>
                <w:sz w:val="14"/>
                <w:szCs w:val="14"/>
                <w:b w:val="1"/>
                <w:bCs w:val="1"/>
                <w:color w:val="auto"/>
              </w:rPr>
              <w:t>Level of Performance</w:t>
            </w:r>
          </w:p>
        </w:tc>
        <w:tc>
          <w:tcPr>
            <w:tcW w:w="2860" w:type="dxa"/>
            <w:vAlign w:val="bottom"/>
            <w:tcBorders>
              <w:bottom w:val="single" w:sz="8" w:color="7CBD3F"/>
            </w:tcBorders>
          </w:tcPr>
          <w:p>
            <w:pPr>
              <w:spacing w:after="0"/>
              <w:rPr>
                <w:sz w:val="15"/>
                <w:szCs w:val="15"/>
                <w:color w:val="auto"/>
              </w:rPr>
            </w:pPr>
          </w:p>
        </w:tc>
        <w:tc>
          <w:tcPr>
            <w:tcW w:w="3200" w:type="dxa"/>
            <w:vAlign w:val="bottom"/>
            <w:tcBorders>
              <w:bottom w:val="single" w:sz="8" w:color="7CBD3F"/>
            </w:tcBorders>
            <w:gridSpan w:val="2"/>
          </w:tcPr>
          <w:p>
            <w:pPr>
              <w:jc w:val="right"/>
              <w:ind w:right="390"/>
              <w:spacing w:after="0"/>
              <w:rPr>
                <w:sz w:val="20"/>
                <w:szCs w:val="20"/>
                <w:color w:val="auto"/>
              </w:rPr>
            </w:pPr>
            <w:r>
              <w:rPr>
                <w:rFonts w:ascii="Arial" w:cs="Arial" w:eastAsia="Arial" w:hAnsi="Arial"/>
                <w:sz w:val="14"/>
                <w:szCs w:val="14"/>
                <w:b w:val="1"/>
                <w:bCs w:val="1"/>
                <w:color w:val="auto"/>
              </w:rPr>
              <w:t>Number of Strategic Goals Achieved</w:t>
            </w:r>
          </w:p>
        </w:tc>
        <w:tc>
          <w:tcPr>
            <w:tcW w:w="1880" w:type="dxa"/>
            <w:vAlign w:val="bottom"/>
            <w:tcBorders>
              <w:bottom w:val="single" w:sz="8" w:color="7CBD3F"/>
            </w:tcBorders>
          </w:tcPr>
          <w:p>
            <w:pPr>
              <w:jc w:val="right"/>
              <w:spacing w:after="0"/>
              <w:rPr>
                <w:sz w:val="20"/>
                <w:szCs w:val="20"/>
                <w:color w:val="auto"/>
              </w:rPr>
            </w:pPr>
            <w:r>
              <w:rPr>
                <w:rFonts w:ascii="Arial" w:cs="Arial" w:eastAsia="Arial" w:hAnsi="Arial"/>
                <w:sz w:val="14"/>
                <w:szCs w:val="14"/>
                <w:b w:val="1"/>
                <w:bCs w:val="1"/>
                <w:color w:val="auto"/>
              </w:rPr>
              <w:t>Earned Strategic PSUs</w:t>
            </w:r>
          </w:p>
        </w:tc>
      </w:tr>
      <w:tr>
        <w:trPr>
          <w:trHeight w:val="163"/>
        </w:trPr>
        <w:tc>
          <w:tcPr>
            <w:tcW w:w="3320" w:type="dxa"/>
            <w:vAlign w:val="bottom"/>
          </w:tcPr>
          <w:p>
            <w:pPr>
              <w:ind w:left="40"/>
              <w:spacing w:after="0"/>
              <w:rPr>
                <w:sz w:val="20"/>
                <w:szCs w:val="20"/>
                <w:color w:val="auto"/>
              </w:rPr>
            </w:pPr>
            <w:r>
              <w:rPr>
                <w:rFonts w:ascii="Arial" w:cs="Arial" w:eastAsia="Arial" w:hAnsi="Arial"/>
                <w:sz w:val="14"/>
                <w:szCs w:val="14"/>
                <w:color w:val="auto"/>
              </w:rPr>
              <w:t>Threshold</w:t>
            </w:r>
          </w:p>
        </w:tc>
        <w:tc>
          <w:tcPr>
            <w:tcW w:w="28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00" w:type="dxa"/>
            <w:vAlign w:val="bottom"/>
          </w:tcPr>
          <w:p>
            <w:pPr>
              <w:jc w:val="right"/>
              <w:ind w:right="390"/>
              <w:spacing w:after="0"/>
              <w:rPr>
                <w:sz w:val="20"/>
                <w:szCs w:val="20"/>
                <w:color w:val="auto"/>
              </w:rPr>
            </w:pPr>
            <w:r>
              <w:rPr>
                <w:rFonts w:ascii="Arial" w:cs="Arial" w:eastAsia="Arial" w:hAnsi="Arial"/>
                <w:sz w:val="14"/>
                <w:szCs w:val="14"/>
                <w:color w:val="auto"/>
              </w:rPr>
              <w:t>2 out of 5</w:t>
            </w:r>
          </w:p>
        </w:tc>
        <w:tc>
          <w:tcPr>
            <w:tcW w:w="1880" w:type="dxa"/>
            <w:vAlign w:val="bottom"/>
          </w:tcPr>
          <w:p>
            <w:pPr>
              <w:jc w:val="right"/>
              <w:spacing w:after="0"/>
              <w:rPr>
                <w:sz w:val="20"/>
                <w:szCs w:val="20"/>
                <w:color w:val="auto"/>
              </w:rPr>
            </w:pPr>
            <w:r>
              <w:rPr>
                <w:rFonts w:ascii="Arial" w:cs="Arial" w:eastAsia="Arial" w:hAnsi="Arial"/>
                <w:sz w:val="14"/>
                <w:szCs w:val="14"/>
                <w:color w:val="auto"/>
              </w:rPr>
              <w:t>50%</w:t>
            </w:r>
          </w:p>
        </w:tc>
      </w:tr>
      <w:tr>
        <w:trPr>
          <w:trHeight w:val="163"/>
        </w:trPr>
        <w:tc>
          <w:tcPr>
            <w:tcW w:w="3320" w:type="dxa"/>
            <w:vAlign w:val="bottom"/>
            <w:shd w:val="clear" w:color="auto" w:fill="F0F7E7"/>
          </w:tcPr>
          <w:p>
            <w:pPr>
              <w:ind w:left="40"/>
              <w:spacing w:after="0"/>
              <w:rPr>
                <w:sz w:val="20"/>
                <w:szCs w:val="20"/>
                <w:color w:val="auto"/>
              </w:rPr>
            </w:pPr>
            <w:r>
              <w:rPr>
                <w:rFonts w:ascii="Arial" w:cs="Arial" w:eastAsia="Arial" w:hAnsi="Arial"/>
                <w:sz w:val="14"/>
                <w:szCs w:val="14"/>
                <w:color w:val="auto"/>
              </w:rPr>
              <w:t>Target</w:t>
            </w:r>
          </w:p>
        </w:tc>
        <w:tc>
          <w:tcPr>
            <w:tcW w:w="2860" w:type="dxa"/>
            <w:vAlign w:val="bottom"/>
            <w:shd w:val="clear" w:color="auto" w:fill="F0F7E7"/>
          </w:tcPr>
          <w:p>
            <w:pPr>
              <w:spacing w:after="0"/>
              <w:rPr>
                <w:sz w:val="14"/>
                <w:szCs w:val="14"/>
                <w:color w:val="auto"/>
              </w:rPr>
            </w:pPr>
          </w:p>
        </w:tc>
        <w:tc>
          <w:tcPr>
            <w:tcW w:w="1600" w:type="dxa"/>
            <w:vAlign w:val="bottom"/>
            <w:shd w:val="clear" w:color="auto" w:fill="F0F7E7"/>
          </w:tcPr>
          <w:p>
            <w:pPr>
              <w:spacing w:after="0"/>
              <w:rPr>
                <w:sz w:val="14"/>
                <w:szCs w:val="14"/>
                <w:color w:val="auto"/>
              </w:rPr>
            </w:pPr>
          </w:p>
        </w:tc>
        <w:tc>
          <w:tcPr>
            <w:tcW w:w="1600" w:type="dxa"/>
            <w:vAlign w:val="bottom"/>
            <w:shd w:val="clear" w:color="auto" w:fill="F0F7E7"/>
          </w:tcPr>
          <w:p>
            <w:pPr>
              <w:jc w:val="right"/>
              <w:ind w:right="390"/>
              <w:spacing w:after="0"/>
              <w:rPr>
                <w:sz w:val="20"/>
                <w:szCs w:val="20"/>
                <w:color w:val="auto"/>
              </w:rPr>
            </w:pPr>
            <w:r>
              <w:rPr>
                <w:rFonts w:ascii="Arial" w:cs="Arial" w:eastAsia="Arial" w:hAnsi="Arial"/>
                <w:sz w:val="14"/>
                <w:szCs w:val="14"/>
                <w:color w:val="auto"/>
              </w:rPr>
              <w:t>3 out of 5</w:t>
            </w:r>
          </w:p>
        </w:tc>
        <w:tc>
          <w:tcPr>
            <w:tcW w:w="1880" w:type="dxa"/>
            <w:vAlign w:val="bottom"/>
            <w:shd w:val="clear" w:color="auto" w:fill="F0F7E7"/>
          </w:tcPr>
          <w:p>
            <w:pPr>
              <w:jc w:val="right"/>
              <w:spacing w:after="0"/>
              <w:rPr>
                <w:sz w:val="20"/>
                <w:szCs w:val="20"/>
                <w:color w:val="auto"/>
              </w:rPr>
            </w:pPr>
            <w:r>
              <w:rPr>
                <w:rFonts w:ascii="Arial" w:cs="Arial" w:eastAsia="Arial" w:hAnsi="Arial"/>
                <w:sz w:val="14"/>
                <w:szCs w:val="14"/>
                <w:color w:val="auto"/>
              </w:rPr>
              <w:t>100%</w:t>
            </w:r>
          </w:p>
        </w:tc>
      </w:tr>
      <w:tr>
        <w:trPr>
          <w:trHeight w:val="163"/>
        </w:trPr>
        <w:tc>
          <w:tcPr>
            <w:tcW w:w="3320" w:type="dxa"/>
            <w:vAlign w:val="bottom"/>
          </w:tcPr>
          <w:p>
            <w:pPr>
              <w:ind w:left="40"/>
              <w:spacing w:after="0"/>
              <w:rPr>
                <w:sz w:val="20"/>
                <w:szCs w:val="20"/>
                <w:color w:val="auto"/>
              </w:rPr>
            </w:pPr>
            <w:r>
              <w:rPr>
                <w:rFonts w:ascii="Arial" w:cs="Arial" w:eastAsia="Arial" w:hAnsi="Arial"/>
                <w:sz w:val="14"/>
                <w:szCs w:val="14"/>
                <w:color w:val="auto"/>
              </w:rPr>
              <w:t>Stretch</w:t>
            </w:r>
          </w:p>
        </w:tc>
        <w:tc>
          <w:tcPr>
            <w:tcW w:w="28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00" w:type="dxa"/>
            <w:vAlign w:val="bottom"/>
          </w:tcPr>
          <w:p>
            <w:pPr>
              <w:jc w:val="right"/>
              <w:ind w:right="390"/>
              <w:spacing w:after="0"/>
              <w:rPr>
                <w:sz w:val="20"/>
                <w:szCs w:val="20"/>
                <w:color w:val="auto"/>
              </w:rPr>
            </w:pPr>
            <w:r>
              <w:rPr>
                <w:rFonts w:ascii="Arial" w:cs="Arial" w:eastAsia="Arial" w:hAnsi="Arial"/>
                <w:sz w:val="14"/>
                <w:szCs w:val="14"/>
                <w:color w:val="auto"/>
              </w:rPr>
              <w:t>4 out of 5</w:t>
            </w:r>
          </w:p>
        </w:tc>
        <w:tc>
          <w:tcPr>
            <w:tcW w:w="1880" w:type="dxa"/>
            <w:vAlign w:val="bottom"/>
          </w:tcPr>
          <w:p>
            <w:pPr>
              <w:jc w:val="right"/>
              <w:spacing w:after="0"/>
              <w:rPr>
                <w:sz w:val="20"/>
                <w:szCs w:val="20"/>
                <w:color w:val="auto"/>
              </w:rPr>
            </w:pPr>
            <w:r>
              <w:rPr>
                <w:rFonts w:ascii="Arial" w:cs="Arial" w:eastAsia="Arial" w:hAnsi="Arial"/>
                <w:sz w:val="14"/>
                <w:szCs w:val="14"/>
                <w:color w:val="auto"/>
              </w:rPr>
              <w:t>150%</w:t>
            </w:r>
          </w:p>
        </w:tc>
      </w:tr>
      <w:tr>
        <w:trPr>
          <w:trHeight w:val="167"/>
        </w:trPr>
        <w:tc>
          <w:tcPr>
            <w:tcW w:w="3320" w:type="dxa"/>
            <w:vAlign w:val="bottom"/>
            <w:tcBorders>
              <w:bottom w:val="single" w:sz="8" w:color="7CBD3F"/>
            </w:tcBorders>
            <w:shd w:val="clear" w:color="auto" w:fill="F0F7E7"/>
          </w:tcPr>
          <w:p>
            <w:pPr>
              <w:ind w:left="40"/>
              <w:spacing w:after="0"/>
              <w:rPr>
                <w:sz w:val="20"/>
                <w:szCs w:val="20"/>
                <w:color w:val="auto"/>
              </w:rPr>
            </w:pPr>
            <w:r>
              <w:rPr>
                <w:rFonts w:ascii="Arial" w:cs="Arial" w:eastAsia="Arial" w:hAnsi="Arial"/>
                <w:sz w:val="14"/>
                <w:szCs w:val="14"/>
                <w:color w:val="auto"/>
              </w:rPr>
              <w:t>Maximum</w:t>
            </w:r>
          </w:p>
        </w:tc>
        <w:tc>
          <w:tcPr>
            <w:tcW w:w="2860" w:type="dxa"/>
            <w:vAlign w:val="bottom"/>
            <w:tcBorders>
              <w:bottom w:val="single" w:sz="8" w:color="7CBD3F"/>
            </w:tcBorders>
            <w:shd w:val="clear" w:color="auto" w:fill="F0F7E7"/>
          </w:tcPr>
          <w:p>
            <w:pPr>
              <w:spacing w:after="0"/>
              <w:rPr>
                <w:sz w:val="14"/>
                <w:szCs w:val="14"/>
                <w:color w:val="auto"/>
              </w:rPr>
            </w:pPr>
          </w:p>
        </w:tc>
        <w:tc>
          <w:tcPr>
            <w:tcW w:w="1600" w:type="dxa"/>
            <w:vAlign w:val="bottom"/>
            <w:tcBorders>
              <w:bottom w:val="single" w:sz="8" w:color="7CBD3F"/>
            </w:tcBorders>
            <w:shd w:val="clear" w:color="auto" w:fill="F0F7E7"/>
          </w:tcPr>
          <w:p>
            <w:pPr>
              <w:spacing w:after="0"/>
              <w:rPr>
                <w:sz w:val="14"/>
                <w:szCs w:val="14"/>
                <w:color w:val="auto"/>
              </w:rPr>
            </w:pPr>
          </w:p>
        </w:tc>
        <w:tc>
          <w:tcPr>
            <w:tcW w:w="1600" w:type="dxa"/>
            <w:vAlign w:val="bottom"/>
            <w:tcBorders>
              <w:bottom w:val="single" w:sz="8" w:color="7CBD3F"/>
            </w:tcBorders>
            <w:shd w:val="clear" w:color="auto" w:fill="F0F7E7"/>
          </w:tcPr>
          <w:p>
            <w:pPr>
              <w:jc w:val="right"/>
              <w:ind w:right="390"/>
              <w:spacing w:after="0"/>
              <w:rPr>
                <w:sz w:val="20"/>
                <w:szCs w:val="20"/>
                <w:color w:val="auto"/>
              </w:rPr>
            </w:pPr>
            <w:r>
              <w:rPr>
                <w:rFonts w:ascii="Arial" w:cs="Arial" w:eastAsia="Arial" w:hAnsi="Arial"/>
                <w:sz w:val="14"/>
                <w:szCs w:val="14"/>
                <w:color w:val="auto"/>
              </w:rPr>
              <w:t>5 out of 5</w:t>
            </w:r>
          </w:p>
        </w:tc>
        <w:tc>
          <w:tcPr>
            <w:tcW w:w="1880" w:type="dxa"/>
            <w:vAlign w:val="bottom"/>
            <w:tcBorders>
              <w:bottom w:val="single" w:sz="8" w:color="7CBD3F"/>
            </w:tcBorders>
            <w:shd w:val="clear" w:color="auto" w:fill="F0F7E7"/>
          </w:tcPr>
          <w:p>
            <w:pPr>
              <w:jc w:val="right"/>
              <w:spacing w:after="0"/>
              <w:rPr>
                <w:sz w:val="20"/>
                <w:szCs w:val="20"/>
                <w:color w:val="auto"/>
              </w:rPr>
            </w:pPr>
            <w:r>
              <w:rPr>
                <w:rFonts w:ascii="Arial" w:cs="Arial" w:eastAsia="Arial" w:hAnsi="Arial"/>
                <w:sz w:val="14"/>
                <w:szCs w:val="14"/>
                <w:color w:val="auto"/>
              </w:rPr>
              <w:t>200%</w:t>
            </w:r>
          </w:p>
        </w:tc>
      </w:tr>
      <w:tr>
        <w:trPr>
          <w:trHeight w:val="335"/>
        </w:trPr>
        <w:tc>
          <w:tcPr>
            <w:tcW w:w="6180" w:type="dxa"/>
            <w:vAlign w:val="bottom"/>
            <w:gridSpan w:val="2"/>
          </w:tcPr>
          <w:p>
            <w:pPr>
              <w:spacing w:after="0"/>
              <w:rPr>
                <w:sz w:val="20"/>
                <w:szCs w:val="20"/>
                <w:color w:val="auto"/>
              </w:rPr>
            </w:pPr>
            <w:r>
              <w:rPr>
                <w:rFonts w:ascii="Arial" w:cs="Arial" w:eastAsia="Arial" w:hAnsi="Arial"/>
                <w:sz w:val="14"/>
                <w:szCs w:val="14"/>
                <w:color w:val="auto"/>
              </w:rPr>
              <w:t>The tables below set forth all equity awards granted in fiscal 2024 to our named executive officers.</w:t>
            </w:r>
          </w:p>
        </w:tc>
        <w:tc>
          <w:tcPr>
            <w:tcW w:w="16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321"/>
        </w:trPr>
        <w:tc>
          <w:tcPr>
            <w:tcW w:w="3320" w:type="dxa"/>
            <w:vAlign w:val="bottom"/>
            <w:tcBorders>
              <w:bottom w:val="single" w:sz="8" w:color="7CBD3F"/>
            </w:tcBorders>
          </w:tcPr>
          <w:p>
            <w:pPr>
              <w:ind w:left="40"/>
              <w:spacing w:after="0"/>
              <w:rPr>
                <w:sz w:val="20"/>
                <w:szCs w:val="20"/>
                <w:color w:val="auto"/>
              </w:rPr>
            </w:pPr>
            <w:r>
              <w:rPr>
                <w:rFonts w:ascii="Arial" w:cs="Arial" w:eastAsia="Arial" w:hAnsi="Arial"/>
                <w:sz w:val="14"/>
                <w:szCs w:val="14"/>
                <w:b w:val="1"/>
                <w:bCs w:val="1"/>
                <w:color w:val="auto"/>
              </w:rPr>
              <w:t>Name</w:t>
            </w:r>
          </w:p>
        </w:tc>
        <w:tc>
          <w:tcPr>
            <w:tcW w:w="2860" w:type="dxa"/>
            <w:vAlign w:val="bottom"/>
            <w:tcBorders>
              <w:bottom w:val="single" w:sz="8" w:color="7CBD3F"/>
            </w:tcBorders>
          </w:tcPr>
          <w:p>
            <w:pPr>
              <w:jc w:val="right"/>
              <w:ind w:right="350"/>
              <w:spacing w:after="0"/>
              <w:rPr>
                <w:sz w:val="20"/>
                <w:szCs w:val="20"/>
                <w:color w:val="auto"/>
              </w:rPr>
            </w:pPr>
            <w:r>
              <w:rPr>
                <w:rFonts w:ascii="Arial" w:cs="Arial" w:eastAsia="Arial" w:hAnsi="Arial"/>
                <w:sz w:val="14"/>
                <w:szCs w:val="14"/>
                <w:b w:val="1"/>
                <w:bCs w:val="1"/>
                <w:color w:val="auto"/>
              </w:rPr>
              <w:t>Date of Grant</w:t>
            </w:r>
          </w:p>
        </w:tc>
        <w:tc>
          <w:tcPr>
            <w:tcW w:w="1600" w:type="dxa"/>
            <w:vAlign w:val="bottom"/>
            <w:tcBorders>
              <w:bottom w:val="single" w:sz="8" w:color="7CBD3F"/>
            </w:tcBorders>
          </w:tcPr>
          <w:p>
            <w:pPr>
              <w:jc w:val="right"/>
              <w:ind w:right="150"/>
              <w:spacing w:after="0"/>
              <w:rPr>
                <w:sz w:val="20"/>
                <w:szCs w:val="20"/>
                <w:color w:val="auto"/>
              </w:rPr>
            </w:pPr>
            <w:r>
              <w:rPr>
                <w:rFonts w:ascii="Arial" w:cs="Arial" w:eastAsia="Arial" w:hAnsi="Arial"/>
                <w:sz w:val="14"/>
                <w:szCs w:val="14"/>
                <w:b w:val="1"/>
                <w:bCs w:val="1"/>
                <w:color w:val="auto"/>
              </w:rPr>
              <w:t>Number of Options</w:t>
            </w:r>
          </w:p>
        </w:tc>
        <w:tc>
          <w:tcPr>
            <w:tcW w:w="1600" w:type="dxa"/>
            <w:vAlign w:val="bottom"/>
            <w:tcBorders>
              <w:bottom w:val="single" w:sz="8" w:color="7CBD3F"/>
            </w:tcBorders>
          </w:tcPr>
          <w:p>
            <w:pPr>
              <w:jc w:val="right"/>
              <w:ind w:right="190"/>
              <w:spacing w:after="0"/>
              <w:rPr>
                <w:sz w:val="20"/>
                <w:szCs w:val="20"/>
                <w:color w:val="auto"/>
              </w:rPr>
            </w:pPr>
            <w:r>
              <w:rPr>
                <w:rFonts w:ascii="Arial" w:cs="Arial" w:eastAsia="Arial" w:hAnsi="Arial"/>
                <w:sz w:val="14"/>
                <w:szCs w:val="14"/>
                <w:b w:val="1"/>
                <w:bCs w:val="1"/>
                <w:color w:val="auto"/>
              </w:rPr>
              <w:t>Number of RSUs</w:t>
            </w:r>
          </w:p>
        </w:tc>
        <w:tc>
          <w:tcPr>
            <w:tcW w:w="1880" w:type="dxa"/>
            <w:vAlign w:val="bottom"/>
            <w:tcBorders>
              <w:bottom w:val="single" w:sz="8" w:color="7CBD3F"/>
            </w:tcBorders>
          </w:tcPr>
          <w:p>
            <w:pPr>
              <w:jc w:val="right"/>
              <w:spacing w:after="0"/>
              <w:rPr>
                <w:sz w:val="20"/>
                <w:szCs w:val="20"/>
                <w:color w:val="auto"/>
              </w:rPr>
            </w:pPr>
            <w:r>
              <w:rPr>
                <w:rFonts w:ascii="Arial" w:cs="Arial" w:eastAsia="Arial" w:hAnsi="Arial"/>
                <w:sz w:val="14"/>
                <w:szCs w:val="14"/>
                <w:b w:val="1"/>
                <w:bCs w:val="1"/>
                <w:color w:val="auto"/>
              </w:rPr>
              <w:t>Target Number of PSUs</w:t>
            </w:r>
          </w:p>
        </w:tc>
      </w:tr>
      <w:tr>
        <w:trPr>
          <w:trHeight w:val="163"/>
        </w:trPr>
        <w:tc>
          <w:tcPr>
            <w:tcW w:w="3320" w:type="dxa"/>
            <w:vAlign w:val="bottom"/>
          </w:tcPr>
          <w:p>
            <w:pPr>
              <w:ind w:left="40"/>
              <w:spacing w:after="0"/>
              <w:rPr>
                <w:sz w:val="20"/>
                <w:szCs w:val="20"/>
                <w:color w:val="auto"/>
              </w:rPr>
            </w:pPr>
            <w:r>
              <w:rPr>
                <w:rFonts w:ascii="Arial" w:cs="Arial" w:eastAsia="Arial" w:hAnsi="Arial"/>
                <w:sz w:val="14"/>
                <w:szCs w:val="14"/>
                <w:color w:val="auto"/>
              </w:rPr>
              <w:t>Emil D. Kakkis, M.D., Ph.D.</w:t>
            </w:r>
          </w:p>
        </w:tc>
        <w:tc>
          <w:tcPr>
            <w:tcW w:w="2860" w:type="dxa"/>
            <w:vAlign w:val="bottom"/>
          </w:tcPr>
          <w:p>
            <w:pPr>
              <w:jc w:val="right"/>
              <w:ind w:right="350"/>
              <w:spacing w:after="0"/>
              <w:rPr>
                <w:sz w:val="20"/>
                <w:szCs w:val="20"/>
                <w:color w:val="auto"/>
              </w:rPr>
            </w:pPr>
            <w:r>
              <w:rPr>
                <w:rFonts w:ascii="Arial" w:cs="Arial" w:eastAsia="Arial" w:hAnsi="Arial"/>
                <w:sz w:val="14"/>
                <w:szCs w:val="14"/>
                <w:color w:val="auto"/>
              </w:rPr>
              <w:t>3/1/2024</w:t>
            </w:r>
          </w:p>
        </w:tc>
        <w:tc>
          <w:tcPr>
            <w:tcW w:w="1600" w:type="dxa"/>
            <w:vAlign w:val="bottom"/>
          </w:tcPr>
          <w:p>
            <w:pPr>
              <w:jc w:val="right"/>
              <w:ind w:right="150"/>
              <w:spacing w:after="0"/>
              <w:rPr>
                <w:sz w:val="20"/>
                <w:szCs w:val="20"/>
                <w:color w:val="auto"/>
              </w:rPr>
            </w:pPr>
            <w:r>
              <w:rPr>
                <w:rFonts w:ascii="Arial" w:cs="Arial" w:eastAsia="Arial" w:hAnsi="Arial"/>
                <w:sz w:val="14"/>
                <w:szCs w:val="14"/>
                <w:color w:val="auto"/>
              </w:rPr>
              <w:t>70,094</w:t>
            </w:r>
          </w:p>
        </w:tc>
        <w:tc>
          <w:tcPr>
            <w:tcW w:w="1600" w:type="dxa"/>
            <w:vAlign w:val="bottom"/>
          </w:tcPr>
          <w:p>
            <w:pPr>
              <w:jc w:val="right"/>
              <w:ind w:right="190"/>
              <w:spacing w:after="0"/>
              <w:rPr>
                <w:sz w:val="20"/>
                <w:szCs w:val="20"/>
                <w:color w:val="auto"/>
              </w:rPr>
            </w:pPr>
            <w:r>
              <w:rPr>
                <w:rFonts w:ascii="Arial" w:cs="Arial" w:eastAsia="Arial" w:hAnsi="Arial"/>
                <w:sz w:val="14"/>
                <w:szCs w:val="14"/>
                <w:color w:val="auto"/>
              </w:rPr>
              <w:t>38,428</w:t>
            </w:r>
          </w:p>
        </w:tc>
        <w:tc>
          <w:tcPr>
            <w:tcW w:w="1880" w:type="dxa"/>
            <w:vAlign w:val="bottom"/>
          </w:tcPr>
          <w:p>
            <w:pPr>
              <w:jc w:val="right"/>
              <w:spacing w:after="0"/>
              <w:rPr>
                <w:sz w:val="20"/>
                <w:szCs w:val="20"/>
                <w:color w:val="auto"/>
              </w:rPr>
            </w:pPr>
            <w:r>
              <w:rPr>
                <w:rFonts w:ascii="Arial" w:cs="Arial" w:eastAsia="Arial" w:hAnsi="Arial"/>
                <w:sz w:val="14"/>
                <w:szCs w:val="14"/>
                <w:color w:val="auto"/>
              </w:rPr>
              <w:t>115,284</w:t>
            </w:r>
          </w:p>
        </w:tc>
      </w:tr>
      <w:tr>
        <w:trPr>
          <w:trHeight w:val="163"/>
        </w:trPr>
        <w:tc>
          <w:tcPr>
            <w:tcW w:w="3320" w:type="dxa"/>
            <w:vAlign w:val="bottom"/>
            <w:shd w:val="clear" w:color="auto" w:fill="F0F7E7"/>
          </w:tcPr>
          <w:p>
            <w:pPr>
              <w:ind w:left="40"/>
              <w:spacing w:after="0"/>
              <w:rPr>
                <w:sz w:val="20"/>
                <w:szCs w:val="20"/>
                <w:color w:val="auto"/>
              </w:rPr>
            </w:pPr>
            <w:r>
              <w:rPr>
                <w:rFonts w:ascii="Arial" w:cs="Arial" w:eastAsia="Arial" w:hAnsi="Arial"/>
                <w:sz w:val="14"/>
                <w:szCs w:val="14"/>
                <w:color w:val="auto"/>
              </w:rPr>
              <w:t>Howard Horn</w:t>
            </w:r>
          </w:p>
        </w:tc>
        <w:tc>
          <w:tcPr>
            <w:tcW w:w="2860" w:type="dxa"/>
            <w:vAlign w:val="bottom"/>
            <w:shd w:val="clear" w:color="auto" w:fill="F0F7E7"/>
          </w:tcPr>
          <w:p>
            <w:pPr>
              <w:jc w:val="right"/>
              <w:ind w:right="350"/>
              <w:spacing w:after="0"/>
              <w:rPr>
                <w:sz w:val="20"/>
                <w:szCs w:val="20"/>
                <w:color w:val="auto"/>
              </w:rPr>
            </w:pPr>
            <w:r>
              <w:rPr>
                <w:rFonts w:ascii="Arial" w:cs="Arial" w:eastAsia="Arial" w:hAnsi="Arial"/>
                <w:sz w:val="14"/>
                <w:szCs w:val="14"/>
                <w:color w:val="auto"/>
              </w:rPr>
              <w:t>3/1/2024</w:t>
            </w:r>
          </w:p>
        </w:tc>
        <w:tc>
          <w:tcPr>
            <w:tcW w:w="1600" w:type="dxa"/>
            <w:vAlign w:val="bottom"/>
            <w:shd w:val="clear" w:color="auto" w:fill="F0F7E7"/>
          </w:tcPr>
          <w:p>
            <w:pPr>
              <w:jc w:val="right"/>
              <w:ind w:right="150"/>
              <w:spacing w:after="0"/>
              <w:rPr>
                <w:sz w:val="20"/>
                <w:szCs w:val="20"/>
                <w:color w:val="auto"/>
              </w:rPr>
            </w:pPr>
            <w:r>
              <w:rPr>
                <w:rFonts w:ascii="Arial" w:cs="Arial" w:eastAsia="Arial" w:hAnsi="Arial"/>
                <w:sz w:val="14"/>
                <w:szCs w:val="14"/>
                <w:color w:val="auto"/>
              </w:rPr>
              <w:t>34,200</w:t>
            </w:r>
          </w:p>
        </w:tc>
        <w:tc>
          <w:tcPr>
            <w:tcW w:w="1600" w:type="dxa"/>
            <w:vAlign w:val="bottom"/>
            <w:shd w:val="clear" w:color="auto" w:fill="F0F7E7"/>
          </w:tcPr>
          <w:p>
            <w:pPr>
              <w:jc w:val="right"/>
              <w:ind w:right="190"/>
              <w:spacing w:after="0"/>
              <w:rPr>
                <w:sz w:val="20"/>
                <w:szCs w:val="20"/>
                <w:color w:val="auto"/>
              </w:rPr>
            </w:pPr>
            <w:r>
              <w:rPr>
                <w:rFonts w:ascii="Arial" w:cs="Arial" w:eastAsia="Arial" w:hAnsi="Arial"/>
                <w:sz w:val="14"/>
                <w:szCs w:val="14"/>
                <w:color w:val="auto"/>
              </w:rPr>
              <w:t>19,400</w:t>
            </w:r>
          </w:p>
        </w:tc>
        <w:tc>
          <w:tcPr>
            <w:tcW w:w="1880" w:type="dxa"/>
            <w:vAlign w:val="bottom"/>
            <w:shd w:val="clear" w:color="auto" w:fill="F0F7E7"/>
          </w:tcPr>
          <w:p>
            <w:pPr>
              <w:jc w:val="right"/>
              <w:spacing w:after="0"/>
              <w:rPr>
                <w:sz w:val="20"/>
                <w:szCs w:val="20"/>
                <w:color w:val="auto"/>
              </w:rPr>
            </w:pPr>
            <w:r>
              <w:rPr>
                <w:rFonts w:ascii="Arial" w:cs="Arial" w:eastAsia="Arial" w:hAnsi="Arial"/>
                <w:sz w:val="14"/>
                <w:szCs w:val="14"/>
                <w:color w:val="auto"/>
              </w:rPr>
              <w:t>19,400</w:t>
            </w:r>
          </w:p>
        </w:tc>
      </w:tr>
      <w:tr>
        <w:trPr>
          <w:trHeight w:val="163"/>
        </w:trPr>
        <w:tc>
          <w:tcPr>
            <w:tcW w:w="3320" w:type="dxa"/>
            <w:vAlign w:val="bottom"/>
          </w:tcPr>
          <w:p>
            <w:pPr>
              <w:ind w:left="40"/>
              <w:spacing w:after="0"/>
              <w:rPr>
                <w:sz w:val="20"/>
                <w:szCs w:val="20"/>
                <w:color w:val="auto"/>
              </w:rPr>
            </w:pPr>
            <w:r>
              <w:rPr>
                <w:rFonts w:ascii="Arial" w:cs="Arial" w:eastAsia="Arial" w:hAnsi="Arial"/>
                <w:sz w:val="14"/>
                <w:szCs w:val="14"/>
                <w:color w:val="auto"/>
              </w:rPr>
              <w:t>Erik Harris</w:t>
            </w:r>
          </w:p>
        </w:tc>
        <w:tc>
          <w:tcPr>
            <w:tcW w:w="2860" w:type="dxa"/>
            <w:vAlign w:val="bottom"/>
          </w:tcPr>
          <w:p>
            <w:pPr>
              <w:jc w:val="right"/>
              <w:ind w:right="350"/>
              <w:spacing w:after="0"/>
              <w:rPr>
                <w:sz w:val="20"/>
                <w:szCs w:val="20"/>
                <w:color w:val="auto"/>
              </w:rPr>
            </w:pPr>
            <w:r>
              <w:rPr>
                <w:rFonts w:ascii="Arial" w:cs="Arial" w:eastAsia="Arial" w:hAnsi="Arial"/>
                <w:sz w:val="14"/>
                <w:szCs w:val="14"/>
                <w:color w:val="auto"/>
              </w:rPr>
              <w:t>3/1/2024</w:t>
            </w:r>
          </w:p>
        </w:tc>
        <w:tc>
          <w:tcPr>
            <w:tcW w:w="1600" w:type="dxa"/>
            <w:vAlign w:val="bottom"/>
          </w:tcPr>
          <w:p>
            <w:pPr>
              <w:jc w:val="right"/>
              <w:ind w:right="150"/>
              <w:spacing w:after="0"/>
              <w:rPr>
                <w:sz w:val="20"/>
                <w:szCs w:val="20"/>
                <w:color w:val="auto"/>
              </w:rPr>
            </w:pPr>
            <w:r>
              <w:rPr>
                <w:rFonts w:ascii="Arial" w:cs="Arial" w:eastAsia="Arial" w:hAnsi="Arial"/>
                <w:sz w:val="14"/>
                <w:szCs w:val="14"/>
                <w:color w:val="auto"/>
              </w:rPr>
              <w:t>34,200</w:t>
            </w:r>
          </w:p>
        </w:tc>
        <w:tc>
          <w:tcPr>
            <w:tcW w:w="1600" w:type="dxa"/>
            <w:vAlign w:val="bottom"/>
          </w:tcPr>
          <w:p>
            <w:pPr>
              <w:jc w:val="right"/>
              <w:ind w:right="190"/>
              <w:spacing w:after="0"/>
              <w:rPr>
                <w:sz w:val="20"/>
                <w:szCs w:val="20"/>
                <w:color w:val="auto"/>
              </w:rPr>
            </w:pPr>
            <w:r>
              <w:rPr>
                <w:rFonts w:ascii="Arial" w:cs="Arial" w:eastAsia="Arial" w:hAnsi="Arial"/>
                <w:sz w:val="14"/>
                <w:szCs w:val="14"/>
                <w:color w:val="auto"/>
              </w:rPr>
              <w:t>19,400</w:t>
            </w:r>
          </w:p>
        </w:tc>
        <w:tc>
          <w:tcPr>
            <w:tcW w:w="1880" w:type="dxa"/>
            <w:vAlign w:val="bottom"/>
          </w:tcPr>
          <w:p>
            <w:pPr>
              <w:jc w:val="right"/>
              <w:spacing w:after="0"/>
              <w:rPr>
                <w:sz w:val="20"/>
                <w:szCs w:val="20"/>
                <w:color w:val="auto"/>
              </w:rPr>
            </w:pPr>
            <w:r>
              <w:rPr>
                <w:rFonts w:ascii="Arial" w:cs="Arial" w:eastAsia="Arial" w:hAnsi="Arial"/>
                <w:sz w:val="14"/>
                <w:szCs w:val="14"/>
                <w:color w:val="auto"/>
              </w:rPr>
              <w:t>19,400</w:t>
            </w:r>
          </w:p>
        </w:tc>
      </w:tr>
      <w:tr>
        <w:trPr>
          <w:trHeight w:val="163"/>
        </w:trPr>
        <w:tc>
          <w:tcPr>
            <w:tcW w:w="3320" w:type="dxa"/>
            <w:vAlign w:val="bottom"/>
            <w:shd w:val="clear" w:color="auto" w:fill="F0F7E7"/>
          </w:tcPr>
          <w:p>
            <w:pPr>
              <w:ind w:left="40"/>
              <w:spacing w:after="0"/>
              <w:rPr>
                <w:sz w:val="20"/>
                <w:szCs w:val="20"/>
                <w:color w:val="auto"/>
              </w:rPr>
            </w:pPr>
            <w:r>
              <w:rPr>
                <w:rFonts w:ascii="Arial" w:cs="Arial" w:eastAsia="Arial" w:hAnsi="Arial"/>
                <w:sz w:val="14"/>
                <w:szCs w:val="14"/>
                <w:color w:val="auto"/>
              </w:rPr>
              <w:t>Eric Crombez, M.D.</w:t>
            </w:r>
          </w:p>
        </w:tc>
        <w:tc>
          <w:tcPr>
            <w:tcW w:w="2860" w:type="dxa"/>
            <w:vAlign w:val="bottom"/>
            <w:shd w:val="clear" w:color="auto" w:fill="F0F7E7"/>
          </w:tcPr>
          <w:p>
            <w:pPr>
              <w:jc w:val="right"/>
              <w:ind w:right="350"/>
              <w:spacing w:after="0"/>
              <w:rPr>
                <w:sz w:val="20"/>
                <w:szCs w:val="20"/>
                <w:color w:val="auto"/>
              </w:rPr>
            </w:pPr>
            <w:r>
              <w:rPr>
                <w:rFonts w:ascii="Arial" w:cs="Arial" w:eastAsia="Arial" w:hAnsi="Arial"/>
                <w:sz w:val="14"/>
                <w:szCs w:val="14"/>
                <w:color w:val="auto"/>
              </w:rPr>
              <w:t>3/1/2024</w:t>
            </w:r>
          </w:p>
        </w:tc>
        <w:tc>
          <w:tcPr>
            <w:tcW w:w="1600" w:type="dxa"/>
            <w:vAlign w:val="bottom"/>
            <w:shd w:val="clear" w:color="auto" w:fill="F0F7E7"/>
          </w:tcPr>
          <w:p>
            <w:pPr>
              <w:jc w:val="right"/>
              <w:ind w:right="150"/>
              <w:spacing w:after="0"/>
              <w:rPr>
                <w:sz w:val="20"/>
                <w:szCs w:val="20"/>
                <w:color w:val="auto"/>
              </w:rPr>
            </w:pPr>
            <w:r>
              <w:rPr>
                <w:rFonts w:ascii="Arial" w:cs="Arial" w:eastAsia="Arial" w:hAnsi="Arial"/>
                <w:sz w:val="14"/>
                <w:szCs w:val="14"/>
                <w:color w:val="auto"/>
              </w:rPr>
              <w:t>34,200</w:t>
            </w:r>
          </w:p>
        </w:tc>
        <w:tc>
          <w:tcPr>
            <w:tcW w:w="1600" w:type="dxa"/>
            <w:vAlign w:val="bottom"/>
            <w:shd w:val="clear" w:color="auto" w:fill="F0F7E7"/>
          </w:tcPr>
          <w:p>
            <w:pPr>
              <w:jc w:val="right"/>
              <w:ind w:right="190"/>
              <w:spacing w:after="0"/>
              <w:rPr>
                <w:sz w:val="20"/>
                <w:szCs w:val="20"/>
                <w:color w:val="auto"/>
              </w:rPr>
            </w:pPr>
            <w:r>
              <w:rPr>
                <w:rFonts w:ascii="Arial" w:cs="Arial" w:eastAsia="Arial" w:hAnsi="Arial"/>
                <w:sz w:val="14"/>
                <w:szCs w:val="14"/>
                <w:color w:val="auto"/>
              </w:rPr>
              <w:t>19,400</w:t>
            </w:r>
          </w:p>
        </w:tc>
        <w:tc>
          <w:tcPr>
            <w:tcW w:w="1880" w:type="dxa"/>
            <w:vAlign w:val="bottom"/>
            <w:shd w:val="clear" w:color="auto" w:fill="F0F7E7"/>
          </w:tcPr>
          <w:p>
            <w:pPr>
              <w:jc w:val="right"/>
              <w:spacing w:after="0"/>
              <w:rPr>
                <w:sz w:val="20"/>
                <w:szCs w:val="20"/>
                <w:color w:val="auto"/>
              </w:rPr>
            </w:pPr>
            <w:r>
              <w:rPr>
                <w:rFonts w:ascii="Arial" w:cs="Arial" w:eastAsia="Arial" w:hAnsi="Arial"/>
                <w:sz w:val="14"/>
                <w:szCs w:val="14"/>
                <w:color w:val="auto"/>
              </w:rPr>
              <w:t>19,400</w:t>
            </w:r>
          </w:p>
        </w:tc>
      </w:tr>
      <w:tr>
        <w:trPr>
          <w:trHeight w:val="167"/>
        </w:trPr>
        <w:tc>
          <w:tcPr>
            <w:tcW w:w="3320" w:type="dxa"/>
            <w:vAlign w:val="bottom"/>
            <w:tcBorders>
              <w:bottom w:val="single" w:sz="8" w:color="7CBD3F"/>
            </w:tcBorders>
          </w:tcPr>
          <w:p>
            <w:pPr>
              <w:ind w:left="40"/>
              <w:spacing w:after="0"/>
              <w:rPr>
                <w:sz w:val="20"/>
                <w:szCs w:val="20"/>
                <w:color w:val="auto"/>
              </w:rPr>
            </w:pPr>
            <w:r>
              <w:rPr>
                <w:rFonts w:ascii="Arial" w:cs="Arial" w:eastAsia="Arial" w:hAnsi="Arial"/>
                <w:sz w:val="14"/>
                <w:szCs w:val="14"/>
                <w:color w:val="auto"/>
              </w:rPr>
              <w:t>John R. Pinion II</w:t>
            </w:r>
          </w:p>
        </w:tc>
        <w:tc>
          <w:tcPr>
            <w:tcW w:w="2860" w:type="dxa"/>
            <w:vAlign w:val="bottom"/>
            <w:tcBorders>
              <w:bottom w:val="single" w:sz="8" w:color="7CBD3F"/>
            </w:tcBorders>
          </w:tcPr>
          <w:p>
            <w:pPr>
              <w:jc w:val="right"/>
              <w:ind w:right="350"/>
              <w:spacing w:after="0"/>
              <w:rPr>
                <w:sz w:val="20"/>
                <w:szCs w:val="20"/>
                <w:color w:val="auto"/>
              </w:rPr>
            </w:pPr>
            <w:r>
              <w:rPr>
                <w:rFonts w:ascii="Arial" w:cs="Arial" w:eastAsia="Arial" w:hAnsi="Arial"/>
                <w:sz w:val="14"/>
                <w:szCs w:val="14"/>
                <w:color w:val="auto"/>
              </w:rPr>
              <w:t>3/1/2024</w:t>
            </w:r>
          </w:p>
        </w:tc>
        <w:tc>
          <w:tcPr>
            <w:tcW w:w="1600" w:type="dxa"/>
            <w:vAlign w:val="bottom"/>
            <w:tcBorders>
              <w:bottom w:val="single" w:sz="8" w:color="7CBD3F"/>
            </w:tcBorders>
          </w:tcPr>
          <w:p>
            <w:pPr>
              <w:jc w:val="right"/>
              <w:ind w:right="150"/>
              <w:spacing w:after="0"/>
              <w:rPr>
                <w:sz w:val="20"/>
                <w:szCs w:val="20"/>
                <w:color w:val="auto"/>
              </w:rPr>
            </w:pPr>
            <w:r>
              <w:rPr>
                <w:rFonts w:ascii="Arial" w:cs="Arial" w:eastAsia="Arial" w:hAnsi="Arial"/>
                <w:sz w:val="14"/>
                <w:szCs w:val="14"/>
                <w:color w:val="auto"/>
              </w:rPr>
              <w:t>31,400</w:t>
            </w:r>
          </w:p>
        </w:tc>
        <w:tc>
          <w:tcPr>
            <w:tcW w:w="1600" w:type="dxa"/>
            <w:vAlign w:val="bottom"/>
            <w:tcBorders>
              <w:bottom w:val="single" w:sz="8" w:color="7CBD3F"/>
            </w:tcBorders>
          </w:tcPr>
          <w:p>
            <w:pPr>
              <w:jc w:val="right"/>
              <w:ind w:right="190"/>
              <w:spacing w:after="0"/>
              <w:rPr>
                <w:sz w:val="20"/>
                <w:szCs w:val="20"/>
                <w:color w:val="auto"/>
              </w:rPr>
            </w:pPr>
            <w:r>
              <w:rPr>
                <w:rFonts w:ascii="Arial" w:cs="Arial" w:eastAsia="Arial" w:hAnsi="Arial"/>
                <w:sz w:val="14"/>
                <w:szCs w:val="14"/>
                <w:color w:val="auto"/>
              </w:rPr>
              <w:t>17,800</w:t>
            </w:r>
          </w:p>
        </w:tc>
        <w:tc>
          <w:tcPr>
            <w:tcW w:w="1880" w:type="dxa"/>
            <w:vAlign w:val="bottom"/>
            <w:tcBorders>
              <w:bottom w:val="single" w:sz="8" w:color="7CBD3F"/>
            </w:tcBorders>
          </w:tcPr>
          <w:p>
            <w:pPr>
              <w:jc w:val="right"/>
              <w:spacing w:after="0"/>
              <w:rPr>
                <w:sz w:val="20"/>
                <w:szCs w:val="20"/>
                <w:color w:val="auto"/>
              </w:rPr>
            </w:pPr>
            <w:r>
              <w:rPr>
                <w:rFonts w:ascii="Arial" w:cs="Arial" w:eastAsia="Arial" w:hAnsi="Arial"/>
                <w:sz w:val="14"/>
                <w:szCs w:val="14"/>
                <w:color w:val="auto"/>
              </w:rPr>
              <w:t>17,800</w:t>
            </w:r>
          </w:p>
        </w:tc>
      </w:tr>
    </w:tbl>
    <w:p>
      <w:pPr>
        <w:spacing w:after="0" w:line="151"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auto"/>
        </w:rPr>
        <w:t xml:space="preserve">ULTRAGENYX PHARMACEUTICAL INC. </w:t>
      </w:r>
      <w:r>
        <w:rPr>
          <w:rFonts w:ascii="Arial" w:cs="Arial" w:eastAsia="Arial" w:hAnsi="Arial"/>
          <w:sz w:val="14"/>
          <w:szCs w:val="14"/>
          <w:color w:val="7CBD3F"/>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2025 Proxy Statement</w:t>
      </w:r>
      <w:r>
        <w:rPr>
          <w:rFonts w:ascii="Arial" w:cs="Arial" w:eastAsia="Arial" w:hAnsi="Arial"/>
          <w:sz w:val="14"/>
          <w:szCs w:val="14"/>
          <w:b w:val="1"/>
          <w:bCs w:val="1"/>
          <w:color w:val="auto"/>
        </w:rPr>
        <w:tab/>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142240</wp:posOffset>
            </wp:positionV>
            <wp:extent cx="7150735"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0735" cy="29845"/>
                    </a:xfrm>
                    <a:prstGeom prst="rect">
                      <a:avLst/>
                    </a:prstGeom>
                    <a:noFill/>
                  </pic:spPr>
                </pic:pic>
              </a:graphicData>
            </a:graphic>
          </wp:anchor>
        </w:drawing>
      </w:r>
    </w:p>
    <w:p>
      <w:pPr>
        <w:sectPr>
          <w:pgSz w:w="11900" w:h="16838" w:orient="portrait"/>
          <w:cols w:equalWidth="0" w:num="1">
            <w:col w:w="11260"/>
          </w:cols>
          <w:pgMar w:left="320" w:top="225" w:right="319" w:bottom="1440" w:gutter="0" w:footer="0" w:header="0"/>
        </w:sectPr>
      </w:pPr>
    </w:p>
    <w:bookmarkStart w:id="49" w:name="page50"/>
    <w:bookmarkEnd w:id="49"/>
    <w:p>
      <w:pPr>
        <w:spacing w:after="0"/>
        <w:rPr>
          <w:sz w:val="20"/>
          <w:szCs w:val="20"/>
          <w:color w:val="auto"/>
        </w:rPr>
      </w:pPr>
      <w:r>
        <w:rPr>
          <w:rFonts w:ascii="Arial" w:cs="Arial" w:eastAsia="Arial" w:hAnsi="Arial"/>
          <w:sz w:val="12"/>
          <w:szCs w:val="12"/>
          <w:b w:val="1"/>
          <w:bCs w:val="1"/>
          <w:u w:val="single" w:color="auto"/>
          <w:color w:val="0000EE"/>
        </w:rPr>
        <w:t>Back to Contents</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Grants of Performance Stock Options (PSOs) in Amlogenyx Inc. (Amlogenyx)</w:t>
      </w:r>
    </w:p>
    <w:p>
      <w:pPr>
        <w:spacing w:after="0" w:line="158" w:lineRule="exact"/>
        <w:rPr>
          <w:sz w:val="20"/>
          <w:szCs w:val="20"/>
          <w:color w:val="auto"/>
        </w:rPr>
      </w:pPr>
    </w:p>
    <w:p>
      <w:pPr>
        <w:jc w:val="both"/>
        <w:ind w:right="20"/>
        <w:spacing w:after="0" w:line="255" w:lineRule="auto"/>
        <w:rPr>
          <w:sz w:val="20"/>
          <w:szCs w:val="20"/>
          <w:color w:val="auto"/>
        </w:rPr>
      </w:pPr>
      <w:r>
        <w:rPr>
          <w:rFonts w:ascii="Arial" w:cs="Arial" w:eastAsia="Arial" w:hAnsi="Arial"/>
          <w:sz w:val="14"/>
          <w:szCs w:val="14"/>
          <w:color w:val="auto"/>
        </w:rPr>
        <w:t>In addition to grants of Ultragenyx options, RSUs and PSUs in fiscal 2024 as described above, in recognition of their contributions to Amlogenyx, Dr. Kakkis, Mr. Horn and Mr. Pinion also received grants of PSOs from Amlogenyx, a privately-held subsidiary of Ultragenyx in which Ultragenyx currently holds a majority interest, during fiscal 2024. The Amlogenyx PSOs will vest upon achievement of specified performance criteria related to clinical milestones, with each criteria weighted 25%. If the performance criteria are not achieved by the end of the 18 month performance period on April 21, 2026, the unvested portion of the Amlogenyx PSOs will be forfeited.</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4760" w:type="dxa"/>
            <w:vAlign w:val="bottom"/>
            <w:tcBorders>
              <w:bottom w:val="single" w:sz="8" w:color="7CBD3F"/>
            </w:tcBorders>
          </w:tcPr>
          <w:p>
            <w:pPr>
              <w:ind w:left="40"/>
              <w:spacing w:after="0"/>
              <w:rPr>
                <w:sz w:val="20"/>
                <w:szCs w:val="20"/>
                <w:color w:val="auto"/>
              </w:rPr>
            </w:pPr>
            <w:r>
              <w:rPr>
                <w:rFonts w:ascii="Arial" w:cs="Arial" w:eastAsia="Arial" w:hAnsi="Arial"/>
                <w:sz w:val="14"/>
                <w:szCs w:val="14"/>
                <w:b w:val="1"/>
                <w:bCs w:val="1"/>
                <w:color w:val="auto"/>
              </w:rPr>
              <w:t>Name</w:t>
            </w:r>
          </w:p>
        </w:tc>
        <w:tc>
          <w:tcPr>
            <w:tcW w:w="4240" w:type="dxa"/>
            <w:vAlign w:val="bottom"/>
            <w:tcBorders>
              <w:bottom w:val="single" w:sz="8" w:color="7CBD3F"/>
            </w:tcBorders>
          </w:tcPr>
          <w:p>
            <w:pPr>
              <w:jc w:val="right"/>
              <w:ind w:right="250"/>
              <w:spacing w:after="0"/>
              <w:rPr>
                <w:sz w:val="20"/>
                <w:szCs w:val="20"/>
                <w:color w:val="auto"/>
              </w:rPr>
            </w:pPr>
            <w:r>
              <w:rPr>
                <w:rFonts w:ascii="Arial" w:cs="Arial" w:eastAsia="Arial" w:hAnsi="Arial"/>
                <w:sz w:val="14"/>
                <w:szCs w:val="14"/>
                <w:b w:val="1"/>
                <w:bCs w:val="1"/>
                <w:color w:val="auto"/>
              </w:rPr>
              <w:t>Date of Grant</w:t>
            </w:r>
          </w:p>
        </w:tc>
        <w:tc>
          <w:tcPr>
            <w:tcW w:w="2260" w:type="dxa"/>
            <w:vAlign w:val="bottom"/>
            <w:tcBorders>
              <w:bottom w:val="single" w:sz="8" w:color="7CBD3F"/>
            </w:tcBorders>
          </w:tcPr>
          <w:p>
            <w:pPr>
              <w:jc w:val="right"/>
              <w:spacing w:after="0"/>
              <w:rPr>
                <w:sz w:val="20"/>
                <w:szCs w:val="20"/>
                <w:color w:val="auto"/>
              </w:rPr>
            </w:pPr>
            <w:r>
              <w:rPr>
                <w:rFonts w:ascii="Arial" w:cs="Arial" w:eastAsia="Arial" w:hAnsi="Arial"/>
                <w:sz w:val="14"/>
                <w:szCs w:val="14"/>
                <w:b w:val="1"/>
                <w:bCs w:val="1"/>
                <w:color w:val="auto"/>
              </w:rPr>
              <w:t>Number of Amlogenyx PSOs</w:t>
            </w:r>
          </w:p>
        </w:tc>
      </w:tr>
      <w:tr>
        <w:trPr>
          <w:trHeight w:val="163"/>
        </w:trPr>
        <w:tc>
          <w:tcPr>
            <w:tcW w:w="4760" w:type="dxa"/>
            <w:vAlign w:val="bottom"/>
          </w:tcPr>
          <w:p>
            <w:pPr>
              <w:ind w:left="40"/>
              <w:spacing w:after="0"/>
              <w:rPr>
                <w:sz w:val="20"/>
                <w:szCs w:val="20"/>
                <w:color w:val="auto"/>
              </w:rPr>
            </w:pPr>
            <w:r>
              <w:rPr>
                <w:rFonts w:ascii="Arial" w:cs="Arial" w:eastAsia="Arial" w:hAnsi="Arial"/>
                <w:sz w:val="14"/>
                <w:szCs w:val="14"/>
                <w:color w:val="auto"/>
              </w:rPr>
              <w:t>Emil D. Kakkis, M.D., Ph.D.</w:t>
            </w:r>
          </w:p>
        </w:tc>
        <w:tc>
          <w:tcPr>
            <w:tcW w:w="4240" w:type="dxa"/>
            <w:vAlign w:val="bottom"/>
          </w:tcPr>
          <w:p>
            <w:pPr>
              <w:jc w:val="right"/>
              <w:ind w:right="250"/>
              <w:spacing w:after="0"/>
              <w:rPr>
                <w:sz w:val="20"/>
                <w:szCs w:val="20"/>
                <w:color w:val="auto"/>
              </w:rPr>
            </w:pPr>
            <w:r>
              <w:rPr>
                <w:rFonts w:ascii="Arial" w:cs="Arial" w:eastAsia="Arial" w:hAnsi="Arial"/>
                <w:sz w:val="14"/>
                <w:szCs w:val="14"/>
                <w:color w:val="auto"/>
              </w:rPr>
              <w:t>10/21/2024</w:t>
            </w:r>
          </w:p>
        </w:tc>
        <w:tc>
          <w:tcPr>
            <w:tcW w:w="2260" w:type="dxa"/>
            <w:vAlign w:val="bottom"/>
          </w:tcPr>
          <w:p>
            <w:pPr>
              <w:jc w:val="right"/>
              <w:spacing w:after="0"/>
              <w:rPr>
                <w:sz w:val="20"/>
                <w:szCs w:val="20"/>
                <w:color w:val="auto"/>
              </w:rPr>
            </w:pPr>
            <w:r>
              <w:rPr>
                <w:rFonts w:ascii="Arial" w:cs="Arial" w:eastAsia="Arial" w:hAnsi="Arial"/>
                <w:sz w:val="14"/>
                <w:szCs w:val="14"/>
                <w:color w:val="auto"/>
              </w:rPr>
              <w:t>350,000</w:t>
            </w:r>
          </w:p>
        </w:tc>
      </w:tr>
      <w:tr>
        <w:trPr>
          <w:trHeight w:val="163"/>
        </w:trPr>
        <w:tc>
          <w:tcPr>
            <w:tcW w:w="4760" w:type="dxa"/>
            <w:vAlign w:val="bottom"/>
            <w:shd w:val="clear" w:color="auto" w:fill="F0F7E7"/>
          </w:tcPr>
          <w:p>
            <w:pPr>
              <w:ind w:left="40"/>
              <w:spacing w:after="0"/>
              <w:rPr>
                <w:sz w:val="20"/>
                <w:szCs w:val="20"/>
                <w:color w:val="auto"/>
              </w:rPr>
            </w:pPr>
            <w:r>
              <w:rPr>
                <w:rFonts w:ascii="Arial" w:cs="Arial" w:eastAsia="Arial" w:hAnsi="Arial"/>
                <w:sz w:val="14"/>
                <w:szCs w:val="14"/>
                <w:color w:val="auto"/>
              </w:rPr>
              <w:t>Howard Horn</w:t>
            </w:r>
          </w:p>
        </w:tc>
        <w:tc>
          <w:tcPr>
            <w:tcW w:w="4240" w:type="dxa"/>
            <w:vAlign w:val="bottom"/>
            <w:shd w:val="clear" w:color="auto" w:fill="F0F7E7"/>
          </w:tcPr>
          <w:p>
            <w:pPr>
              <w:jc w:val="right"/>
              <w:ind w:right="250"/>
              <w:spacing w:after="0"/>
              <w:rPr>
                <w:sz w:val="20"/>
                <w:szCs w:val="20"/>
                <w:color w:val="auto"/>
              </w:rPr>
            </w:pPr>
            <w:r>
              <w:rPr>
                <w:rFonts w:ascii="Arial" w:cs="Arial" w:eastAsia="Arial" w:hAnsi="Arial"/>
                <w:sz w:val="14"/>
                <w:szCs w:val="14"/>
                <w:color w:val="auto"/>
              </w:rPr>
              <w:t>10/21/2024</w:t>
            </w:r>
          </w:p>
        </w:tc>
        <w:tc>
          <w:tcPr>
            <w:tcW w:w="2260" w:type="dxa"/>
            <w:vAlign w:val="bottom"/>
            <w:shd w:val="clear" w:color="auto" w:fill="F0F7E7"/>
          </w:tcPr>
          <w:p>
            <w:pPr>
              <w:jc w:val="right"/>
              <w:spacing w:after="0"/>
              <w:rPr>
                <w:sz w:val="20"/>
                <w:szCs w:val="20"/>
                <w:color w:val="auto"/>
              </w:rPr>
            </w:pPr>
            <w:r>
              <w:rPr>
                <w:rFonts w:ascii="Arial" w:cs="Arial" w:eastAsia="Arial" w:hAnsi="Arial"/>
                <w:sz w:val="14"/>
                <w:szCs w:val="14"/>
                <w:color w:val="auto"/>
              </w:rPr>
              <w:t>22,500</w:t>
            </w:r>
          </w:p>
        </w:tc>
      </w:tr>
      <w:tr>
        <w:trPr>
          <w:trHeight w:val="167"/>
        </w:trPr>
        <w:tc>
          <w:tcPr>
            <w:tcW w:w="4760" w:type="dxa"/>
            <w:vAlign w:val="bottom"/>
            <w:tcBorders>
              <w:bottom w:val="single" w:sz="8" w:color="7CBD3F"/>
            </w:tcBorders>
          </w:tcPr>
          <w:p>
            <w:pPr>
              <w:ind w:left="40"/>
              <w:spacing w:after="0"/>
              <w:rPr>
                <w:sz w:val="20"/>
                <w:szCs w:val="20"/>
                <w:color w:val="auto"/>
              </w:rPr>
            </w:pPr>
            <w:r>
              <w:rPr>
                <w:rFonts w:ascii="Arial" w:cs="Arial" w:eastAsia="Arial" w:hAnsi="Arial"/>
                <w:sz w:val="14"/>
                <w:szCs w:val="14"/>
                <w:color w:val="auto"/>
              </w:rPr>
              <w:t>John R. Pinion II</w:t>
            </w:r>
          </w:p>
        </w:tc>
        <w:tc>
          <w:tcPr>
            <w:tcW w:w="4240" w:type="dxa"/>
            <w:vAlign w:val="bottom"/>
            <w:tcBorders>
              <w:bottom w:val="single" w:sz="8" w:color="7CBD3F"/>
            </w:tcBorders>
          </w:tcPr>
          <w:p>
            <w:pPr>
              <w:jc w:val="right"/>
              <w:ind w:right="250"/>
              <w:spacing w:after="0"/>
              <w:rPr>
                <w:sz w:val="20"/>
                <w:szCs w:val="20"/>
                <w:color w:val="auto"/>
              </w:rPr>
            </w:pPr>
            <w:r>
              <w:rPr>
                <w:rFonts w:ascii="Arial" w:cs="Arial" w:eastAsia="Arial" w:hAnsi="Arial"/>
                <w:sz w:val="14"/>
                <w:szCs w:val="14"/>
                <w:color w:val="auto"/>
              </w:rPr>
              <w:t>10/21/2024</w:t>
            </w:r>
          </w:p>
        </w:tc>
        <w:tc>
          <w:tcPr>
            <w:tcW w:w="2260" w:type="dxa"/>
            <w:vAlign w:val="bottom"/>
            <w:tcBorders>
              <w:bottom w:val="single" w:sz="8" w:color="7CBD3F"/>
            </w:tcBorders>
          </w:tcPr>
          <w:p>
            <w:pPr>
              <w:jc w:val="right"/>
              <w:spacing w:after="0"/>
              <w:rPr>
                <w:sz w:val="20"/>
                <w:szCs w:val="20"/>
                <w:color w:val="auto"/>
              </w:rPr>
            </w:pPr>
            <w:r>
              <w:rPr>
                <w:rFonts w:ascii="Arial" w:cs="Arial" w:eastAsia="Arial" w:hAnsi="Arial"/>
                <w:sz w:val="14"/>
                <w:szCs w:val="14"/>
                <w:color w:val="auto"/>
              </w:rPr>
              <w:t>100,000</w:t>
            </w:r>
          </w:p>
        </w:tc>
      </w:tr>
    </w:tbl>
    <w:p>
      <w:pPr>
        <w:spacing w:after="0" w:line="233" w:lineRule="exact"/>
        <w:rPr>
          <w:sz w:val="20"/>
          <w:szCs w:val="20"/>
          <w:color w:val="auto"/>
        </w:rPr>
      </w:pPr>
    </w:p>
    <w:p>
      <w:pPr>
        <w:spacing w:after="0"/>
        <w:rPr>
          <w:sz w:val="20"/>
          <w:szCs w:val="20"/>
          <w:color w:val="auto"/>
        </w:rPr>
      </w:pPr>
      <w:r>
        <w:rPr>
          <w:rFonts w:ascii="Arial" w:cs="Arial" w:eastAsia="Arial" w:hAnsi="Arial"/>
          <w:sz w:val="19"/>
          <w:szCs w:val="19"/>
          <w:b w:val="1"/>
          <w:bCs w:val="1"/>
          <w:color w:val="7CBD3F"/>
        </w:rPr>
        <w:t>Performance of 2023 PSUs</w:t>
      </w:r>
    </w:p>
    <w:p>
      <w:pPr>
        <w:spacing w:after="0" w:line="166" w:lineRule="exact"/>
        <w:rPr>
          <w:sz w:val="20"/>
          <w:szCs w:val="20"/>
          <w:color w:val="auto"/>
        </w:rPr>
      </w:pPr>
    </w:p>
    <w:p>
      <w:pPr>
        <w:jc w:val="both"/>
        <w:spacing w:after="0" w:line="252" w:lineRule="auto"/>
        <w:rPr>
          <w:sz w:val="20"/>
          <w:szCs w:val="20"/>
          <w:color w:val="auto"/>
        </w:rPr>
      </w:pPr>
      <w:r>
        <w:rPr>
          <w:rFonts w:ascii="Arial" w:cs="Arial" w:eastAsia="Arial" w:hAnsi="Arial"/>
          <w:sz w:val="14"/>
          <w:szCs w:val="14"/>
          <w:color w:val="auto"/>
        </w:rPr>
        <w:t>The PSU awards granted to our executive officers in March 2023 (2023 PSUs) consisted of a revenue portion with a two-year performance period (50% of the PSUs), a relative TSR portion (25% of the PSUs) with a three-year performance period and a strategic performance portion (25% of the PSUs) with a two-year performance period. The performance periods of the revenue portion and strategic performance portion of the 2023 PSUs ended on December 31, 2024 and the revenue portion and strategic performance portion of the 2023 PSUs vested on March 1, 2025, as described below. The performance period for the relative TSR-based 2023 PSUs extends through December 31, 2025, and if earned, such portion will vest in early 2026.</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Achievement of Revenue Portion of 2023 PSUs</w:t>
      </w:r>
    </w:p>
    <w:p>
      <w:pPr>
        <w:spacing w:after="0" w:line="165"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The revenue-based 2023 PSUs vested based upon achievement of the following revenue-based targets (and application of linear interpolation) during the period beginning January 1, 2023 and ending December 31, 2024, with all of the earned revenue-based PSUs vesting on the later of (i) the date in which the Compensation Committee certifies such achievement and (ii) March 1, 2025.</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4200" w:type="dxa"/>
            <w:vAlign w:val="bottom"/>
            <w:tcBorders>
              <w:bottom w:val="single" w:sz="8" w:color="7CBD3F"/>
            </w:tcBorders>
          </w:tcPr>
          <w:p>
            <w:pPr>
              <w:ind w:left="40"/>
              <w:spacing w:after="0"/>
              <w:rPr>
                <w:sz w:val="20"/>
                <w:szCs w:val="20"/>
                <w:color w:val="auto"/>
              </w:rPr>
            </w:pPr>
            <w:r>
              <w:rPr>
                <w:rFonts w:ascii="Arial" w:cs="Arial" w:eastAsia="Arial" w:hAnsi="Arial"/>
                <w:sz w:val="14"/>
                <w:szCs w:val="14"/>
                <w:b w:val="1"/>
                <w:bCs w:val="1"/>
                <w:color w:val="auto"/>
              </w:rPr>
              <w:t>Level of Performance</w:t>
            </w:r>
          </w:p>
        </w:tc>
        <w:tc>
          <w:tcPr>
            <w:tcW w:w="4180" w:type="dxa"/>
            <w:vAlign w:val="bottom"/>
            <w:tcBorders>
              <w:bottom w:val="single" w:sz="8" w:color="7CBD3F"/>
            </w:tcBorders>
            <w:gridSpan w:val="2"/>
          </w:tcPr>
          <w:p>
            <w:pPr>
              <w:jc w:val="right"/>
              <w:ind w:right="70"/>
              <w:spacing w:after="0"/>
              <w:rPr>
                <w:sz w:val="20"/>
                <w:szCs w:val="20"/>
                <w:color w:val="auto"/>
              </w:rPr>
            </w:pPr>
            <w:r>
              <w:rPr>
                <w:rFonts w:ascii="Arial" w:cs="Arial" w:eastAsia="Arial" w:hAnsi="Arial"/>
                <w:sz w:val="14"/>
                <w:szCs w:val="14"/>
                <w:b w:val="1"/>
                <w:bCs w:val="1"/>
                <w:color w:val="auto"/>
              </w:rPr>
              <w:t>Aggregate Revenue</w:t>
            </w:r>
          </w:p>
        </w:tc>
        <w:tc>
          <w:tcPr>
            <w:tcW w:w="2880" w:type="dxa"/>
            <w:vAlign w:val="bottom"/>
            <w:tcBorders>
              <w:bottom w:val="single" w:sz="8" w:color="7CBD3F"/>
            </w:tcBorders>
          </w:tcPr>
          <w:p>
            <w:pPr>
              <w:jc w:val="right"/>
              <w:spacing w:after="0"/>
              <w:rPr>
                <w:sz w:val="20"/>
                <w:szCs w:val="20"/>
                <w:color w:val="auto"/>
              </w:rPr>
            </w:pPr>
            <w:r>
              <w:rPr>
                <w:rFonts w:ascii="Arial" w:cs="Arial" w:eastAsia="Arial" w:hAnsi="Arial"/>
                <w:sz w:val="14"/>
                <w:szCs w:val="14"/>
                <w:b w:val="1"/>
                <w:bCs w:val="1"/>
                <w:color w:val="auto"/>
              </w:rPr>
              <w:t>Earned Revenue-Based PSU Percentage</w:t>
            </w:r>
          </w:p>
        </w:tc>
      </w:tr>
      <w:tr>
        <w:trPr>
          <w:trHeight w:val="163"/>
        </w:trPr>
        <w:tc>
          <w:tcPr>
            <w:tcW w:w="4200" w:type="dxa"/>
            <w:vAlign w:val="bottom"/>
          </w:tcPr>
          <w:p>
            <w:pPr>
              <w:ind w:left="40"/>
              <w:spacing w:after="0"/>
              <w:rPr>
                <w:sz w:val="20"/>
                <w:szCs w:val="20"/>
                <w:color w:val="auto"/>
              </w:rPr>
            </w:pPr>
            <w:r>
              <w:rPr>
                <w:rFonts w:ascii="Arial" w:cs="Arial" w:eastAsia="Arial" w:hAnsi="Arial"/>
                <w:sz w:val="14"/>
                <w:szCs w:val="14"/>
                <w:color w:val="auto"/>
              </w:rPr>
              <w:t>Threshold</w:t>
            </w:r>
          </w:p>
        </w:tc>
        <w:tc>
          <w:tcPr>
            <w:tcW w:w="3220" w:type="dxa"/>
            <w:vAlign w:val="bottom"/>
          </w:tcPr>
          <w:p>
            <w:pPr>
              <w:jc w:val="right"/>
              <w:ind w:right="29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70"/>
              <w:spacing w:after="0"/>
              <w:rPr>
                <w:sz w:val="20"/>
                <w:szCs w:val="20"/>
                <w:color w:val="auto"/>
              </w:rPr>
            </w:pPr>
            <w:r>
              <w:rPr>
                <w:rFonts w:ascii="Arial" w:cs="Arial" w:eastAsia="Arial" w:hAnsi="Arial"/>
                <w:sz w:val="14"/>
                <w:szCs w:val="14"/>
                <w:color w:val="auto"/>
              </w:rPr>
              <w:t>945M</w:t>
            </w:r>
          </w:p>
        </w:tc>
        <w:tc>
          <w:tcPr>
            <w:tcW w:w="2880" w:type="dxa"/>
            <w:vAlign w:val="bottom"/>
          </w:tcPr>
          <w:p>
            <w:pPr>
              <w:jc w:val="right"/>
              <w:spacing w:after="0"/>
              <w:rPr>
                <w:sz w:val="20"/>
                <w:szCs w:val="20"/>
                <w:color w:val="auto"/>
              </w:rPr>
            </w:pPr>
            <w:r>
              <w:rPr>
                <w:rFonts w:ascii="Arial" w:cs="Arial" w:eastAsia="Arial" w:hAnsi="Arial"/>
                <w:sz w:val="14"/>
                <w:szCs w:val="14"/>
                <w:color w:val="auto"/>
              </w:rPr>
              <w:t>50%</w:t>
            </w:r>
          </w:p>
        </w:tc>
      </w:tr>
      <w:tr>
        <w:trPr>
          <w:trHeight w:val="163"/>
        </w:trPr>
        <w:tc>
          <w:tcPr>
            <w:tcW w:w="4200" w:type="dxa"/>
            <w:vAlign w:val="bottom"/>
            <w:shd w:val="clear" w:color="auto" w:fill="F0F7E7"/>
          </w:tcPr>
          <w:p>
            <w:pPr>
              <w:ind w:left="40"/>
              <w:spacing w:after="0"/>
              <w:rPr>
                <w:sz w:val="20"/>
                <w:szCs w:val="20"/>
                <w:color w:val="auto"/>
              </w:rPr>
            </w:pPr>
            <w:r>
              <w:rPr>
                <w:rFonts w:ascii="Arial" w:cs="Arial" w:eastAsia="Arial" w:hAnsi="Arial"/>
                <w:sz w:val="14"/>
                <w:szCs w:val="14"/>
                <w:b w:val="1"/>
                <w:bCs w:val="1"/>
                <w:color w:val="auto"/>
              </w:rPr>
              <w:t>Actual</w:t>
            </w:r>
          </w:p>
        </w:tc>
        <w:tc>
          <w:tcPr>
            <w:tcW w:w="3220" w:type="dxa"/>
            <w:vAlign w:val="bottom"/>
            <w:shd w:val="clear" w:color="auto" w:fill="F0F7E7"/>
          </w:tcPr>
          <w:p>
            <w:pPr>
              <w:jc w:val="right"/>
              <w:ind w:right="290"/>
              <w:spacing w:after="0"/>
              <w:rPr>
                <w:sz w:val="20"/>
                <w:szCs w:val="20"/>
                <w:color w:val="auto"/>
              </w:rPr>
            </w:pPr>
            <w:r>
              <w:rPr>
                <w:rFonts w:ascii="Arial" w:cs="Arial" w:eastAsia="Arial" w:hAnsi="Arial"/>
                <w:sz w:val="14"/>
                <w:szCs w:val="14"/>
                <w:b w:val="1"/>
                <w:bCs w:val="1"/>
                <w:color w:val="auto"/>
              </w:rPr>
              <w:t>$</w:t>
            </w:r>
          </w:p>
        </w:tc>
        <w:tc>
          <w:tcPr>
            <w:tcW w:w="960" w:type="dxa"/>
            <w:vAlign w:val="bottom"/>
            <w:shd w:val="clear" w:color="auto" w:fill="F0F7E7"/>
          </w:tcPr>
          <w:p>
            <w:pPr>
              <w:jc w:val="right"/>
              <w:ind w:right="70"/>
              <w:spacing w:after="0"/>
              <w:rPr>
                <w:sz w:val="20"/>
                <w:szCs w:val="20"/>
                <w:color w:val="auto"/>
              </w:rPr>
            </w:pPr>
            <w:r>
              <w:rPr>
                <w:rFonts w:ascii="Arial" w:cs="Arial" w:eastAsia="Arial" w:hAnsi="Arial"/>
                <w:sz w:val="14"/>
                <w:szCs w:val="14"/>
                <w:b w:val="1"/>
                <w:bCs w:val="1"/>
                <w:color w:val="auto"/>
              </w:rPr>
              <w:t>995M</w:t>
            </w:r>
          </w:p>
        </w:tc>
        <w:tc>
          <w:tcPr>
            <w:tcW w:w="2880" w:type="dxa"/>
            <w:vAlign w:val="bottom"/>
            <w:shd w:val="clear" w:color="auto" w:fill="F0F7E7"/>
          </w:tcPr>
          <w:p>
            <w:pPr>
              <w:jc w:val="right"/>
              <w:spacing w:after="0"/>
              <w:rPr>
                <w:sz w:val="20"/>
                <w:szCs w:val="20"/>
                <w:color w:val="auto"/>
              </w:rPr>
            </w:pPr>
            <w:r>
              <w:rPr>
                <w:rFonts w:ascii="Arial" w:cs="Arial" w:eastAsia="Arial" w:hAnsi="Arial"/>
                <w:sz w:val="14"/>
                <w:szCs w:val="14"/>
                <w:b w:val="1"/>
                <w:bCs w:val="1"/>
                <w:color w:val="auto"/>
              </w:rPr>
              <w:t>74%</w:t>
            </w:r>
          </w:p>
        </w:tc>
      </w:tr>
      <w:tr>
        <w:trPr>
          <w:trHeight w:val="163"/>
        </w:trPr>
        <w:tc>
          <w:tcPr>
            <w:tcW w:w="4200" w:type="dxa"/>
            <w:vAlign w:val="bottom"/>
          </w:tcPr>
          <w:p>
            <w:pPr>
              <w:ind w:left="40"/>
              <w:spacing w:after="0"/>
              <w:rPr>
                <w:sz w:val="20"/>
                <w:szCs w:val="20"/>
                <w:color w:val="auto"/>
              </w:rPr>
            </w:pPr>
            <w:r>
              <w:rPr>
                <w:rFonts w:ascii="Arial" w:cs="Arial" w:eastAsia="Arial" w:hAnsi="Arial"/>
                <w:sz w:val="14"/>
                <w:szCs w:val="14"/>
                <w:color w:val="auto"/>
              </w:rPr>
              <w:t>Target</w:t>
            </w:r>
          </w:p>
        </w:tc>
        <w:tc>
          <w:tcPr>
            <w:tcW w:w="3220" w:type="dxa"/>
            <w:vAlign w:val="bottom"/>
          </w:tcPr>
          <w:p>
            <w:pPr>
              <w:jc w:val="right"/>
              <w:ind w:right="29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70"/>
              <w:spacing w:after="0"/>
              <w:rPr>
                <w:sz w:val="20"/>
                <w:szCs w:val="20"/>
                <w:color w:val="auto"/>
              </w:rPr>
            </w:pPr>
            <w:r>
              <w:rPr>
                <w:rFonts w:ascii="Arial" w:cs="Arial" w:eastAsia="Arial" w:hAnsi="Arial"/>
                <w:sz w:val="14"/>
                <w:szCs w:val="14"/>
                <w:color w:val="auto"/>
              </w:rPr>
              <w:t>1,050M</w:t>
            </w:r>
          </w:p>
        </w:tc>
        <w:tc>
          <w:tcPr>
            <w:tcW w:w="2880" w:type="dxa"/>
            <w:vAlign w:val="bottom"/>
          </w:tcPr>
          <w:p>
            <w:pPr>
              <w:jc w:val="right"/>
              <w:spacing w:after="0"/>
              <w:rPr>
                <w:sz w:val="20"/>
                <w:szCs w:val="20"/>
                <w:color w:val="auto"/>
              </w:rPr>
            </w:pPr>
            <w:r>
              <w:rPr>
                <w:rFonts w:ascii="Arial" w:cs="Arial" w:eastAsia="Arial" w:hAnsi="Arial"/>
                <w:sz w:val="14"/>
                <w:szCs w:val="14"/>
                <w:color w:val="auto"/>
              </w:rPr>
              <w:t>100%</w:t>
            </w:r>
          </w:p>
        </w:tc>
      </w:tr>
      <w:tr>
        <w:trPr>
          <w:trHeight w:val="167"/>
        </w:trPr>
        <w:tc>
          <w:tcPr>
            <w:tcW w:w="4200" w:type="dxa"/>
            <w:vAlign w:val="bottom"/>
            <w:tcBorders>
              <w:bottom w:val="single" w:sz="8" w:color="7CBD3F"/>
            </w:tcBorders>
            <w:shd w:val="clear" w:color="auto" w:fill="F0F7E7"/>
          </w:tcPr>
          <w:p>
            <w:pPr>
              <w:ind w:left="40"/>
              <w:spacing w:after="0"/>
              <w:rPr>
                <w:sz w:val="20"/>
                <w:szCs w:val="20"/>
                <w:color w:val="auto"/>
              </w:rPr>
            </w:pPr>
            <w:r>
              <w:rPr>
                <w:rFonts w:ascii="Arial" w:cs="Arial" w:eastAsia="Arial" w:hAnsi="Arial"/>
                <w:sz w:val="14"/>
                <w:szCs w:val="14"/>
                <w:color w:val="auto"/>
              </w:rPr>
              <w:t>Maximum</w:t>
            </w:r>
          </w:p>
        </w:tc>
        <w:tc>
          <w:tcPr>
            <w:tcW w:w="3220" w:type="dxa"/>
            <w:vAlign w:val="bottom"/>
            <w:tcBorders>
              <w:bottom w:val="single" w:sz="8" w:color="7CBD3F"/>
            </w:tcBorders>
            <w:shd w:val="clear" w:color="auto" w:fill="F0F7E7"/>
          </w:tcPr>
          <w:p>
            <w:pPr>
              <w:jc w:val="right"/>
              <w:ind w:right="29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7CBD3F"/>
            </w:tcBorders>
            <w:shd w:val="clear" w:color="auto" w:fill="F0F7E7"/>
          </w:tcPr>
          <w:p>
            <w:pPr>
              <w:jc w:val="right"/>
              <w:ind w:right="70"/>
              <w:spacing w:after="0"/>
              <w:rPr>
                <w:sz w:val="20"/>
                <w:szCs w:val="20"/>
                <w:color w:val="auto"/>
              </w:rPr>
            </w:pPr>
            <w:r>
              <w:rPr>
                <w:rFonts w:ascii="Arial" w:cs="Arial" w:eastAsia="Arial" w:hAnsi="Arial"/>
                <w:sz w:val="14"/>
                <w:szCs w:val="14"/>
                <w:color w:val="auto"/>
              </w:rPr>
              <w:t>1,260M</w:t>
            </w:r>
          </w:p>
        </w:tc>
        <w:tc>
          <w:tcPr>
            <w:tcW w:w="2880" w:type="dxa"/>
            <w:vAlign w:val="bottom"/>
            <w:tcBorders>
              <w:bottom w:val="single" w:sz="8" w:color="7CBD3F"/>
            </w:tcBorders>
            <w:shd w:val="clear" w:color="auto" w:fill="F0F7E7"/>
          </w:tcPr>
          <w:p>
            <w:pPr>
              <w:jc w:val="right"/>
              <w:spacing w:after="0"/>
              <w:rPr>
                <w:sz w:val="20"/>
                <w:szCs w:val="20"/>
                <w:color w:val="auto"/>
              </w:rPr>
            </w:pPr>
            <w:r>
              <w:rPr>
                <w:rFonts w:ascii="Arial" w:cs="Arial" w:eastAsia="Arial" w:hAnsi="Arial"/>
                <w:sz w:val="14"/>
                <w:szCs w:val="14"/>
                <w:color w:val="auto"/>
              </w:rPr>
              <w:t>200%</w:t>
            </w:r>
          </w:p>
        </w:tc>
      </w:tr>
    </w:tbl>
    <w:p>
      <w:pPr>
        <w:spacing w:after="0" w:line="151"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In February 2025, based on the Company’s 2023 and 2024 revenue performance measured in accordance with U.S. GAAP (GAAP), the Compensation Committee certified that the revenue based 2023 PSUs were earned at 74% of target, and such earned 2023 PSUs vested on March 1, 2025.</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Achievement of Strategic Performance Portion of 2023 PSUs</w:t>
      </w:r>
    </w:p>
    <w:p>
      <w:pPr>
        <w:spacing w:after="0" w:line="165" w:lineRule="exact"/>
        <w:rPr>
          <w:sz w:val="20"/>
          <w:szCs w:val="20"/>
          <w:color w:val="auto"/>
        </w:rPr>
      </w:pPr>
    </w:p>
    <w:p>
      <w:pPr>
        <w:jc w:val="both"/>
        <w:ind w:right="20"/>
        <w:spacing w:after="0" w:line="260" w:lineRule="auto"/>
        <w:rPr>
          <w:sz w:val="20"/>
          <w:szCs w:val="20"/>
          <w:color w:val="auto"/>
        </w:rPr>
      </w:pPr>
      <w:r>
        <w:rPr>
          <w:rFonts w:ascii="Arial" w:cs="Arial" w:eastAsia="Arial" w:hAnsi="Arial"/>
          <w:sz w:val="14"/>
          <w:szCs w:val="14"/>
          <w:color w:val="auto"/>
        </w:rPr>
        <w:t>The strategic performance based 2023 PSUs vested upon achievement of specified strategic performance objectives during the period between January 1, 2023 and ending December 31, 2024, with all of the earned strategic performance based PSUs vesting on the later of (i) the date in which the Compensation Committee certifies such achievement and (ii) March 1, 2025.</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3980" w:type="dxa"/>
            <w:vAlign w:val="bottom"/>
            <w:tcBorders>
              <w:bottom w:val="single" w:sz="8" w:color="7CBD3F"/>
            </w:tcBorders>
          </w:tcPr>
          <w:p>
            <w:pPr>
              <w:ind w:left="40"/>
              <w:spacing w:after="0"/>
              <w:rPr>
                <w:sz w:val="20"/>
                <w:szCs w:val="20"/>
                <w:color w:val="auto"/>
              </w:rPr>
            </w:pPr>
            <w:r>
              <w:rPr>
                <w:rFonts w:ascii="Arial" w:cs="Arial" w:eastAsia="Arial" w:hAnsi="Arial"/>
                <w:sz w:val="14"/>
                <w:szCs w:val="14"/>
                <w:b w:val="1"/>
                <w:bCs w:val="1"/>
                <w:color w:val="auto"/>
              </w:rPr>
              <w:t>Level of Performance</w:t>
            </w:r>
          </w:p>
        </w:tc>
        <w:tc>
          <w:tcPr>
            <w:tcW w:w="5320" w:type="dxa"/>
            <w:vAlign w:val="bottom"/>
            <w:tcBorders>
              <w:bottom w:val="single" w:sz="8" w:color="7CBD3F"/>
            </w:tcBorders>
          </w:tcPr>
          <w:p>
            <w:pPr>
              <w:jc w:val="right"/>
              <w:ind w:right="310"/>
              <w:spacing w:after="0"/>
              <w:rPr>
                <w:sz w:val="20"/>
                <w:szCs w:val="20"/>
                <w:color w:val="auto"/>
              </w:rPr>
            </w:pPr>
            <w:r>
              <w:rPr>
                <w:rFonts w:ascii="Arial" w:cs="Arial" w:eastAsia="Arial" w:hAnsi="Arial"/>
                <w:sz w:val="14"/>
                <w:szCs w:val="14"/>
                <w:b w:val="1"/>
                <w:bCs w:val="1"/>
                <w:color w:val="auto"/>
              </w:rPr>
              <w:t>Number of Strategic Goals Achieved</w:t>
            </w:r>
          </w:p>
        </w:tc>
        <w:tc>
          <w:tcPr>
            <w:tcW w:w="1960" w:type="dxa"/>
            <w:vAlign w:val="bottom"/>
            <w:tcBorders>
              <w:bottom w:val="single" w:sz="8" w:color="7CBD3F"/>
            </w:tcBorders>
          </w:tcPr>
          <w:p>
            <w:pPr>
              <w:jc w:val="right"/>
              <w:spacing w:after="0"/>
              <w:rPr>
                <w:sz w:val="20"/>
                <w:szCs w:val="20"/>
                <w:color w:val="auto"/>
              </w:rPr>
            </w:pPr>
            <w:r>
              <w:rPr>
                <w:rFonts w:ascii="Arial" w:cs="Arial" w:eastAsia="Arial" w:hAnsi="Arial"/>
                <w:sz w:val="14"/>
                <w:szCs w:val="14"/>
                <w:b w:val="1"/>
                <w:bCs w:val="1"/>
                <w:color w:val="auto"/>
              </w:rPr>
              <w:t>Earned Strategic PSUs</w:t>
            </w:r>
          </w:p>
        </w:tc>
      </w:tr>
      <w:tr>
        <w:trPr>
          <w:trHeight w:val="163"/>
        </w:trPr>
        <w:tc>
          <w:tcPr>
            <w:tcW w:w="3980" w:type="dxa"/>
            <w:vAlign w:val="bottom"/>
          </w:tcPr>
          <w:p>
            <w:pPr>
              <w:ind w:left="40"/>
              <w:spacing w:after="0"/>
              <w:rPr>
                <w:sz w:val="20"/>
                <w:szCs w:val="20"/>
                <w:color w:val="auto"/>
              </w:rPr>
            </w:pPr>
            <w:r>
              <w:rPr>
                <w:rFonts w:ascii="Arial" w:cs="Arial" w:eastAsia="Arial" w:hAnsi="Arial"/>
                <w:sz w:val="14"/>
                <w:szCs w:val="14"/>
                <w:color w:val="auto"/>
              </w:rPr>
              <w:t>Threshold</w:t>
            </w:r>
          </w:p>
        </w:tc>
        <w:tc>
          <w:tcPr>
            <w:tcW w:w="5320" w:type="dxa"/>
            <w:vAlign w:val="bottom"/>
          </w:tcPr>
          <w:p>
            <w:pPr>
              <w:jc w:val="right"/>
              <w:ind w:right="310"/>
              <w:spacing w:after="0"/>
              <w:rPr>
                <w:sz w:val="20"/>
                <w:szCs w:val="20"/>
                <w:color w:val="auto"/>
              </w:rPr>
            </w:pPr>
            <w:r>
              <w:rPr>
                <w:rFonts w:ascii="Arial" w:cs="Arial" w:eastAsia="Arial" w:hAnsi="Arial"/>
                <w:sz w:val="14"/>
                <w:szCs w:val="14"/>
                <w:color w:val="auto"/>
              </w:rPr>
              <w:t>2 out of 5</w:t>
            </w:r>
          </w:p>
        </w:tc>
        <w:tc>
          <w:tcPr>
            <w:tcW w:w="1960" w:type="dxa"/>
            <w:vAlign w:val="bottom"/>
          </w:tcPr>
          <w:p>
            <w:pPr>
              <w:jc w:val="right"/>
              <w:spacing w:after="0"/>
              <w:rPr>
                <w:sz w:val="20"/>
                <w:szCs w:val="20"/>
                <w:color w:val="auto"/>
              </w:rPr>
            </w:pPr>
            <w:r>
              <w:rPr>
                <w:rFonts w:ascii="Arial" w:cs="Arial" w:eastAsia="Arial" w:hAnsi="Arial"/>
                <w:sz w:val="14"/>
                <w:szCs w:val="14"/>
                <w:color w:val="auto"/>
              </w:rPr>
              <w:t>50%</w:t>
            </w:r>
          </w:p>
        </w:tc>
      </w:tr>
      <w:tr>
        <w:trPr>
          <w:trHeight w:val="163"/>
        </w:trPr>
        <w:tc>
          <w:tcPr>
            <w:tcW w:w="3980" w:type="dxa"/>
            <w:vAlign w:val="bottom"/>
            <w:shd w:val="clear" w:color="auto" w:fill="F0F7E7"/>
          </w:tcPr>
          <w:p>
            <w:pPr>
              <w:ind w:left="40"/>
              <w:spacing w:after="0"/>
              <w:rPr>
                <w:sz w:val="20"/>
                <w:szCs w:val="20"/>
                <w:color w:val="auto"/>
              </w:rPr>
            </w:pPr>
            <w:r>
              <w:rPr>
                <w:rFonts w:ascii="Arial" w:cs="Arial" w:eastAsia="Arial" w:hAnsi="Arial"/>
                <w:sz w:val="14"/>
                <w:szCs w:val="14"/>
                <w:color w:val="auto"/>
              </w:rPr>
              <w:t>Target</w:t>
            </w:r>
          </w:p>
        </w:tc>
        <w:tc>
          <w:tcPr>
            <w:tcW w:w="5320" w:type="dxa"/>
            <w:vAlign w:val="bottom"/>
            <w:shd w:val="clear" w:color="auto" w:fill="F0F7E7"/>
          </w:tcPr>
          <w:p>
            <w:pPr>
              <w:jc w:val="right"/>
              <w:ind w:right="310"/>
              <w:spacing w:after="0"/>
              <w:rPr>
                <w:sz w:val="20"/>
                <w:szCs w:val="20"/>
                <w:color w:val="auto"/>
              </w:rPr>
            </w:pPr>
            <w:r>
              <w:rPr>
                <w:rFonts w:ascii="Arial" w:cs="Arial" w:eastAsia="Arial" w:hAnsi="Arial"/>
                <w:sz w:val="14"/>
                <w:szCs w:val="14"/>
                <w:color w:val="auto"/>
              </w:rPr>
              <w:t>3 out of 5</w:t>
            </w:r>
          </w:p>
        </w:tc>
        <w:tc>
          <w:tcPr>
            <w:tcW w:w="1960" w:type="dxa"/>
            <w:vAlign w:val="bottom"/>
            <w:shd w:val="clear" w:color="auto" w:fill="F0F7E7"/>
          </w:tcPr>
          <w:p>
            <w:pPr>
              <w:jc w:val="right"/>
              <w:spacing w:after="0"/>
              <w:rPr>
                <w:sz w:val="20"/>
                <w:szCs w:val="20"/>
                <w:color w:val="auto"/>
              </w:rPr>
            </w:pPr>
            <w:r>
              <w:rPr>
                <w:rFonts w:ascii="Arial" w:cs="Arial" w:eastAsia="Arial" w:hAnsi="Arial"/>
                <w:sz w:val="14"/>
                <w:szCs w:val="14"/>
                <w:color w:val="auto"/>
              </w:rPr>
              <w:t>100%</w:t>
            </w:r>
          </w:p>
        </w:tc>
      </w:tr>
      <w:tr>
        <w:trPr>
          <w:trHeight w:val="163"/>
        </w:trPr>
        <w:tc>
          <w:tcPr>
            <w:tcW w:w="3980" w:type="dxa"/>
            <w:vAlign w:val="bottom"/>
          </w:tcPr>
          <w:p>
            <w:pPr>
              <w:ind w:left="40"/>
              <w:spacing w:after="0"/>
              <w:rPr>
                <w:sz w:val="20"/>
                <w:szCs w:val="20"/>
                <w:color w:val="auto"/>
              </w:rPr>
            </w:pPr>
            <w:r>
              <w:rPr>
                <w:rFonts w:ascii="Arial" w:cs="Arial" w:eastAsia="Arial" w:hAnsi="Arial"/>
                <w:sz w:val="14"/>
                <w:szCs w:val="14"/>
                <w:b w:val="1"/>
                <w:bCs w:val="1"/>
                <w:color w:val="auto"/>
              </w:rPr>
              <w:t>Actual</w:t>
            </w:r>
          </w:p>
        </w:tc>
        <w:tc>
          <w:tcPr>
            <w:tcW w:w="5320" w:type="dxa"/>
            <w:vAlign w:val="bottom"/>
          </w:tcPr>
          <w:p>
            <w:pPr>
              <w:jc w:val="right"/>
              <w:ind w:right="310"/>
              <w:spacing w:after="0"/>
              <w:rPr>
                <w:sz w:val="20"/>
                <w:szCs w:val="20"/>
                <w:color w:val="auto"/>
              </w:rPr>
            </w:pPr>
            <w:r>
              <w:rPr>
                <w:rFonts w:ascii="Arial" w:cs="Arial" w:eastAsia="Arial" w:hAnsi="Arial"/>
                <w:sz w:val="14"/>
                <w:szCs w:val="14"/>
                <w:b w:val="1"/>
                <w:bCs w:val="1"/>
                <w:color w:val="auto"/>
              </w:rPr>
              <w:t>3.5 out of 5</w:t>
            </w:r>
          </w:p>
        </w:tc>
        <w:tc>
          <w:tcPr>
            <w:tcW w:w="1960" w:type="dxa"/>
            <w:vAlign w:val="bottom"/>
          </w:tcPr>
          <w:p>
            <w:pPr>
              <w:jc w:val="right"/>
              <w:spacing w:after="0"/>
              <w:rPr>
                <w:sz w:val="20"/>
                <w:szCs w:val="20"/>
                <w:color w:val="auto"/>
              </w:rPr>
            </w:pPr>
            <w:r>
              <w:rPr>
                <w:rFonts w:ascii="Arial" w:cs="Arial" w:eastAsia="Arial" w:hAnsi="Arial"/>
                <w:sz w:val="14"/>
                <w:szCs w:val="14"/>
                <w:b w:val="1"/>
                <w:bCs w:val="1"/>
                <w:color w:val="auto"/>
              </w:rPr>
              <w:t>125%</w:t>
            </w:r>
          </w:p>
        </w:tc>
      </w:tr>
      <w:tr>
        <w:trPr>
          <w:trHeight w:val="163"/>
        </w:trPr>
        <w:tc>
          <w:tcPr>
            <w:tcW w:w="3980" w:type="dxa"/>
            <w:vAlign w:val="bottom"/>
            <w:shd w:val="clear" w:color="auto" w:fill="F0F7E7"/>
          </w:tcPr>
          <w:p>
            <w:pPr>
              <w:ind w:left="40"/>
              <w:spacing w:after="0"/>
              <w:rPr>
                <w:sz w:val="20"/>
                <w:szCs w:val="20"/>
                <w:color w:val="auto"/>
              </w:rPr>
            </w:pPr>
            <w:r>
              <w:rPr>
                <w:rFonts w:ascii="Arial" w:cs="Arial" w:eastAsia="Arial" w:hAnsi="Arial"/>
                <w:sz w:val="14"/>
                <w:szCs w:val="14"/>
                <w:color w:val="auto"/>
              </w:rPr>
              <w:t>Stretch</w:t>
            </w:r>
          </w:p>
        </w:tc>
        <w:tc>
          <w:tcPr>
            <w:tcW w:w="5320" w:type="dxa"/>
            <w:vAlign w:val="bottom"/>
            <w:shd w:val="clear" w:color="auto" w:fill="F0F7E7"/>
          </w:tcPr>
          <w:p>
            <w:pPr>
              <w:jc w:val="right"/>
              <w:ind w:right="310"/>
              <w:spacing w:after="0"/>
              <w:rPr>
                <w:sz w:val="20"/>
                <w:szCs w:val="20"/>
                <w:color w:val="auto"/>
              </w:rPr>
            </w:pPr>
            <w:r>
              <w:rPr>
                <w:rFonts w:ascii="Arial" w:cs="Arial" w:eastAsia="Arial" w:hAnsi="Arial"/>
                <w:sz w:val="14"/>
                <w:szCs w:val="14"/>
                <w:color w:val="auto"/>
              </w:rPr>
              <w:t>4 out of 5</w:t>
            </w:r>
          </w:p>
        </w:tc>
        <w:tc>
          <w:tcPr>
            <w:tcW w:w="1960" w:type="dxa"/>
            <w:vAlign w:val="bottom"/>
            <w:shd w:val="clear" w:color="auto" w:fill="F0F7E7"/>
          </w:tcPr>
          <w:p>
            <w:pPr>
              <w:jc w:val="right"/>
              <w:spacing w:after="0"/>
              <w:rPr>
                <w:sz w:val="20"/>
                <w:szCs w:val="20"/>
                <w:color w:val="auto"/>
              </w:rPr>
            </w:pPr>
            <w:r>
              <w:rPr>
                <w:rFonts w:ascii="Arial" w:cs="Arial" w:eastAsia="Arial" w:hAnsi="Arial"/>
                <w:sz w:val="14"/>
                <w:szCs w:val="14"/>
                <w:color w:val="auto"/>
              </w:rPr>
              <w:t>150%</w:t>
            </w:r>
          </w:p>
        </w:tc>
      </w:tr>
      <w:tr>
        <w:trPr>
          <w:trHeight w:val="167"/>
        </w:trPr>
        <w:tc>
          <w:tcPr>
            <w:tcW w:w="3980" w:type="dxa"/>
            <w:vAlign w:val="bottom"/>
            <w:tcBorders>
              <w:bottom w:val="single" w:sz="8" w:color="7CBD3F"/>
            </w:tcBorders>
          </w:tcPr>
          <w:p>
            <w:pPr>
              <w:ind w:left="40"/>
              <w:spacing w:after="0"/>
              <w:rPr>
                <w:sz w:val="20"/>
                <w:szCs w:val="20"/>
                <w:color w:val="auto"/>
              </w:rPr>
            </w:pPr>
            <w:r>
              <w:rPr>
                <w:rFonts w:ascii="Arial" w:cs="Arial" w:eastAsia="Arial" w:hAnsi="Arial"/>
                <w:sz w:val="14"/>
                <w:szCs w:val="14"/>
                <w:color w:val="auto"/>
              </w:rPr>
              <w:t>Maximum</w:t>
            </w:r>
          </w:p>
        </w:tc>
        <w:tc>
          <w:tcPr>
            <w:tcW w:w="5320" w:type="dxa"/>
            <w:vAlign w:val="bottom"/>
            <w:tcBorders>
              <w:bottom w:val="single" w:sz="8" w:color="7CBD3F"/>
            </w:tcBorders>
          </w:tcPr>
          <w:p>
            <w:pPr>
              <w:jc w:val="right"/>
              <w:ind w:right="310"/>
              <w:spacing w:after="0"/>
              <w:rPr>
                <w:sz w:val="20"/>
                <w:szCs w:val="20"/>
                <w:color w:val="auto"/>
              </w:rPr>
            </w:pPr>
            <w:r>
              <w:rPr>
                <w:rFonts w:ascii="Arial" w:cs="Arial" w:eastAsia="Arial" w:hAnsi="Arial"/>
                <w:sz w:val="14"/>
                <w:szCs w:val="14"/>
                <w:color w:val="auto"/>
              </w:rPr>
              <w:t>5 out of 5</w:t>
            </w:r>
          </w:p>
        </w:tc>
        <w:tc>
          <w:tcPr>
            <w:tcW w:w="1960" w:type="dxa"/>
            <w:vAlign w:val="bottom"/>
            <w:tcBorders>
              <w:bottom w:val="single" w:sz="8" w:color="7CBD3F"/>
            </w:tcBorders>
          </w:tcPr>
          <w:p>
            <w:pPr>
              <w:jc w:val="right"/>
              <w:spacing w:after="0"/>
              <w:rPr>
                <w:sz w:val="20"/>
                <w:szCs w:val="20"/>
                <w:color w:val="auto"/>
              </w:rPr>
            </w:pPr>
            <w:r>
              <w:rPr>
                <w:rFonts w:ascii="Arial" w:cs="Arial" w:eastAsia="Arial" w:hAnsi="Arial"/>
                <w:sz w:val="14"/>
                <w:szCs w:val="14"/>
                <w:color w:val="auto"/>
              </w:rPr>
              <w:t>200%</w:t>
            </w:r>
          </w:p>
        </w:tc>
      </w:tr>
    </w:tbl>
    <w:p>
      <w:pPr>
        <w:spacing w:after="0" w:line="151" w:lineRule="exact"/>
        <w:rPr>
          <w:sz w:val="20"/>
          <w:szCs w:val="20"/>
          <w:color w:val="auto"/>
        </w:rPr>
      </w:pPr>
    </w:p>
    <w:p>
      <w:pPr>
        <w:jc w:val="both"/>
        <w:ind w:right="20"/>
        <w:spacing w:after="0" w:line="278" w:lineRule="auto"/>
        <w:rPr>
          <w:sz w:val="20"/>
          <w:szCs w:val="20"/>
          <w:color w:val="auto"/>
        </w:rPr>
      </w:pPr>
      <w:r>
        <w:rPr>
          <w:rFonts w:ascii="Arial" w:cs="Arial" w:eastAsia="Arial" w:hAnsi="Arial"/>
          <w:sz w:val="14"/>
          <w:szCs w:val="14"/>
          <w:color w:val="auto"/>
        </w:rPr>
        <w:t>In February 2025, based on the Company’s achievement of 3.5 out of 5 strategic performance objectives, the Compensation Committee certified that the strategic performance portion of 2023 PSUs were earned at 125% of target, and such earned 2023 PSUs vested on March 1, 2025.</w:t>
      </w:r>
    </w:p>
    <w:p>
      <w:pPr>
        <w:spacing w:after="0" w:line="199" w:lineRule="exact"/>
        <w:rPr>
          <w:sz w:val="20"/>
          <w:szCs w:val="20"/>
          <w:color w:val="auto"/>
        </w:rPr>
      </w:pPr>
    </w:p>
    <w:p>
      <w:pPr>
        <w:spacing w:after="0"/>
        <w:rPr>
          <w:sz w:val="20"/>
          <w:szCs w:val="20"/>
          <w:color w:val="auto"/>
        </w:rPr>
      </w:pPr>
      <w:r>
        <w:rPr>
          <w:rFonts w:ascii="Arial" w:cs="Arial" w:eastAsia="Arial" w:hAnsi="Arial"/>
          <w:sz w:val="19"/>
          <w:szCs w:val="19"/>
          <w:b w:val="1"/>
          <w:bCs w:val="1"/>
          <w:color w:val="7CBD3F"/>
        </w:rPr>
        <w:t>Performance of 2022 PSUs</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The PSU awards granted to our executive officers in March 2022 (2022 PSUs) consisted of a revenue portion with a two-year performance period (80% of the PSUs) and a relative TSR portion with a three-year performance period (20% of the PSUs). In February 2024, based on the Company’s 2022 and 2023 revenue performance measured in accordance with GAAP, the Compensation Committee certified that the threshold level of revenue-based 2022 PSUs had not been achieved and as a result, the revenue-based portion of the 2022 PSUs were forfeited.</w:t>
      </w:r>
    </w:p>
    <w:p>
      <w:pPr>
        <w:spacing w:after="0" w:line="132"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auto"/>
        </w:rPr>
        <w:t xml:space="preserve">ULTRAGENYX PHARMACEUTICAL INC. </w:t>
      </w:r>
      <w:r>
        <w:rPr>
          <w:rFonts w:ascii="Arial" w:cs="Arial" w:eastAsia="Arial" w:hAnsi="Arial"/>
          <w:sz w:val="14"/>
          <w:szCs w:val="14"/>
          <w:color w:val="7CBD3F"/>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2025 Proxy Statement</w:t>
      </w:r>
      <w:r>
        <w:rPr>
          <w:rFonts w:ascii="Arial" w:cs="Arial" w:eastAsia="Arial" w:hAnsi="Arial"/>
          <w:sz w:val="14"/>
          <w:szCs w:val="14"/>
          <w:b w:val="1"/>
          <w:bCs w:val="1"/>
          <w:color w:val="auto"/>
        </w:rPr>
        <w:tab/>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142240</wp:posOffset>
            </wp:positionV>
            <wp:extent cx="7150735"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0735" cy="29845"/>
                    </a:xfrm>
                    <a:prstGeom prst="rect">
                      <a:avLst/>
                    </a:prstGeom>
                    <a:noFill/>
                  </pic:spPr>
                </pic:pic>
              </a:graphicData>
            </a:graphic>
          </wp:anchor>
        </w:drawing>
      </w:r>
    </w:p>
    <w:p>
      <w:pPr>
        <w:sectPr>
          <w:pgSz w:w="11900" w:h="16838" w:orient="portrait"/>
          <w:cols w:equalWidth="0" w:num="1">
            <w:col w:w="11260"/>
          </w:cols>
          <w:pgMar w:left="320" w:top="225" w:right="319" w:bottom="1440" w:gutter="0" w:footer="0" w:header="0"/>
        </w:sectPr>
      </w:pPr>
    </w:p>
    <w:bookmarkStart w:id="50" w:name="page51"/>
    <w:bookmarkEnd w:id="50"/>
    <w:p>
      <w:pPr>
        <w:ind w:left="7"/>
        <w:spacing w:after="0"/>
        <w:rPr>
          <w:sz w:val="20"/>
          <w:szCs w:val="20"/>
          <w:color w:val="auto"/>
        </w:rPr>
      </w:pPr>
      <w:r>
        <w:rPr>
          <w:rFonts w:ascii="Arial" w:cs="Arial" w:eastAsia="Arial" w:hAnsi="Arial"/>
          <w:sz w:val="12"/>
          <w:szCs w:val="12"/>
          <w:b w:val="1"/>
          <w:bCs w:val="1"/>
          <w:u w:val="single" w:color="auto"/>
          <w:color w:val="0000EE"/>
        </w:rPr>
        <w:t>Back to Contents</w:t>
      </w:r>
    </w:p>
    <w:p>
      <w:pPr>
        <w:spacing w:after="0" w:line="149" w:lineRule="exact"/>
        <w:rPr>
          <w:sz w:val="20"/>
          <w:szCs w:val="20"/>
          <w:color w:val="auto"/>
        </w:rPr>
      </w:pPr>
    </w:p>
    <w:p>
      <w:pPr>
        <w:jc w:val="both"/>
        <w:ind w:left="7"/>
        <w:spacing w:after="0" w:line="255" w:lineRule="auto"/>
        <w:rPr>
          <w:sz w:val="20"/>
          <w:szCs w:val="20"/>
          <w:color w:val="auto"/>
        </w:rPr>
      </w:pPr>
      <w:r>
        <w:rPr>
          <w:rFonts w:ascii="Arial" w:cs="Arial" w:eastAsia="Arial" w:hAnsi="Arial"/>
          <w:sz w:val="14"/>
          <w:szCs w:val="14"/>
          <w:color w:val="auto"/>
        </w:rPr>
        <w:t>The relative TSR-based 2022 PSUs vested based upon our TSR performance relative to the TSR of the companies in the Nasdaq Biotechnology Index during the period beginning January 1, 2022 and ending December 31, 2024, with all of the earned relative TSR-based PSUs vesting on the later of (i) the date in which the Compensation Committee certifies such achievement and (ii) March 1, 2025. The relative TSR-based PSUs was earned as follows based on our percentile ranking among the Nasdaq Biotechnology Index during the performance period:</w:t>
      </w:r>
    </w:p>
    <w:p>
      <w:pPr>
        <w:spacing w:after="0" w:line="132" w:lineRule="exact"/>
        <w:rPr>
          <w:sz w:val="20"/>
          <w:szCs w:val="20"/>
          <w:color w:val="auto"/>
        </w:rPr>
      </w:pPr>
    </w:p>
    <w:tbl>
      <w:tblPr>
        <w:tblLayout w:type="fixed"/>
        <w:tblInd w:w="7" w:type="dxa"/>
        <w:tblCellMar>
          <w:top w:w="0" w:type="dxa"/>
          <w:left w:w="0" w:type="dxa"/>
          <w:bottom w:w="0" w:type="dxa"/>
          <w:right w:w="0" w:type="dxa"/>
        </w:tblCellMar>
      </w:tblPr>
      <w:tr>
        <w:trPr>
          <w:trHeight w:val="179"/>
        </w:trPr>
        <w:tc>
          <w:tcPr>
            <w:tcW w:w="4460" w:type="dxa"/>
            <w:vAlign w:val="bottom"/>
            <w:tcBorders>
              <w:bottom w:val="single" w:sz="8" w:color="7CBD3F"/>
            </w:tcBorders>
          </w:tcPr>
          <w:p>
            <w:pPr>
              <w:ind w:left="40"/>
              <w:spacing w:after="0"/>
              <w:rPr>
                <w:sz w:val="20"/>
                <w:szCs w:val="20"/>
                <w:color w:val="auto"/>
              </w:rPr>
            </w:pPr>
            <w:r>
              <w:rPr>
                <w:rFonts w:ascii="Arial" w:cs="Arial" w:eastAsia="Arial" w:hAnsi="Arial"/>
                <w:sz w:val="14"/>
                <w:szCs w:val="14"/>
                <w:b w:val="1"/>
                <w:bCs w:val="1"/>
                <w:color w:val="auto"/>
              </w:rPr>
              <w:t>Level of Performance</w:t>
            </w:r>
          </w:p>
        </w:tc>
        <w:tc>
          <w:tcPr>
            <w:tcW w:w="4760" w:type="dxa"/>
            <w:vAlign w:val="bottom"/>
            <w:tcBorders>
              <w:bottom w:val="single" w:sz="8" w:color="7CBD3F"/>
            </w:tcBorders>
          </w:tcPr>
          <w:p>
            <w:pPr>
              <w:jc w:val="right"/>
              <w:ind w:right="717"/>
              <w:spacing w:after="0"/>
              <w:rPr>
                <w:sz w:val="20"/>
                <w:szCs w:val="20"/>
                <w:color w:val="auto"/>
              </w:rPr>
            </w:pPr>
            <w:r>
              <w:rPr>
                <w:rFonts w:ascii="Arial" w:cs="Arial" w:eastAsia="Arial" w:hAnsi="Arial"/>
                <w:sz w:val="14"/>
                <w:szCs w:val="14"/>
                <w:b w:val="1"/>
                <w:bCs w:val="1"/>
                <w:color w:val="auto"/>
              </w:rPr>
              <w:t>TSR Percentile</w:t>
            </w:r>
          </w:p>
        </w:tc>
        <w:tc>
          <w:tcPr>
            <w:tcW w:w="2040" w:type="dxa"/>
            <w:vAlign w:val="bottom"/>
            <w:tcBorders>
              <w:bottom w:val="single" w:sz="8" w:color="7CBD3F"/>
            </w:tcBorders>
          </w:tcPr>
          <w:p>
            <w:pPr>
              <w:jc w:val="right"/>
              <w:spacing w:after="0"/>
              <w:rPr>
                <w:sz w:val="20"/>
                <w:szCs w:val="20"/>
                <w:color w:val="auto"/>
              </w:rPr>
            </w:pPr>
            <w:r>
              <w:rPr>
                <w:rFonts w:ascii="Arial" w:cs="Arial" w:eastAsia="Arial" w:hAnsi="Arial"/>
                <w:sz w:val="14"/>
                <w:szCs w:val="14"/>
                <w:b w:val="1"/>
                <w:bCs w:val="1"/>
                <w:color w:val="auto"/>
              </w:rPr>
              <w:t>Earned TSR PSUs</w:t>
            </w:r>
          </w:p>
        </w:tc>
      </w:tr>
      <w:tr>
        <w:trPr>
          <w:trHeight w:val="198"/>
        </w:trPr>
        <w:tc>
          <w:tcPr>
            <w:tcW w:w="4460" w:type="dxa"/>
            <w:vAlign w:val="bottom"/>
          </w:tcPr>
          <w:p>
            <w:pPr>
              <w:ind w:left="40"/>
              <w:spacing w:after="0"/>
              <w:rPr>
                <w:sz w:val="20"/>
                <w:szCs w:val="20"/>
                <w:color w:val="auto"/>
              </w:rPr>
            </w:pPr>
            <w:r>
              <w:rPr>
                <w:rFonts w:ascii="Arial" w:cs="Arial" w:eastAsia="Arial" w:hAnsi="Arial"/>
                <w:sz w:val="14"/>
                <w:szCs w:val="14"/>
                <w:color w:val="auto"/>
              </w:rPr>
              <w:t>Threshold</w:t>
            </w:r>
          </w:p>
        </w:tc>
        <w:tc>
          <w:tcPr>
            <w:tcW w:w="4760" w:type="dxa"/>
            <w:vAlign w:val="bottom"/>
          </w:tcPr>
          <w:p>
            <w:pPr>
              <w:jc w:val="right"/>
              <w:ind w:right="717"/>
              <w:spacing w:after="0" w:line="199" w:lineRule="exact"/>
              <w:rPr>
                <w:sz w:val="20"/>
                <w:szCs w:val="20"/>
                <w:color w:val="auto"/>
              </w:rPr>
            </w:pPr>
            <w:r>
              <w:rPr>
                <w:rFonts w:ascii="Arial" w:cs="Arial" w:eastAsia="Arial" w:hAnsi="Arial"/>
                <w:sz w:val="13"/>
                <w:szCs w:val="13"/>
                <w:color w:val="auto"/>
              </w:rPr>
              <w:t>25</w:t>
            </w:r>
            <w:r>
              <w:rPr>
                <w:rFonts w:ascii="Arial" w:cs="Arial" w:eastAsia="Arial" w:hAnsi="Arial"/>
                <w:sz w:val="22"/>
                <w:szCs w:val="22"/>
                <w:color w:val="auto"/>
                <w:vertAlign w:val="superscript"/>
              </w:rPr>
              <w:t>th</w:t>
            </w:r>
          </w:p>
        </w:tc>
        <w:tc>
          <w:tcPr>
            <w:tcW w:w="2040" w:type="dxa"/>
            <w:vAlign w:val="bottom"/>
          </w:tcPr>
          <w:p>
            <w:pPr>
              <w:jc w:val="right"/>
              <w:spacing w:after="0"/>
              <w:rPr>
                <w:sz w:val="20"/>
                <w:szCs w:val="20"/>
                <w:color w:val="auto"/>
              </w:rPr>
            </w:pPr>
            <w:r>
              <w:rPr>
                <w:rFonts w:ascii="Arial" w:cs="Arial" w:eastAsia="Arial" w:hAnsi="Arial"/>
                <w:sz w:val="14"/>
                <w:szCs w:val="14"/>
                <w:color w:val="auto"/>
              </w:rPr>
              <w:t>25%</w:t>
            </w:r>
          </w:p>
        </w:tc>
      </w:tr>
      <w:tr>
        <w:trPr>
          <w:trHeight w:val="198"/>
        </w:trPr>
        <w:tc>
          <w:tcPr>
            <w:tcW w:w="4460" w:type="dxa"/>
            <w:vAlign w:val="bottom"/>
            <w:shd w:val="clear" w:color="auto" w:fill="F0F7E7"/>
          </w:tcPr>
          <w:p>
            <w:pPr>
              <w:ind w:left="40"/>
              <w:spacing w:after="0"/>
              <w:rPr>
                <w:sz w:val="20"/>
                <w:szCs w:val="20"/>
                <w:color w:val="auto"/>
              </w:rPr>
            </w:pPr>
            <w:r>
              <w:rPr>
                <w:rFonts w:ascii="Arial" w:cs="Arial" w:eastAsia="Arial" w:hAnsi="Arial"/>
                <w:sz w:val="14"/>
                <w:szCs w:val="14"/>
                <w:color w:val="auto"/>
              </w:rPr>
              <w:t>Target</w:t>
            </w:r>
          </w:p>
        </w:tc>
        <w:tc>
          <w:tcPr>
            <w:tcW w:w="4760" w:type="dxa"/>
            <w:vAlign w:val="bottom"/>
            <w:shd w:val="clear" w:color="auto" w:fill="F0F7E7"/>
          </w:tcPr>
          <w:p>
            <w:pPr>
              <w:jc w:val="right"/>
              <w:ind w:right="717"/>
              <w:spacing w:after="0" w:line="199" w:lineRule="exact"/>
              <w:rPr>
                <w:sz w:val="20"/>
                <w:szCs w:val="20"/>
                <w:color w:val="auto"/>
              </w:rPr>
            </w:pPr>
            <w:r>
              <w:rPr>
                <w:rFonts w:ascii="Arial" w:cs="Arial" w:eastAsia="Arial" w:hAnsi="Arial"/>
                <w:sz w:val="13"/>
                <w:szCs w:val="13"/>
                <w:color w:val="auto"/>
              </w:rPr>
              <w:t>50</w:t>
            </w:r>
            <w:r>
              <w:rPr>
                <w:rFonts w:ascii="Arial" w:cs="Arial" w:eastAsia="Arial" w:hAnsi="Arial"/>
                <w:sz w:val="22"/>
                <w:szCs w:val="22"/>
                <w:color w:val="auto"/>
                <w:vertAlign w:val="superscript"/>
              </w:rPr>
              <w:t>th</w:t>
            </w:r>
          </w:p>
        </w:tc>
        <w:tc>
          <w:tcPr>
            <w:tcW w:w="2040" w:type="dxa"/>
            <w:vAlign w:val="bottom"/>
            <w:shd w:val="clear" w:color="auto" w:fill="F0F7E7"/>
          </w:tcPr>
          <w:p>
            <w:pPr>
              <w:jc w:val="right"/>
              <w:spacing w:after="0"/>
              <w:rPr>
                <w:sz w:val="20"/>
                <w:szCs w:val="20"/>
                <w:color w:val="auto"/>
              </w:rPr>
            </w:pPr>
            <w:r>
              <w:rPr>
                <w:rFonts w:ascii="Arial" w:cs="Arial" w:eastAsia="Arial" w:hAnsi="Arial"/>
                <w:sz w:val="14"/>
                <w:szCs w:val="14"/>
                <w:color w:val="auto"/>
              </w:rPr>
              <w:t>100%</w:t>
            </w:r>
          </w:p>
        </w:tc>
      </w:tr>
      <w:tr>
        <w:trPr>
          <w:trHeight w:val="198"/>
        </w:trPr>
        <w:tc>
          <w:tcPr>
            <w:tcW w:w="4460" w:type="dxa"/>
            <w:vAlign w:val="bottom"/>
          </w:tcPr>
          <w:p>
            <w:pPr>
              <w:ind w:left="40"/>
              <w:spacing w:after="0"/>
              <w:rPr>
                <w:sz w:val="20"/>
                <w:szCs w:val="20"/>
                <w:color w:val="auto"/>
              </w:rPr>
            </w:pPr>
            <w:r>
              <w:rPr>
                <w:rFonts w:ascii="Arial" w:cs="Arial" w:eastAsia="Arial" w:hAnsi="Arial"/>
                <w:sz w:val="14"/>
                <w:szCs w:val="14"/>
                <w:b w:val="1"/>
                <w:bCs w:val="1"/>
                <w:color w:val="auto"/>
              </w:rPr>
              <w:t>Actual</w:t>
            </w:r>
          </w:p>
        </w:tc>
        <w:tc>
          <w:tcPr>
            <w:tcW w:w="4760" w:type="dxa"/>
            <w:vAlign w:val="bottom"/>
          </w:tcPr>
          <w:p>
            <w:pPr>
              <w:jc w:val="right"/>
              <w:ind w:right="717"/>
              <w:spacing w:after="0" w:line="199" w:lineRule="exact"/>
              <w:rPr>
                <w:sz w:val="20"/>
                <w:szCs w:val="20"/>
                <w:color w:val="auto"/>
              </w:rPr>
            </w:pPr>
            <w:r>
              <w:rPr>
                <w:rFonts w:ascii="Arial" w:cs="Arial" w:eastAsia="Arial" w:hAnsi="Arial"/>
                <w:sz w:val="13"/>
                <w:szCs w:val="13"/>
                <w:b w:val="1"/>
                <w:bCs w:val="1"/>
                <w:color w:val="auto"/>
              </w:rPr>
              <w:t>62</w:t>
            </w:r>
            <w:r>
              <w:rPr>
                <w:rFonts w:ascii="Arial" w:cs="Arial" w:eastAsia="Arial" w:hAnsi="Arial"/>
                <w:sz w:val="22"/>
                <w:szCs w:val="22"/>
                <w:b w:val="1"/>
                <w:bCs w:val="1"/>
                <w:color w:val="auto"/>
                <w:vertAlign w:val="superscript"/>
              </w:rPr>
              <w:t>nd</w:t>
            </w:r>
          </w:p>
        </w:tc>
        <w:tc>
          <w:tcPr>
            <w:tcW w:w="2040" w:type="dxa"/>
            <w:vAlign w:val="bottom"/>
          </w:tcPr>
          <w:p>
            <w:pPr>
              <w:jc w:val="right"/>
              <w:spacing w:after="0"/>
              <w:rPr>
                <w:sz w:val="20"/>
                <w:szCs w:val="20"/>
                <w:color w:val="auto"/>
              </w:rPr>
            </w:pPr>
            <w:r>
              <w:rPr>
                <w:rFonts w:ascii="Arial" w:cs="Arial" w:eastAsia="Arial" w:hAnsi="Arial"/>
                <w:sz w:val="14"/>
                <w:szCs w:val="14"/>
                <w:b w:val="1"/>
                <w:bCs w:val="1"/>
                <w:color w:val="auto"/>
              </w:rPr>
              <w:t>124%</w:t>
            </w:r>
          </w:p>
        </w:tc>
      </w:tr>
      <w:tr>
        <w:trPr>
          <w:trHeight w:val="198"/>
        </w:trPr>
        <w:tc>
          <w:tcPr>
            <w:tcW w:w="4460" w:type="dxa"/>
            <w:vAlign w:val="bottom"/>
            <w:shd w:val="clear" w:color="auto" w:fill="F0F7E7"/>
          </w:tcPr>
          <w:p>
            <w:pPr>
              <w:ind w:left="40"/>
              <w:spacing w:after="0"/>
              <w:rPr>
                <w:sz w:val="20"/>
                <w:szCs w:val="20"/>
                <w:color w:val="auto"/>
              </w:rPr>
            </w:pPr>
            <w:r>
              <w:rPr>
                <w:rFonts w:ascii="Arial" w:cs="Arial" w:eastAsia="Arial" w:hAnsi="Arial"/>
                <w:sz w:val="14"/>
                <w:szCs w:val="14"/>
                <w:color w:val="auto"/>
              </w:rPr>
              <w:t>Stretch</w:t>
            </w:r>
          </w:p>
        </w:tc>
        <w:tc>
          <w:tcPr>
            <w:tcW w:w="4760" w:type="dxa"/>
            <w:vAlign w:val="bottom"/>
            <w:shd w:val="clear" w:color="auto" w:fill="F0F7E7"/>
          </w:tcPr>
          <w:p>
            <w:pPr>
              <w:jc w:val="right"/>
              <w:ind w:right="717"/>
              <w:spacing w:after="0" w:line="199" w:lineRule="exact"/>
              <w:rPr>
                <w:sz w:val="20"/>
                <w:szCs w:val="20"/>
                <w:color w:val="auto"/>
              </w:rPr>
            </w:pPr>
            <w:r>
              <w:rPr>
                <w:rFonts w:ascii="Arial" w:cs="Arial" w:eastAsia="Arial" w:hAnsi="Arial"/>
                <w:sz w:val="22"/>
                <w:szCs w:val="22"/>
                <w:color w:val="auto"/>
                <w:vertAlign w:val="subscript"/>
              </w:rPr>
              <w:t>75</w:t>
            </w:r>
            <w:r>
              <w:rPr>
                <w:rFonts w:ascii="Arial" w:cs="Arial" w:eastAsia="Arial" w:hAnsi="Arial"/>
                <w:sz w:val="10"/>
                <w:szCs w:val="10"/>
                <w:color w:val="auto"/>
              </w:rPr>
              <w:t>th</w:t>
            </w:r>
          </w:p>
        </w:tc>
        <w:tc>
          <w:tcPr>
            <w:tcW w:w="2040" w:type="dxa"/>
            <w:vAlign w:val="bottom"/>
            <w:shd w:val="clear" w:color="auto" w:fill="F0F7E7"/>
          </w:tcPr>
          <w:p>
            <w:pPr>
              <w:jc w:val="right"/>
              <w:spacing w:after="0"/>
              <w:rPr>
                <w:sz w:val="20"/>
                <w:szCs w:val="20"/>
                <w:color w:val="auto"/>
              </w:rPr>
            </w:pPr>
            <w:r>
              <w:rPr>
                <w:rFonts w:ascii="Arial" w:cs="Arial" w:eastAsia="Arial" w:hAnsi="Arial"/>
                <w:sz w:val="14"/>
                <w:szCs w:val="14"/>
                <w:color w:val="auto"/>
              </w:rPr>
              <w:t>150%</w:t>
            </w:r>
          </w:p>
        </w:tc>
      </w:tr>
      <w:tr>
        <w:trPr>
          <w:trHeight w:val="201"/>
        </w:trPr>
        <w:tc>
          <w:tcPr>
            <w:tcW w:w="4460" w:type="dxa"/>
            <w:vAlign w:val="bottom"/>
            <w:tcBorders>
              <w:bottom w:val="single" w:sz="8" w:color="7CBD3F"/>
            </w:tcBorders>
          </w:tcPr>
          <w:p>
            <w:pPr>
              <w:ind w:left="40"/>
              <w:spacing w:after="0"/>
              <w:rPr>
                <w:sz w:val="20"/>
                <w:szCs w:val="20"/>
                <w:color w:val="auto"/>
              </w:rPr>
            </w:pPr>
            <w:r>
              <w:rPr>
                <w:rFonts w:ascii="Arial" w:cs="Arial" w:eastAsia="Arial" w:hAnsi="Arial"/>
                <w:sz w:val="14"/>
                <w:szCs w:val="14"/>
                <w:color w:val="auto"/>
              </w:rPr>
              <w:t>Maximum</w:t>
            </w:r>
          </w:p>
        </w:tc>
        <w:tc>
          <w:tcPr>
            <w:tcW w:w="4760" w:type="dxa"/>
            <w:vAlign w:val="bottom"/>
            <w:tcBorders>
              <w:bottom w:val="single" w:sz="8" w:color="7CBD3F"/>
            </w:tcBorders>
          </w:tcPr>
          <w:p>
            <w:pPr>
              <w:jc w:val="right"/>
              <w:ind w:right="717"/>
              <w:spacing w:after="0" w:line="199" w:lineRule="exact"/>
              <w:rPr>
                <w:sz w:val="20"/>
                <w:szCs w:val="20"/>
                <w:color w:val="auto"/>
              </w:rPr>
            </w:pPr>
            <w:r>
              <w:rPr>
                <w:rFonts w:ascii="Arial" w:cs="Arial" w:eastAsia="Arial" w:hAnsi="Arial"/>
                <w:sz w:val="22"/>
                <w:szCs w:val="22"/>
                <w:color w:val="auto"/>
                <w:vertAlign w:val="subscript"/>
              </w:rPr>
              <w:t>90</w:t>
            </w:r>
            <w:r>
              <w:rPr>
                <w:rFonts w:ascii="Arial" w:cs="Arial" w:eastAsia="Arial" w:hAnsi="Arial"/>
                <w:sz w:val="10"/>
                <w:szCs w:val="10"/>
                <w:color w:val="auto"/>
              </w:rPr>
              <w:t>th</w:t>
            </w:r>
          </w:p>
        </w:tc>
        <w:tc>
          <w:tcPr>
            <w:tcW w:w="2040" w:type="dxa"/>
            <w:vAlign w:val="bottom"/>
            <w:tcBorders>
              <w:bottom w:val="single" w:sz="8" w:color="7CBD3F"/>
            </w:tcBorders>
          </w:tcPr>
          <w:p>
            <w:pPr>
              <w:jc w:val="right"/>
              <w:spacing w:after="0"/>
              <w:rPr>
                <w:sz w:val="20"/>
                <w:szCs w:val="20"/>
                <w:color w:val="auto"/>
              </w:rPr>
            </w:pPr>
            <w:r>
              <w:rPr>
                <w:rFonts w:ascii="Arial" w:cs="Arial" w:eastAsia="Arial" w:hAnsi="Arial"/>
                <w:sz w:val="14"/>
                <w:szCs w:val="14"/>
                <w:color w:val="auto"/>
              </w:rPr>
              <w:t>200%</w:t>
            </w:r>
          </w:p>
        </w:tc>
      </w:tr>
    </w:tbl>
    <w:p>
      <w:pPr>
        <w:spacing w:after="0" w:line="153" w:lineRule="exact"/>
        <w:rPr>
          <w:sz w:val="20"/>
          <w:szCs w:val="20"/>
          <w:color w:val="auto"/>
        </w:rPr>
      </w:pPr>
    </w:p>
    <w:p>
      <w:pPr>
        <w:jc w:val="both"/>
        <w:ind w:left="7" w:right="20"/>
        <w:spacing w:after="0" w:line="214" w:lineRule="auto"/>
        <w:rPr>
          <w:sz w:val="20"/>
          <w:szCs w:val="20"/>
          <w:color w:val="auto"/>
        </w:rPr>
      </w:pPr>
      <w:r>
        <w:rPr>
          <w:rFonts w:ascii="Arial" w:cs="Arial" w:eastAsia="Arial" w:hAnsi="Arial"/>
          <w:sz w:val="14"/>
          <w:szCs w:val="14"/>
          <w:color w:val="auto"/>
        </w:rPr>
        <w:t>Based on the Company’s ranking relative to the TSR of the companies in the Nasdaq Biotechnology Index of the 62</w:t>
      </w:r>
      <w:r>
        <w:rPr>
          <w:rFonts w:ascii="Arial" w:cs="Arial" w:eastAsia="Arial" w:hAnsi="Arial"/>
          <w:sz w:val="23"/>
          <w:szCs w:val="23"/>
          <w:color w:val="auto"/>
          <w:vertAlign w:val="superscript"/>
        </w:rPr>
        <w:t>nd</w:t>
      </w:r>
      <w:r>
        <w:rPr>
          <w:rFonts w:ascii="Arial" w:cs="Arial" w:eastAsia="Arial" w:hAnsi="Arial"/>
          <w:sz w:val="14"/>
          <w:szCs w:val="14"/>
          <w:color w:val="auto"/>
        </w:rPr>
        <w:t xml:space="preserve"> percentile during the performance period, in February 2025, the Compensation Committee certified that the relative TSR-based 2022 PSUs were earned at 124% of target, and such earned 2022 PSUs vested on March 1, 2025.</w:t>
      </w:r>
    </w:p>
    <w:p>
      <w:pPr>
        <w:spacing w:after="0" w:line="298" w:lineRule="exact"/>
        <w:rPr>
          <w:sz w:val="20"/>
          <w:szCs w:val="20"/>
          <w:color w:val="auto"/>
        </w:rPr>
      </w:pPr>
    </w:p>
    <w:p>
      <w:pPr>
        <w:ind w:left="7"/>
        <w:spacing w:after="0"/>
        <w:rPr>
          <w:sz w:val="20"/>
          <w:szCs w:val="20"/>
          <w:color w:val="auto"/>
        </w:rPr>
      </w:pPr>
      <w:r>
        <w:rPr>
          <w:rFonts w:ascii="Arial" w:cs="Arial" w:eastAsia="Arial" w:hAnsi="Arial"/>
          <w:sz w:val="22"/>
          <w:szCs w:val="22"/>
          <w:b w:val="1"/>
          <w:bCs w:val="1"/>
          <w:color w:val="auto"/>
        </w:rPr>
        <w:t>Fiscal 2025 Compensation</w:t>
      </w:r>
    </w:p>
    <w:p>
      <w:pPr>
        <w:spacing w:after="0" w:line="210" w:lineRule="exact"/>
        <w:rPr>
          <w:sz w:val="20"/>
          <w:szCs w:val="20"/>
          <w:color w:val="auto"/>
        </w:rPr>
      </w:pPr>
    </w:p>
    <w:p>
      <w:pPr>
        <w:ind w:left="7"/>
        <w:spacing w:after="0"/>
        <w:rPr>
          <w:sz w:val="20"/>
          <w:szCs w:val="20"/>
          <w:color w:val="auto"/>
        </w:rPr>
      </w:pPr>
      <w:r>
        <w:rPr>
          <w:rFonts w:ascii="Arial" w:cs="Arial" w:eastAsia="Arial" w:hAnsi="Arial"/>
          <w:sz w:val="19"/>
          <w:szCs w:val="19"/>
          <w:b w:val="1"/>
          <w:bCs w:val="1"/>
          <w:color w:val="7CBD3F"/>
        </w:rPr>
        <w:t>Peer Group</w:t>
      </w:r>
    </w:p>
    <w:p>
      <w:pPr>
        <w:spacing w:after="0" w:line="166" w:lineRule="exact"/>
        <w:rPr>
          <w:sz w:val="20"/>
          <w:szCs w:val="20"/>
          <w:color w:val="auto"/>
        </w:rPr>
      </w:pPr>
    </w:p>
    <w:p>
      <w:pPr>
        <w:jc w:val="both"/>
        <w:ind w:left="7"/>
        <w:spacing w:after="0" w:line="260" w:lineRule="auto"/>
        <w:rPr>
          <w:sz w:val="20"/>
          <w:szCs w:val="20"/>
          <w:color w:val="auto"/>
        </w:rPr>
      </w:pPr>
      <w:r>
        <w:rPr>
          <w:rFonts w:ascii="Arial" w:cs="Arial" w:eastAsia="Arial" w:hAnsi="Arial"/>
          <w:sz w:val="14"/>
          <w:szCs w:val="14"/>
          <w:color w:val="auto"/>
        </w:rPr>
        <w:t>The Compensation Committee reviews our list of peer companies annually to determine if revisions are needed to reflect changes in our development status, market capitalization, changes in individual peer companies, and other factors. The Compensation Committee engaged Aon to assist in reviewing our peer group and in suggesting revisions, as appropriate.</w:t>
      </w:r>
    </w:p>
    <w:p>
      <w:pPr>
        <w:spacing w:after="0" w:line="130" w:lineRule="exact"/>
        <w:rPr>
          <w:sz w:val="20"/>
          <w:szCs w:val="20"/>
          <w:color w:val="auto"/>
        </w:rPr>
      </w:pPr>
    </w:p>
    <w:p>
      <w:pPr>
        <w:jc w:val="both"/>
        <w:ind w:left="7" w:right="20"/>
        <w:spacing w:after="0" w:line="278" w:lineRule="auto"/>
        <w:rPr>
          <w:sz w:val="20"/>
          <w:szCs w:val="20"/>
          <w:color w:val="auto"/>
        </w:rPr>
      </w:pPr>
      <w:r>
        <w:rPr>
          <w:rFonts w:ascii="Arial" w:cs="Arial" w:eastAsia="Arial" w:hAnsi="Arial"/>
          <w:sz w:val="14"/>
          <w:szCs w:val="14"/>
          <w:color w:val="auto"/>
        </w:rPr>
        <w:t>Based on Aon’s assessment and recommendations, the Compensation Committee selected 20 publicly traded companies in the pharmaceutical and biotechnology industries to serve as our new list of peer companies for 2025, referred to as our 2025 peer group, by balancing the following criteria:</w:t>
      </w:r>
    </w:p>
    <w:p>
      <w:pPr>
        <w:spacing w:after="0" w:line="117" w:lineRule="exact"/>
        <w:rPr>
          <w:sz w:val="20"/>
          <w:szCs w:val="20"/>
          <w:color w:val="auto"/>
        </w:rPr>
      </w:pPr>
    </w:p>
    <w:p>
      <w:pPr>
        <w:ind w:left="147" w:hanging="147"/>
        <w:spacing w:after="0"/>
        <w:tabs>
          <w:tab w:leader="none" w:pos="147" w:val="left"/>
        </w:tabs>
        <w:numPr>
          <w:ilvl w:val="0"/>
          <w:numId w:val="31"/>
        </w:numPr>
        <w:rPr>
          <w:rFonts w:ascii="Arial" w:cs="Arial" w:eastAsia="Arial" w:hAnsi="Arial"/>
          <w:sz w:val="14"/>
          <w:szCs w:val="14"/>
          <w:color w:val="7CBD3F"/>
        </w:rPr>
      </w:pPr>
      <w:r>
        <w:rPr>
          <w:rFonts w:ascii="Arial" w:cs="Arial" w:eastAsia="Arial" w:hAnsi="Arial"/>
          <w:sz w:val="14"/>
          <w:szCs w:val="14"/>
          <w:color w:val="auto"/>
        </w:rPr>
        <w:t>companies with emphasis on orphan pharmaceutical products;</w:t>
      </w:r>
    </w:p>
    <w:p>
      <w:pPr>
        <w:spacing w:after="0" w:line="72" w:lineRule="exact"/>
        <w:rPr>
          <w:rFonts w:ascii="Arial" w:cs="Arial" w:eastAsia="Arial" w:hAnsi="Arial"/>
          <w:sz w:val="14"/>
          <w:szCs w:val="14"/>
          <w:color w:val="7CBD3F"/>
        </w:rPr>
      </w:pPr>
    </w:p>
    <w:p>
      <w:pPr>
        <w:ind w:left="147" w:hanging="147"/>
        <w:spacing w:after="0"/>
        <w:tabs>
          <w:tab w:leader="none" w:pos="147" w:val="left"/>
        </w:tabs>
        <w:numPr>
          <w:ilvl w:val="0"/>
          <w:numId w:val="31"/>
        </w:numPr>
        <w:rPr>
          <w:rFonts w:ascii="Arial" w:cs="Arial" w:eastAsia="Arial" w:hAnsi="Arial"/>
          <w:sz w:val="14"/>
          <w:szCs w:val="14"/>
          <w:color w:val="7CBD3F"/>
        </w:rPr>
      </w:pPr>
      <w:r>
        <w:rPr>
          <w:rFonts w:ascii="Arial" w:cs="Arial" w:eastAsia="Arial" w:hAnsi="Arial"/>
          <w:sz w:val="14"/>
          <w:szCs w:val="14"/>
          <w:color w:val="auto"/>
        </w:rPr>
        <w:t>companies with comparable market capitalizations (i.e., in the range of $2 billion to $14 billion);</w:t>
      </w:r>
    </w:p>
    <w:p>
      <w:pPr>
        <w:spacing w:after="0" w:line="72" w:lineRule="exact"/>
        <w:rPr>
          <w:rFonts w:ascii="Arial" w:cs="Arial" w:eastAsia="Arial" w:hAnsi="Arial"/>
          <w:sz w:val="14"/>
          <w:szCs w:val="14"/>
          <w:color w:val="7CBD3F"/>
        </w:rPr>
      </w:pPr>
    </w:p>
    <w:p>
      <w:pPr>
        <w:ind w:left="147" w:hanging="147"/>
        <w:spacing w:after="0"/>
        <w:tabs>
          <w:tab w:leader="none" w:pos="147" w:val="left"/>
        </w:tabs>
        <w:numPr>
          <w:ilvl w:val="0"/>
          <w:numId w:val="31"/>
        </w:numPr>
        <w:rPr>
          <w:rFonts w:ascii="Arial" w:cs="Arial" w:eastAsia="Arial" w:hAnsi="Arial"/>
          <w:sz w:val="14"/>
          <w:szCs w:val="14"/>
          <w:color w:val="7CBD3F"/>
        </w:rPr>
      </w:pPr>
      <w:r>
        <w:rPr>
          <w:rFonts w:ascii="Arial" w:cs="Arial" w:eastAsia="Arial" w:hAnsi="Arial"/>
          <w:sz w:val="14"/>
          <w:szCs w:val="14"/>
          <w:color w:val="auto"/>
        </w:rPr>
        <w:t>companies with revenue of between $250 million and $1.6 billion; and</w:t>
      </w:r>
    </w:p>
    <w:p>
      <w:pPr>
        <w:spacing w:after="0" w:line="72" w:lineRule="exact"/>
        <w:rPr>
          <w:rFonts w:ascii="Arial" w:cs="Arial" w:eastAsia="Arial" w:hAnsi="Arial"/>
          <w:sz w:val="14"/>
          <w:szCs w:val="14"/>
          <w:color w:val="7CBD3F"/>
        </w:rPr>
      </w:pPr>
    </w:p>
    <w:p>
      <w:pPr>
        <w:ind w:left="147" w:hanging="147"/>
        <w:spacing w:after="0"/>
        <w:tabs>
          <w:tab w:leader="none" w:pos="147" w:val="left"/>
        </w:tabs>
        <w:numPr>
          <w:ilvl w:val="0"/>
          <w:numId w:val="31"/>
        </w:numPr>
        <w:rPr>
          <w:rFonts w:ascii="Arial" w:cs="Arial" w:eastAsia="Arial" w:hAnsi="Arial"/>
          <w:sz w:val="14"/>
          <w:szCs w:val="14"/>
          <w:color w:val="7CBD3F"/>
        </w:rPr>
      </w:pPr>
      <w:r>
        <w:rPr>
          <w:rFonts w:ascii="Arial" w:cs="Arial" w:eastAsia="Arial" w:hAnsi="Arial"/>
          <w:sz w:val="14"/>
          <w:szCs w:val="14"/>
          <w:color w:val="auto"/>
        </w:rPr>
        <w:t>companies with headcounts between 300 to 4,000 employees.</w:t>
      </w:r>
    </w:p>
    <w:p>
      <w:pPr>
        <w:spacing w:after="0" w:line="165" w:lineRule="exact"/>
        <w:rPr>
          <w:sz w:val="20"/>
          <w:szCs w:val="20"/>
          <w:color w:val="auto"/>
        </w:rPr>
      </w:pPr>
    </w:p>
    <w:p>
      <w:pPr>
        <w:jc w:val="both"/>
        <w:ind w:left="7" w:right="20"/>
        <w:spacing w:after="0" w:line="260" w:lineRule="auto"/>
        <w:rPr>
          <w:sz w:val="20"/>
          <w:szCs w:val="20"/>
          <w:color w:val="auto"/>
        </w:rPr>
      </w:pPr>
      <w:r>
        <w:rPr>
          <w:rFonts w:ascii="Arial" w:cs="Arial" w:eastAsia="Arial" w:hAnsi="Arial"/>
          <w:sz w:val="14"/>
          <w:szCs w:val="14"/>
          <w:color w:val="auto"/>
        </w:rPr>
        <w:t>Our 2025 peer group is comprised of the following 19 companies in the pharmaceutical and biotechnology industries, reflecting the addition of Axsome Therapeutics, Inc., Denali Therapeutics Inc. and Vericel Corporation and the removal of BioCryst Biopharmaceuticals, Inc., FibroGen, Inc. and Sage Therapeutics, Inc. from our 2024 peer group due to misalignment with our market capitalization and the removal of BioMarin Biopharmaceutical Inc. who exceeded our market capitalization and revenue ranges.</w:t>
      </w:r>
    </w:p>
    <w:p>
      <w:pPr>
        <w:spacing w:after="0" w:line="122" w:lineRule="exact"/>
        <w:rPr>
          <w:sz w:val="20"/>
          <w:szCs w:val="20"/>
          <w:color w:val="auto"/>
        </w:rPr>
      </w:pPr>
    </w:p>
    <w:tbl>
      <w:tblPr>
        <w:tblLayout w:type="fixed"/>
        <w:tblInd w:w="7" w:type="dxa"/>
        <w:tblCellMar>
          <w:top w:w="0" w:type="dxa"/>
          <w:left w:w="0" w:type="dxa"/>
          <w:bottom w:w="0" w:type="dxa"/>
          <w:right w:w="0" w:type="dxa"/>
        </w:tblCellMar>
      </w:tblPr>
      <w:tr>
        <w:trPr>
          <w:trHeight w:val="187"/>
        </w:trPr>
        <w:tc>
          <w:tcPr>
            <w:tcW w:w="2920" w:type="dxa"/>
            <w:vAlign w:val="bottom"/>
            <w:tcBorders>
              <w:top w:val="single" w:sz="8" w:color="7CBD3F"/>
            </w:tcBorders>
          </w:tcPr>
          <w:p>
            <w:pPr>
              <w:ind w:left="40"/>
              <w:spacing w:after="0"/>
              <w:rPr>
                <w:sz w:val="20"/>
                <w:szCs w:val="20"/>
                <w:color w:val="auto"/>
              </w:rPr>
            </w:pPr>
            <w:r>
              <w:rPr>
                <w:rFonts w:ascii="Arial" w:cs="Arial" w:eastAsia="Arial" w:hAnsi="Arial"/>
                <w:sz w:val="14"/>
                <w:szCs w:val="14"/>
                <w:color w:val="auto"/>
              </w:rPr>
              <w:t>ACADIA Pharmaceuticals Inc.</w:t>
            </w:r>
          </w:p>
        </w:tc>
        <w:tc>
          <w:tcPr>
            <w:tcW w:w="3680" w:type="dxa"/>
            <w:vAlign w:val="bottom"/>
            <w:tcBorders>
              <w:top w:val="single" w:sz="8" w:color="7CBD3F"/>
            </w:tcBorders>
          </w:tcPr>
          <w:p>
            <w:pPr>
              <w:ind w:left="900"/>
              <w:spacing w:after="0"/>
              <w:rPr>
                <w:sz w:val="20"/>
                <w:szCs w:val="20"/>
                <w:color w:val="auto"/>
              </w:rPr>
            </w:pPr>
            <w:r>
              <w:rPr>
                <w:rFonts w:ascii="Arial" w:cs="Arial" w:eastAsia="Arial" w:hAnsi="Arial"/>
                <w:sz w:val="14"/>
                <w:szCs w:val="14"/>
                <w:color w:val="auto"/>
              </w:rPr>
              <w:t>Corcept Therapeutics Inc.</w:t>
            </w:r>
          </w:p>
        </w:tc>
        <w:tc>
          <w:tcPr>
            <w:tcW w:w="4660" w:type="dxa"/>
            <w:vAlign w:val="bottom"/>
            <w:tcBorders>
              <w:top w:val="single" w:sz="8" w:color="7CBD3F"/>
            </w:tcBorders>
          </w:tcPr>
          <w:p>
            <w:pPr>
              <w:ind w:left="1060"/>
              <w:spacing w:after="0"/>
              <w:rPr>
                <w:sz w:val="20"/>
                <w:szCs w:val="20"/>
                <w:color w:val="auto"/>
              </w:rPr>
            </w:pPr>
            <w:r>
              <w:rPr>
                <w:rFonts w:ascii="Arial" w:cs="Arial" w:eastAsia="Arial" w:hAnsi="Arial"/>
                <w:sz w:val="14"/>
                <w:szCs w:val="14"/>
                <w:color w:val="auto"/>
              </w:rPr>
              <w:t>Jazz Pharmaceuticals plc</w:t>
            </w:r>
          </w:p>
        </w:tc>
      </w:tr>
      <w:tr>
        <w:trPr>
          <w:trHeight w:val="163"/>
        </w:trPr>
        <w:tc>
          <w:tcPr>
            <w:tcW w:w="2920" w:type="dxa"/>
            <w:vAlign w:val="bottom"/>
            <w:shd w:val="clear" w:color="auto" w:fill="F0F7E7"/>
          </w:tcPr>
          <w:p>
            <w:pPr>
              <w:ind w:left="40"/>
              <w:spacing w:after="0"/>
              <w:rPr>
                <w:sz w:val="20"/>
                <w:szCs w:val="20"/>
                <w:color w:val="auto"/>
              </w:rPr>
            </w:pPr>
            <w:r>
              <w:rPr>
                <w:rFonts w:ascii="Arial" w:cs="Arial" w:eastAsia="Arial" w:hAnsi="Arial"/>
                <w:sz w:val="14"/>
                <w:szCs w:val="14"/>
                <w:color w:val="auto"/>
              </w:rPr>
              <w:t>Alkermes plc</w:t>
            </w:r>
          </w:p>
        </w:tc>
        <w:tc>
          <w:tcPr>
            <w:tcW w:w="3680" w:type="dxa"/>
            <w:vAlign w:val="bottom"/>
            <w:shd w:val="clear" w:color="auto" w:fill="F0F7E7"/>
          </w:tcPr>
          <w:p>
            <w:pPr>
              <w:ind w:left="900"/>
              <w:spacing w:after="0"/>
              <w:rPr>
                <w:sz w:val="20"/>
                <w:szCs w:val="20"/>
                <w:color w:val="auto"/>
              </w:rPr>
            </w:pPr>
            <w:r>
              <w:rPr>
                <w:rFonts w:ascii="Arial" w:cs="Arial" w:eastAsia="Arial" w:hAnsi="Arial"/>
                <w:sz w:val="14"/>
                <w:szCs w:val="14"/>
                <w:color w:val="auto"/>
              </w:rPr>
              <w:t>Denali Therapeutics Inc.</w:t>
            </w:r>
          </w:p>
        </w:tc>
        <w:tc>
          <w:tcPr>
            <w:tcW w:w="4660" w:type="dxa"/>
            <w:vAlign w:val="bottom"/>
            <w:shd w:val="clear" w:color="auto" w:fill="F0F7E7"/>
          </w:tcPr>
          <w:p>
            <w:pPr>
              <w:ind w:left="1060"/>
              <w:spacing w:after="0"/>
              <w:rPr>
                <w:sz w:val="20"/>
                <w:szCs w:val="20"/>
                <w:color w:val="auto"/>
              </w:rPr>
            </w:pPr>
            <w:r>
              <w:rPr>
                <w:rFonts w:ascii="Arial" w:cs="Arial" w:eastAsia="Arial" w:hAnsi="Arial"/>
                <w:sz w:val="14"/>
                <w:szCs w:val="14"/>
                <w:color w:val="auto"/>
              </w:rPr>
              <w:t>Neurocrine Biosciences, Inc.</w:t>
            </w:r>
          </w:p>
        </w:tc>
      </w:tr>
      <w:tr>
        <w:trPr>
          <w:trHeight w:val="163"/>
        </w:trPr>
        <w:tc>
          <w:tcPr>
            <w:tcW w:w="2920" w:type="dxa"/>
            <w:vAlign w:val="bottom"/>
          </w:tcPr>
          <w:p>
            <w:pPr>
              <w:ind w:left="40"/>
              <w:spacing w:after="0"/>
              <w:rPr>
                <w:sz w:val="20"/>
                <w:szCs w:val="20"/>
                <w:color w:val="auto"/>
              </w:rPr>
            </w:pPr>
            <w:r>
              <w:rPr>
                <w:rFonts w:ascii="Arial" w:cs="Arial" w:eastAsia="Arial" w:hAnsi="Arial"/>
                <w:sz w:val="14"/>
                <w:szCs w:val="14"/>
                <w:color w:val="auto"/>
              </w:rPr>
              <w:t>Amicus Therapeutics</w:t>
            </w:r>
          </w:p>
        </w:tc>
        <w:tc>
          <w:tcPr>
            <w:tcW w:w="3680" w:type="dxa"/>
            <w:vAlign w:val="bottom"/>
          </w:tcPr>
          <w:p>
            <w:pPr>
              <w:ind w:left="900"/>
              <w:spacing w:after="0"/>
              <w:rPr>
                <w:sz w:val="20"/>
                <w:szCs w:val="20"/>
                <w:color w:val="auto"/>
              </w:rPr>
            </w:pPr>
            <w:r>
              <w:rPr>
                <w:rFonts w:ascii="Arial" w:cs="Arial" w:eastAsia="Arial" w:hAnsi="Arial"/>
                <w:sz w:val="14"/>
                <w:szCs w:val="14"/>
                <w:color w:val="auto"/>
              </w:rPr>
              <w:t>Exelixis Inc.</w:t>
            </w:r>
          </w:p>
        </w:tc>
        <w:tc>
          <w:tcPr>
            <w:tcW w:w="4660" w:type="dxa"/>
            <w:vAlign w:val="bottom"/>
          </w:tcPr>
          <w:p>
            <w:pPr>
              <w:ind w:left="1060"/>
              <w:spacing w:after="0"/>
              <w:rPr>
                <w:sz w:val="20"/>
                <w:szCs w:val="20"/>
                <w:color w:val="auto"/>
              </w:rPr>
            </w:pPr>
            <w:r>
              <w:rPr>
                <w:rFonts w:ascii="Arial" w:cs="Arial" w:eastAsia="Arial" w:hAnsi="Arial"/>
                <w:sz w:val="14"/>
                <w:szCs w:val="14"/>
                <w:color w:val="auto"/>
              </w:rPr>
              <w:t>PTC Therapeutics, Inc.</w:t>
            </w:r>
          </w:p>
        </w:tc>
      </w:tr>
      <w:tr>
        <w:trPr>
          <w:trHeight w:val="163"/>
        </w:trPr>
        <w:tc>
          <w:tcPr>
            <w:tcW w:w="2920" w:type="dxa"/>
            <w:vAlign w:val="bottom"/>
            <w:shd w:val="clear" w:color="auto" w:fill="F0F7E7"/>
          </w:tcPr>
          <w:p>
            <w:pPr>
              <w:ind w:left="40"/>
              <w:spacing w:after="0"/>
              <w:rPr>
                <w:sz w:val="20"/>
                <w:szCs w:val="20"/>
                <w:color w:val="auto"/>
              </w:rPr>
            </w:pPr>
            <w:r>
              <w:rPr>
                <w:rFonts w:ascii="Arial" w:cs="Arial" w:eastAsia="Arial" w:hAnsi="Arial"/>
                <w:sz w:val="14"/>
                <w:szCs w:val="14"/>
                <w:color w:val="auto"/>
              </w:rPr>
              <w:t>Apellis Pharmaceuticals, Inc.</w:t>
            </w:r>
          </w:p>
        </w:tc>
        <w:tc>
          <w:tcPr>
            <w:tcW w:w="3680" w:type="dxa"/>
            <w:vAlign w:val="bottom"/>
            <w:shd w:val="clear" w:color="auto" w:fill="F0F7E7"/>
          </w:tcPr>
          <w:p>
            <w:pPr>
              <w:ind w:left="900"/>
              <w:spacing w:after="0"/>
              <w:rPr>
                <w:sz w:val="20"/>
                <w:szCs w:val="20"/>
                <w:color w:val="auto"/>
              </w:rPr>
            </w:pPr>
            <w:r>
              <w:rPr>
                <w:rFonts w:ascii="Arial" w:cs="Arial" w:eastAsia="Arial" w:hAnsi="Arial"/>
                <w:sz w:val="14"/>
                <w:szCs w:val="14"/>
                <w:color w:val="auto"/>
              </w:rPr>
              <w:t>Halozyme Therapeutics</w:t>
            </w:r>
          </w:p>
        </w:tc>
        <w:tc>
          <w:tcPr>
            <w:tcW w:w="4660" w:type="dxa"/>
            <w:vAlign w:val="bottom"/>
            <w:shd w:val="clear" w:color="auto" w:fill="F0F7E7"/>
          </w:tcPr>
          <w:p>
            <w:pPr>
              <w:ind w:left="1060"/>
              <w:spacing w:after="0"/>
              <w:rPr>
                <w:sz w:val="20"/>
                <w:szCs w:val="20"/>
                <w:color w:val="auto"/>
              </w:rPr>
            </w:pPr>
            <w:r>
              <w:rPr>
                <w:rFonts w:ascii="Arial" w:cs="Arial" w:eastAsia="Arial" w:hAnsi="Arial"/>
                <w:sz w:val="14"/>
                <w:szCs w:val="14"/>
                <w:color w:val="auto"/>
              </w:rPr>
              <w:t>Sarepta Therapeutics, Inc.</w:t>
            </w:r>
          </w:p>
        </w:tc>
      </w:tr>
      <w:tr>
        <w:trPr>
          <w:trHeight w:val="163"/>
        </w:trPr>
        <w:tc>
          <w:tcPr>
            <w:tcW w:w="2920" w:type="dxa"/>
            <w:vAlign w:val="bottom"/>
          </w:tcPr>
          <w:p>
            <w:pPr>
              <w:ind w:left="40"/>
              <w:spacing w:after="0"/>
              <w:rPr>
                <w:sz w:val="20"/>
                <w:szCs w:val="20"/>
                <w:color w:val="auto"/>
              </w:rPr>
            </w:pPr>
            <w:r>
              <w:rPr>
                <w:rFonts w:ascii="Arial" w:cs="Arial" w:eastAsia="Arial" w:hAnsi="Arial"/>
                <w:sz w:val="14"/>
                <w:szCs w:val="14"/>
                <w:color w:val="auto"/>
              </w:rPr>
              <w:t>Axsome Therapeutics, Inc.</w:t>
            </w:r>
          </w:p>
        </w:tc>
        <w:tc>
          <w:tcPr>
            <w:tcW w:w="3680" w:type="dxa"/>
            <w:vAlign w:val="bottom"/>
          </w:tcPr>
          <w:p>
            <w:pPr>
              <w:ind w:left="900"/>
              <w:spacing w:after="0"/>
              <w:rPr>
                <w:sz w:val="20"/>
                <w:szCs w:val="20"/>
                <w:color w:val="auto"/>
              </w:rPr>
            </w:pPr>
            <w:r>
              <w:rPr>
                <w:rFonts w:ascii="Arial" w:cs="Arial" w:eastAsia="Arial" w:hAnsi="Arial"/>
                <w:sz w:val="14"/>
                <w:szCs w:val="14"/>
                <w:color w:val="auto"/>
              </w:rPr>
              <w:t>Insmed Incorporated</w:t>
            </w:r>
          </w:p>
        </w:tc>
        <w:tc>
          <w:tcPr>
            <w:tcW w:w="4660" w:type="dxa"/>
            <w:vAlign w:val="bottom"/>
          </w:tcPr>
          <w:p>
            <w:pPr>
              <w:ind w:left="1060"/>
              <w:spacing w:after="0"/>
              <w:rPr>
                <w:sz w:val="20"/>
                <w:szCs w:val="20"/>
                <w:color w:val="auto"/>
              </w:rPr>
            </w:pPr>
            <w:r>
              <w:rPr>
                <w:rFonts w:ascii="Arial" w:cs="Arial" w:eastAsia="Arial" w:hAnsi="Arial"/>
                <w:sz w:val="14"/>
                <w:szCs w:val="14"/>
                <w:color w:val="auto"/>
              </w:rPr>
              <w:t>Vericel Corporation</w:t>
            </w:r>
          </w:p>
        </w:tc>
      </w:tr>
      <w:tr>
        <w:trPr>
          <w:trHeight w:val="163"/>
        </w:trPr>
        <w:tc>
          <w:tcPr>
            <w:tcW w:w="2920" w:type="dxa"/>
            <w:vAlign w:val="bottom"/>
            <w:shd w:val="clear" w:color="auto" w:fill="F0F7E7"/>
          </w:tcPr>
          <w:p>
            <w:pPr>
              <w:ind w:left="40"/>
              <w:spacing w:after="0"/>
              <w:rPr>
                <w:sz w:val="20"/>
                <w:szCs w:val="20"/>
                <w:color w:val="auto"/>
              </w:rPr>
            </w:pPr>
            <w:r>
              <w:rPr>
                <w:rFonts w:ascii="Arial" w:cs="Arial" w:eastAsia="Arial" w:hAnsi="Arial"/>
                <w:sz w:val="14"/>
                <w:szCs w:val="14"/>
                <w:color w:val="auto"/>
              </w:rPr>
              <w:t>Blueprint Medicines Corporation</w:t>
            </w:r>
          </w:p>
        </w:tc>
        <w:tc>
          <w:tcPr>
            <w:tcW w:w="3680" w:type="dxa"/>
            <w:vAlign w:val="bottom"/>
            <w:shd w:val="clear" w:color="auto" w:fill="F0F7E7"/>
          </w:tcPr>
          <w:p>
            <w:pPr>
              <w:ind w:left="900"/>
              <w:spacing w:after="0"/>
              <w:rPr>
                <w:sz w:val="20"/>
                <w:szCs w:val="20"/>
                <w:color w:val="auto"/>
              </w:rPr>
            </w:pPr>
            <w:r>
              <w:rPr>
                <w:rFonts w:ascii="Arial" w:cs="Arial" w:eastAsia="Arial" w:hAnsi="Arial"/>
                <w:sz w:val="14"/>
                <w:szCs w:val="14"/>
                <w:color w:val="auto"/>
              </w:rPr>
              <w:t>Intra-Cellular Therapies Inc.</w:t>
            </w:r>
          </w:p>
        </w:tc>
        <w:tc>
          <w:tcPr>
            <w:tcW w:w="4660" w:type="dxa"/>
            <w:vAlign w:val="bottom"/>
            <w:shd w:val="clear" w:color="auto" w:fill="F0F7E7"/>
          </w:tcPr>
          <w:p>
            <w:pPr>
              <w:spacing w:after="0"/>
              <w:rPr>
                <w:sz w:val="14"/>
                <w:szCs w:val="14"/>
                <w:color w:val="auto"/>
              </w:rPr>
            </w:pPr>
          </w:p>
        </w:tc>
      </w:tr>
      <w:tr>
        <w:trPr>
          <w:trHeight w:val="167"/>
        </w:trPr>
        <w:tc>
          <w:tcPr>
            <w:tcW w:w="2920" w:type="dxa"/>
            <w:vAlign w:val="bottom"/>
            <w:tcBorders>
              <w:bottom w:val="single" w:sz="8" w:color="7CBD3F"/>
            </w:tcBorders>
          </w:tcPr>
          <w:p>
            <w:pPr>
              <w:ind w:left="40"/>
              <w:spacing w:after="0"/>
              <w:rPr>
                <w:sz w:val="20"/>
                <w:szCs w:val="20"/>
                <w:color w:val="auto"/>
              </w:rPr>
            </w:pPr>
            <w:r>
              <w:rPr>
                <w:rFonts w:ascii="Arial" w:cs="Arial" w:eastAsia="Arial" w:hAnsi="Arial"/>
                <w:sz w:val="14"/>
                <w:szCs w:val="14"/>
                <w:color w:val="auto"/>
              </w:rPr>
              <w:t>BridgeBio Pharma, Inc.</w:t>
            </w:r>
          </w:p>
        </w:tc>
        <w:tc>
          <w:tcPr>
            <w:tcW w:w="3680" w:type="dxa"/>
            <w:vAlign w:val="bottom"/>
            <w:tcBorders>
              <w:bottom w:val="single" w:sz="8" w:color="7CBD3F"/>
            </w:tcBorders>
          </w:tcPr>
          <w:p>
            <w:pPr>
              <w:ind w:left="900"/>
              <w:spacing w:after="0"/>
              <w:rPr>
                <w:sz w:val="20"/>
                <w:szCs w:val="20"/>
                <w:color w:val="auto"/>
              </w:rPr>
            </w:pPr>
            <w:r>
              <w:rPr>
                <w:rFonts w:ascii="Arial" w:cs="Arial" w:eastAsia="Arial" w:hAnsi="Arial"/>
                <w:sz w:val="14"/>
                <w:szCs w:val="14"/>
                <w:color w:val="auto"/>
              </w:rPr>
              <w:t>Ionis Pharmaceuticals, Inc.</w:t>
            </w:r>
          </w:p>
        </w:tc>
        <w:tc>
          <w:tcPr>
            <w:tcW w:w="4660" w:type="dxa"/>
            <w:vAlign w:val="bottom"/>
            <w:tcBorders>
              <w:bottom w:val="single" w:sz="8" w:color="7CBD3F"/>
            </w:tcBorders>
          </w:tcPr>
          <w:p>
            <w:pPr>
              <w:spacing w:after="0"/>
              <w:rPr>
                <w:sz w:val="14"/>
                <w:szCs w:val="14"/>
                <w:color w:val="auto"/>
              </w:rPr>
            </w:pPr>
          </w:p>
        </w:tc>
      </w:tr>
    </w:tbl>
    <w:p>
      <w:pPr>
        <w:spacing w:after="0" w:line="151" w:lineRule="exact"/>
        <w:rPr>
          <w:sz w:val="20"/>
          <w:szCs w:val="20"/>
          <w:color w:val="auto"/>
        </w:rPr>
      </w:pPr>
    </w:p>
    <w:p>
      <w:pPr>
        <w:jc w:val="both"/>
        <w:ind w:left="7"/>
        <w:spacing w:after="0" w:line="278" w:lineRule="auto"/>
        <w:rPr>
          <w:sz w:val="20"/>
          <w:szCs w:val="20"/>
          <w:color w:val="auto"/>
        </w:rPr>
      </w:pPr>
      <w:r>
        <w:rPr>
          <w:rFonts w:ascii="Arial" w:cs="Arial" w:eastAsia="Arial" w:hAnsi="Arial"/>
          <w:sz w:val="14"/>
          <w:szCs w:val="14"/>
          <w:color w:val="auto"/>
        </w:rPr>
        <w:t>We believe that the compensation practices of our 2025 peer group provided us with appropriate compensation benchmarks for evaluating the compensation of our named executive officers for 2025.</w:t>
      </w:r>
    </w:p>
    <w:p>
      <w:pPr>
        <w:spacing w:after="0" w:line="199" w:lineRule="exact"/>
        <w:rPr>
          <w:sz w:val="20"/>
          <w:szCs w:val="20"/>
          <w:color w:val="auto"/>
        </w:rPr>
      </w:pPr>
    </w:p>
    <w:p>
      <w:pPr>
        <w:ind w:left="7"/>
        <w:spacing w:after="0"/>
        <w:rPr>
          <w:sz w:val="20"/>
          <w:szCs w:val="20"/>
          <w:color w:val="auto"/>
        </w:rPr>
      </w:pPr>
      <w:r>
        <w:rPr>
          <w:rFonts w:ascii="Arial" w:cs="Arial" w:eastAsia="Arial" w:hAnsi="Arial"/>
          <w:sz w:val="19"/>
          <w:szCs w:val="19"/>
          <w:b w:val="1"/>
          <w:bCs w:val="1"/>
          <w:color w:val="7CBD3F"/>
        </w:rPr>
        <w:t>Base Salaries</w:t>
      </w:r>
    </w:p>
    <w:p>
      <w:pPr>
        <w:spacing w:after="0" w:line="166" w:lineRule="exact"/>
        <w:rPr>
          <w:sz w:val="20"/>
          <w:szCs w:val="20"/>
          <w:color w:val="auto"/>
        </w:rPr>
      </w:pPr>
    </w:p>
    <w:p>
      <w:pPr>
        <w:jc w:val="both"/>
        <w:ind w:left="7"/>
        <w:spacing w:after="0" w:line="260" w:lineRule="auto"/>
        <w:rPr>
          <w:sz w:val="20"/>
          <w:szCs w:val="20"/>
          <w:color w:val="auto"/>
        </w:rPr>
      </w:pPr>
      <w:r>
        <w:rPr>
          <w:rFonts w:ascii="Arial" w:cs="Arial" w:eastAsia="Arial" w:hAnsi="Arial"/>
          <w:sz w:val="14"/>
          <w:szCs w:val="14"/>
          <w:color w:val="auto"/>
        </w:rPr>
        <w:t>For 2025, increases in base salaries for our named executive officers, were 5.1% annualized for Dr. Crombez to align to the external market peer group, 2.9% annualized for Mr. Horn, 2.5% annualized for Mr. Harris and 2.8% annualized for Mr. Pinion. Dr. Kakkis opted not to receive an increase to his base salary for 2025. The overall 2025 merit budget was based on an Aon trend report regarding projected market merit budgets and spend for 2025.</w:t>
      </w:r>
    </w:p>
    <w:p>
      <w:pPr>
        <w:spacing w:after="0" w:line="130"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auto"/>
        </w:rPr>
        <w:t xml:space="preserve">ULTRAGENYX PHARMACEUTICAL INC. </w:t>
      </w:r>
      <w:r>
        <w:rPr>
          <w:rFonts w:ascii="Arial" w:cs="Arial" w:eastAsia="Arial" w:hAnsi="Arial"/>
          <w:sz w:val="14"/>
          <w:szCs w:val="14"/>
          <w:color w:val="7CBD3F"/>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2025 Proxy Statement</w:t>
      </w:r>
      <w:r>
        <w:rPr>
          <w:rFonts w:ascii="Arial" w:cs="Arial" w:eastAsia="Arial" w:hAnsi="Arial"/>
          <w:sz w:val="14"/>
          <w:szCs w:val="14"/>
          <w:b w:val="1"/>
          <w:bCs w:val="1"/>
          <w:color w:val="auto"/>
        </w:rPr>
        <w:tab/>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150735"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0735" cy="29845"/>
                    </a:xfrm>
                    <a:prstGeom prst="rect">
                      <a:avLst/>
                    </a:prstGeom>
                    <a:noFill/>
                  </pic:spPr>
                </pic:pic>
              </a:graphicData>
            </a:graphic>
          </wp:anchor>
        </w:drawing>
      </w:r>
    </w:p>
    <w:p>
      <w:pPr>
        <w:sectPr>
          <w:pgSz w:w="11900" w:h="16838" w:orient="portrait"/>
          <w:cols w:equalWidth="0" w:num="1">
            <w:col w:w="11267"/>
          </w:cols>
          <w:pgMar w:left="313" w:top="225" w:right="319" w:bottom="1440" w:gutter="0" w:footer="0" w:header="0"/>
        </w:sectPr>
      </w:pPr>
    </w:p>
    <w:bookmarkStart w:id="51" w:name="page52"/>
    <w:bookmarkEnd w:id="51"/>
    <w:p>
      <w:pPr>
        <w:spacing w:after="0"/>
        <w:rPr>
          <w:sz w:val="20"/>
          <w:szCs w:val="20"/>
          <w:color w:val="auto"/>
        </w:rPr>
      </w:pPr>
      <w:r>
        <w:rPr>
          <w:rFonts w:ascii="Arial" w:cs="Arial" w:eastAsia="Arial" w:hAnsi="Arial"/>
          <w:sz w:val="12"/>
          <w:szCs w:val="12"/>
          <w:b w:val="1"/>
          <w:bCs w:val="1"/>
          <w:u w:val="single" w:color="auto"/>
          <w:color w:val="0000EE"/>
        </w:rPr>
        <w:t>Back to Contents</w:t>
      </w:r>
    </w:p>
    <w:p>
      <w:pPr>
        <w:spacing w:after="0" w:line="138" w:lineRule="exact"/>
        <w:rPr>
          <w:sz w:val="20"/>
          <w:szCs w:val="20"/>
          <w:color w:val="auto"/>
        </w:rPr>
      </w:pPr>
    </w:p>
    <w:p>
      <w:pPr>
        <w:spacing w:after="0"/>
        <w:rPr>
          <w:sz w:val="20"/>
          <w:szCs w:val="20"/>
          <w:color w:val="auto"/>
        </w:rPr>
      </w:pPr>
      <w:r>
        <w:rPr>
          <w:rFonts w:ascii="Arial" w:cs="Arial" w:eastAsia="Arial" w:hAnsi="Arial"/>
          <w:sz w:val="19"/>
          <w:szCs w:val="19"/>
          <w:b w:val="1"/>
          <w:bCs w:val="1"/>
          <w:color w:val="7CBD3F"/>
        </w:rPr>
        <w:t>Annual Bonuses</w:t>
      </w:r>
    </w:p>
    <w:p>
      <w:pPr>
        <w:spacing w:after="0" w:line="166"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For 2025, the Compensation Committee maintained the target annual bonus of 80% for our Chief Executive Officer and maintained the target bonus amount of 50% for all other named executive officers. No significant changes were made to the bonus plan for 2025.</w:t>
      </w:r>
    </w:p>
    <w:p>
      <w:pPr>
        <w:spacing w:after="0" w:line="199" w:lineRule="exact"/>
        <w:rPr>
          <w:sz w:val="20"/>
          <w:szCs w:val="20"/>
          <w:color w:val="auto"/>
        </w:rPr>
      </w:pPr>
    </w:p>
    <w:p>
      <w:pPr>
        <w:spacing w:after="0"/>
        <w:rPr>
          <w:sz w:val="20"/>
          <w:szCs w:val="20"/>
          <w:color w:val="auto"/>
        </w:rPr>
      </w:pPr>
      <w:r>
        <w:rPr>
          <w:rFonts w:ascii="Arial" w:cs="Arial" w:eastAsia="Arial" w:hAnsi="Arial"/>
          <w:sz w:val="19"/>
          <w:szCs w:val="19"/>
          <w:b w:val="1"/>
          <w:bCs w:val="1"/>
          <w:color w:val="7CBD3F"/>
        </w:rPr>
        <w:t>Equity Compensation</w:t>
      </w:r>
    </w:p>
    <w:p>
      <w:pPr>
        <w:spacing w:after="0" w:line="166"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For 2025, the Compensation Committee determined to increase the PSU component of the annual equity grants to our executive officers, other than our Chief Executive Officer, from 33% to 50%, with the remaining portion of the grant equally split at 25% options and 25% RSUs. For our Chief Executive Officer, the Compensation Committee maintained the equity split of 60% PSUs, 20% options and 20% RSUs.</w:t>
      </w:r>
    </w:p>
    <w:p>
      <w:pPr>
        <w:spacing w:after="0" w:line="130" w:lineRule="exact"/>
        <w:rPr>
          <w:sz w:val="20"/>
          <w:szCs w:val="20"/>
          <w:color w:val="auto"/>
        </w:rPr>
      </w:pPr>
    </w:p>
    <w:p>
      <w:pPr>
        <w:jc w:val="both"/>
        <w:spacing w:after="0" w:line="247" w:lineRule="auto"/>
        <w:rPr>
          <w:sz w:val="20"/>
          <w:szCs w:val="20"/>
          <w:color w:val="auto"/>
        </w:rPr>
      </w:pPr>
      <w:r>
        <w:rPr>
          <w:rFonts w:ascii="Arial" w:cs="Arial" w:eastAsia="Arial" w:hAnsi="Arial"/>
          <w:sz w:val="14"/>
          <w:szCs w:val="14"/>
          <w:color w:val="auto"/>
        </w:rPr>
        <w:t>The PSU awards granted to our executive officers in 2025 (2025 PSUs) consist of a revenue portion with a two-year performance period (1/3 of the 2025 PSUs), a relative TSR portion with a three-year performance period (1/3 of PSUs) and a strategic performance portion (1/3 of the PSUs) with a three-year performance period. The revenue-based 2025 PSUs will vest based upon achievement of revenue-based targets during the period beginning January 1, 2025 and ending December 31, 2026, with all of the earned revenue-based PSUs vesting on the later of (i) the date in which the Compensation Committee certifies such achievement and (ii) March 1, 2027. The relative TSR-based 2025 PSU awards will vest based upon our TSR performance relative to the TSR of the companies in the Nasdaq Biotechnology Index during the period beginning January 1, 2025 and ending December 31, 2027, with a maximum payout of 100% of target in the event our absolute TSR is negative, with all of the earned relative TSR-based PSUs vesting on the later of (i) the date in which the Compensation Committee certifies such achievement and (ii) March 1, 2028. The strategic-based 2025 PSU awards will vest based on achievement of specified strategic goals during the period beginning January 1, 2025 and ending December 31, 2027, with all of the earned strategic based PSUs vesting on the later of (i) the date in which the Compensation Committee certifies such achievement and (ii) March 1, 2028. The PSUs will be earned at 50% of target for threshold performance (or 25% of target for the relative TSR-based PSUs) and 200% of target for maximum performance, with no PSUs becoming earning for below threshold performance.</w:t>
      </w: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b w:val="1"/>
          <w:bCs w:val="1"/>
          <w:color w:val="7CBD3F"/>
        </w:rPr>
        <w:t>Employee Benefits Program</w:t>
      </w:r>
    </w:p>
    <w:p>
      <w:pPr>
        <w:spacing w:after="0" w:line="166" w:lineRule="exact"/>
        <w:rPr>
          <w:sz w:val="20"/>
          <w:szCs w:val="20"/>
          <w:color w:val="auto"/>
        </w:rPr>
      </w:pPr>
    </w:p>
    <w:p>
      <w:pPr>
        <w:jc w:val="both"/>
        <w:ind w:right="20"/>
        <w:spacing w:after="0" w:line="255" w:lineRule="auto"/>
        <w:rPr>
          <w:sz w:val="20"/>
          <w:szCs w:val="20"/>
          <w:color w:val="auto"/>
        </w:rPr>
      </w:pPr>
      <w:r>
        <w:rPr>
          <w:rFonts w:ascii="Arial" w:cs="Arial" w:eastAsia="Arial" w:hAnsi="Arial"/>
          <w:sz w:val="14"/>
          <w:szCs w:val="14"/>
          <w:color w:val="auto"/>
        </w:rPr>
        <w:t>Executive officers are eligible to participate in all of our employee benefit plans, including medical, dental, vision, group life, disability, and accidental death and dismemberment insurance. In each case, participation is on the same basis as other employees, subject to applicable law. We also provide vacation and other paid holidays to all employees, including executive officers, all of which we believe to be comparable to those provided at peer companies. These benefit programs are designed to enable us to attract and retain our workforce in a competitive marketplace. Reliable and competitive health, welfare and vacation benefits ensure that we have a productive and focused workforce.</w:t>
      </w:r>
    </w:p>
    <w:p>
      <w:pPr>
        <w:spacing w:after="0" w:line="132"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In addition, our named executive officers are eligible to participate in a retirement savings plan (401(k) Plan), which is a tax-qualified defined contribution plan pursuant that allows participants to contribute certain amounts of their annual compensation, subject to limits prescribed by the Internal Revenue Service. All of our employees are eligible to participate in the 401(k) Plan on the same terms as the named executive officers.</w:t>
      </w:r>
    </w:p>
    <w:p>
      <w:pPr>
        <w:spacing w:after="0" w:line="130"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Our named executive officers, along with our other highly-compensated U.S. based employees and non-employee directors of our Board, are also eligible to participate in our nonqualified deferred compensation plan. Please see ” -Nonqualified Deferred Compensation Plan” below for a summary of the plan.</w:t>
      </w:r>
    </w:p>
    <w:p>
      <w:pPr>
        <w:spacing w:after="0" w:line="199" w:lineRule="exact"/>
        <w:rPr>
          <w:sz w:val="20"/>
          <w:szCs w:val="20"/>
          <w:color w:val="auto"/>
        </w:rPr>
      </w:pPr>
    </w:p>
    <w:p>
      <w:pPr>
        <w:spacing w:after="0"/>
        <w:rPr>
          <w:sz w:val="20"/>
          <w:szCs w:val="20"/>
          <w:color w:val="auto"/>
        </w:rPr>
      </w:pPr>
      <w:r>
        <w:rPr>
          <w:rFonts w:ascii="Arial" w:cs="Arial" w:eastAsia="Arial" w:hAnsi="Arial"/>
          <w:sz w:val="19"/>
          <w:szCs w:val="19"/>
          <w:b w:val="1"/>
          <w:bCs w:val="1"/>
          <w:color w:val="7CBD3F"/>
        </w:rPr>
        <w:t>Clawback Policy</w:t>
      </w:r>
    </w:p>
    <w:p>
      <w:pPr>
        <w:spacing w:after="0" w:line="166" w:lineRule="exact"/>
        <w:rPr>
          <w:sz w:val="20"/>
          <w:szCs w:val="20"/>
          <w:color w:val="auto"/>
        </w:rPr>
      </w:pPr>
    </w:p>
    <w:p>
      <w:pPr>
        <w:jc w:val="both"/>
        <w:spacing w:after="0" w:line="250" w:lineRule="auto"/>
        <w:rPr>
          <w:sz w:val="20"/>
          <w:szCs w:val="20"/>
          <w:color w:val="auto"/>
        </w:rPr>
      </w:pPr>
      <w:r>
        <w:rPr>
          <w:rFonts w:ascii="Arial" w:cs="Arial" w:eastAsia="Arial" w:hAnsi="Arial"/>
          <w:sz w:val="14"/>
          <w:szCs w:val="14"/>
          <w:color w:val="auto"/>
        </w:rPr>
        <w:t>Our Board has adopted a Clawback Policy intended to comply with the listing standards from Nasdaq implementing Exchange Act Rule 10D-1. In the event the Company is required to prepare an accounting restatement of the Company’s financial statements due to material non-compliance with any financial reporting requirement under the federal securities laws, the Company will recover, on a reasonably prompt basis, the excess incentive-based compensation received by any covered executive officer, including the named executive officers, during the prior three fiscal years that exceeds the amount that the named executive officer otherwise would have received had the incentive-based compensation been determined based on the restated financial statements. The Clawback Policy also permits recoupment of all incentive compensation, including time-based and performance-based equity awards and bonuses, in the event of fraud or intentional misconduct by a current or former executive officer, including the named executive officers.</w:t>
      </w:r>
    </w:p>
    <w:p>
      <w:pPr>
        <w:spacing w:after="0" w:line="218" w:lineRule="exact"/>
        <w:rPr>
          <w:sz w:val="20"/>
          <w:szCs w:val="20"/>
          <w:color w:val="auto"/>
        </w:rPr>
      </w:pPr>
    </w:p>
    <w:p>
      <w:pPr>
        <w:spacing w:after="0"/>
        <w:rPr>
          <w:sz w:val="20"/>
          <w:szCs w:val="20"/>
          <w:color w:val="auto"/>
        </w:rPr>
      </w:pPr>
      <w:r>
        <w:rPr>
          <w:rFonts w:ascii="Arial" w:cs="Arial" w:eastAsia="Arial" w:hAnsi="Arial"/>
          <w:sz w:val="19"/>
          <w:szCs w:val="19"/>
          <w:b w:val="1"/>
          <w:bCs w:val="1"/>
          <w:color w:val="7CBD3F"/>
        </w:rPr>
        <w:t>Minimum Stock Ownership Requirements</w:t>
      </w:r>
    </w:p>
    <w:p>
      <w:pPr>
        <w:spacing w:after="0" w:line="166"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We maintain stock ownership guidelines in order to align the long-term interests of our executive officers and directors with those of our stockholders. The guidelines require holding shares of our common stock with value equivalent to 3x the annual retainer for Board members, 3x base salary for our Chief Executive Officer and 1x base salary for the other named executive officers. Shares that count toward satisfaction of these guidelines include shares owned outright by the individual (including RSUs that have vested), shares</w:t>
      </w:r>
    </w:p>
    <w:p>
      <w:pPr>
        <w:spacing w:after="0" w:line="130"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auto"/>
        </w:rPr>
        <w:t xml:space="preserve">ULTRAGENYX PHARMACEUTICAL INC. </w:t>
      </w:r>
      <w:r>
        <w:rPr>
          <w:rFonts w:ascii="Arial" w:cs="Arial" w:eastAsia="Arial" w:hAnsi="Arial"/>
          <w:sz w:val="14"/>
          <w:szCs w:val="14"/>
          <w:color w:val="7CBD3F"/>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2025 Proxy Statement</w:t>
      </w:r>
      <w:r>
        <w:rPr>
          <w:rFonts w:ascii="Arial" w:cs="Arial" w:eastAsia="Arial" w:hAnsi="Arial"/>
          <w:sz w:val="14"/>
          <w:szCs w:val="14"/>
          <w:b w:val="1"/>
          <w:bCs w:val="1"/>
          <w:color w:val="auto"/>
        </w:rPr>
        <w:tab/>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142240</wp:posOffset>
            </wp:positionV>
            <wp:extent cx="7150735"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0735" cy="29845"/>
                    </a:xfrm>
                    <a:prstGeom prst="rect">
                      <a:avLst/>
                    </a:prstGeom>
                    <a:noFill/>
                  </pic:spPr>
                </pic:pic>
              </a:graphicData>
            </a:graphic>
          </wp:anchor>
        </w:drawing>
      </w:r>
    </w:p>
    <w:p>
      <w:pPr>
        <w:sectPr>
          <w:pgSz w:w="11900" w:h="16838" w:orient="portrait"/>
          <w:cols w:equalWidth="0" w:num="1">
            <w:col w:w="11260"/>
          </w:cols>
          <w:pgMar w:left="320" w:top="225" w:right="319" w:bottom="1440" w:gutter="0" w:footer="0" w:header="0"/>
        </w:sectPr>
      </w:pPr>
    </w:p>
    <w:bookmarkStart w:id="52" w:name="page53"/>
    <w:bookmarkEnd w:id="52"/>
    <w:p>
      <w:pPr>
        <w:spacing w:after="0"/>
        <w:rPr>
          <w:sz w:val="20"/>
          <w:szCs w:val="20"/>
          <w:color w:val="auto"/>
        </w:rPr>
      </w:pPr>
      <w:r>
        <w:rPr>
          <w:rFonts w:ascii="Arial" w:cs="Arial" w:eastAsia="Arial" w:hAnsi="Arial"/>
          <w:sz w:val="12"/>
          <w:szCs w:val="12"/>
          <w:b w:val="1"/>
          <w:bCs w:val="1"/>
          <w:u w:val="single" w:color="auto"/>
          <w:color w:val="0000EE"/>
        </w:rPr>
        <w:t>Back to Contents</w:t>
      </w:r>
    </w:p>
    <w:p>
      <w:pPr>
        <w:spacing w:after="0" w:line="149" w:lineRule="exact"/>
        <w:rPr>
          <w:sz w:val="20"/>
          <w:szCs w:val="20"/>
          <w:color w:val="auto"/>
        </w:rPr>
      </w:pPr>
    </w:p>
    <w:p>
      <w:pPr>
        <w:jc w:val="both"/>
        <w:spacing w:after="0" w:line="245" w:lineRule="auto"/>
        <w:rPr>
          <w:sz w:val="20"/>
          <w:szCs w:val="20"/>
          <w:color w:val="auto"/>
        </w:rPr>
      </w:pPr>
      <w:r>
        <w:rPr>
          <w:rFonts w:ascii="Arial" w:cs="Arial" w:eastAsia="Arial" w:hAnsi="Arial"/>
          <w:sz w:val="14"/>
          <w:szCs w:val="14"/>
          <w:color w:val="auto"/>
        </w:rPr>
        <w:t>retained after an option exercise or issuance under another type of equity award granted under the Company’s equity incentive plans, shares retained after purchase under the ESPP and shares held in trust for the benefit of the individual. Unexercised options and unvested and unearned RSUs and PSUs do not count towards satisfaction of these guidelines. These guidelines were required to be achieved by the end of 2022 for our named executive officers and Board members who have been named executive officers and Board members as of the date the policy was implemented and within five years of appointment for newly appointed named executive officers and Board members. As of December 31, 2024, each of our Board members and named executive officers who were required to be in compliance with the guidelines by the end of 2024 had met the ownership guidelines.</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b w:val="1"/>
          <w:bCs w:val="1"/>
          <w:color w:val="7CBD3F"/>
        </w:rPr>
        <w:t>Equity Grant Timing</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color w:val="auto"/>
        </w:rPr>
        <w:t>Generally, the Compensation Committee grants annual equity awards, including stock options, on March 1 of each year following the filing of our Annual Report on Form 10-K and</w:t>
      </w:r>
    </w:p>
    <w:p>
      <w:pPr>
        <w:spacing w:after="0" w:line="14" w:lineRule="exact"/>
        <w:rPr>
          <w:sz w:val="20"/>
          <w:szCs w:val="20"/>
          <w:color w:val="auto"/>
        </w:rPr>
      </w:pPr>
    </w:p>
    <w:p>
      <w:pPr>
        <w:jc w:val="both"/>
        <w:spacing w:after="0" w:line="231" w:lineRule="auto"/>
        <w:rPr>
          <w:sz w:val="20"/>
          <w:szCs w:val="20"/>
          <w:color w:val="auto"/>
        </w:rPr>
      </w:pPr>
      <w:r>
        <w:rPr>
          <w:rFonts w:ascii="Arial" w:cs="Arial" w:eastAsia="Arial" w:hAnsi="Arial"/>
          <w:sz w:val="14"/>
          <w:szCs w:val="14"/>
          <w:color w:val="auto"/>
        </w:rPr>
        <w:t>grants new hire equity awards, including stock options, on the 16</w:t>
      </w:r>
      <w:r>
        <w:rPr>
          <w:rFonts w:ascii="Arial" w:cs="Arial" w:eastAsia="Arial" w:hAnsi="Arial"/>
          <w:sz w:val="23"/>
          <w:szCs w:val="23"/>
          <w:color w:val="auto"/>
          <w:vertAlign w:val="superscript"/>
        </w:rPr>
        <w:t>th</w:t>
      </w:r>
      <w:r>
        <w:rPr>
          <w:rFonts w:ascii="Arial" w:cs="Arial" w:eastAsia="Arial" w:hAnsi="Arial"/>
          <w:sz w:val="14"/>
          <w:szCs w:val="14"/>
          <w:color w:val="auto"/>
        </w:rPr>
        <w:t xml:space="preserve"> of each month following the individual’s start date. The Compensation Committee may also grant equity awards at other times during the year, such as in connection with special retention awards, performance recognition, or in the event of a significant change in job responsibilities. Under the 2014 Employee Stock Purchase Plan, eligible employees may purchase shares at a discount, with purchase dates generally on April 30 and October 31 of each year, using payroll deductions accumulated during the prior six-month period. The Compensation Committee did not take material nonpublic information into account when determining the timing and terms of equity awards, including stock options, during 2024, and we did not time the disclosure of material nonpublic information for the purpose of affecting the value of executive compensation. During 2024, no stock options were granted to the named executive officers in the period beginning four business days before and ending one business day after the filing or furnishing of any Form 10-Q, Form 10-K or Form 8-K that disclosed material nonpublic information.</w:t>
      </w:r>
    </w:p>
    <w:p>
      <w:pPr>
        <w:spacing w:after="0" w:line="2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 Management and Mitigation</w:t>
      </w:r>
    </w:p>
    <w:p>
      <w:pPr>
        <w:spacing w:after="0" w:line="222" w:lineRule="exact"/>
        <w:rPr>
          <w:sz w:val="20"/>
          <w:szCs w:val="20"/>
          <w:color w:val="auto"/>
        </w:rPr>
      </w:pPr>
    </w:p>
    <w:p>
      <w:pPr>
        <w:jc w:val="both"/>
        <w:ind w:right="20"/>
        <w:spacing w:after="0" w:line="255" w:lineRule="auto"/>
        <w:rPr>
          <w:sz w:val="20"/>
          <w:szCs w:val="20"/>
          <w:color w:val="auto"/>
        </w:rPr>
      </w:pPr>
      <w:r>
        <w:rPr>
          <w:rFonts w:ascii="Arial" w:cs="Arial" w:eastAsia="Arial" w:hAnsi="Arial"/>
          <w:sz w:val="14"/>
          <w:szCs w:val="14"/>
          <w:color w:val="auto"/>
        </w:rPr>
        <w:t>In reviewing the compensation structure in fiscal 2024, the Compensation Committee also considered how our compensation policies may affect our risk profile and how compensation policies may be used to mitigate risks facing us. More specifically, the Compensation Committee considered the general design philosophy of our policies for employees whose conduct would be most affected by incentives established by compensation policies. In considering these issues, the Compensation Committee concluded that the use of performance-based bonuses and long-term equity awards did not appear to create undue risks for us or encourage excessive risk-taking behavior on the part of employees.</w:t>
      </w:r>
    </w:p>
    <w:p>
      <w:pPr>
        <w:spacing w:after="0" w:line="132" w:lineRule="exact"/>
        <w:rPr>
          <w:sz w:val="20"/>
          <w:szCs w:val="20"/>
          <w:color w:val="auto"/>
        </w:rPr>
      </w:pPr>
    </w:p>
    <w:p>
      <w:pPr>
        <w:jc w:val="both"/>
        <w:spacing w:after="0" w:line="250" w:lineRule="auto"/>
        <w:rPr>
          <w:sz w:val="20"/>
          <w:szCs w:val="20"/>
          <w:color w:val="auto"/>
        </w:rPr>
      </w:pPr>
      <w:r>
        <w:rPr>
          <w:rFonts w:ascii="Arial" w:cs="Arial" w:eastAsia="Arial" w:hAnsi="Arial"/>
          <w:sz w:val="14"/>
          <w:szCs w:val="14"/>
          <w:color w:val="auto"/>
        </w:rPr>
        <w:t>With respect to bonus awards, the amount of an individual’s award depends principally (exclusively, in the case of our Chief Executive Officer) on our overall performance, which reduces the ability and incentive for an individual to take undue risks in an effort to increase the amount of his or her bonus award for a particular year. For fiscal 2024, our corporate goals were reviewed and approved by the Board in early 2024, upon the recommendation of the Compensation Committee, and are considered to be generally of the nature that would not encourage or reward excessive risk taking. Additionally, the Compensation Committee monitors our performance throughout the year and has the ability to intervene in instances where our actions vis-à-vis our performance goal attainment would be considered unduly risky, so that the Compensation Committee may act to prevent or penalize such actions.</w:t>
      </w:r>
    </w:p>
    <w:p>
      <w:pPr>
        <w:spacing w:after="0" w:line="136" w:lineRule="exact"/>
        <w:rPr>
          <w:sz w:val="20"/>
          <w:szCs w:val="20"/>
          <w:color w:val="auto"/>
        </w:rPr>
      </w:pPr>
    </w:p>
    <w:p>
      <w:pPr>
        <w:jc w:val="both"/>
        <w:ind w:right="20"/>
        <w:spacing w:after="0" w:line="278" w:lineRule="auto"/>
        <w:rPr>
          <w:sz w:val="20"/>
          <w:szCs w:val="20"/>
          <w:color w:val="auto"/>
        </w:rPr>
      </w:pPr>
      <w:r>
        <w:rPr>
          <w:rFonts w:ascii="Arial" w:cs="Arial" w:eastAsia="Arial" w:hAnsi="Arial"/>
          <w:sz w:val="14"/>
          <w:szCs w:val="14"/>
          <w:color w:val="auto"/>
        </w:rPr>
        <w:t>With respect to equity awards, these awards typically vest over several years, meaning that long-term value creation, contrasted with short-term gain, presents the best opportunity for employees to benefit from these awards.</w:t>
      </w:r>
    </w:p>
    <w:p>
      <w:pPr>
        <w:spacing w:after="0" w:line="2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Compensation Committee Report</w:t>
      </w:r>
    </w:p>
    <w:p>
      <w:pPr>
        <w:spacing w:after="0" w:line="222" w:lineRule="exact"/>
        <w:rPr>
          <w:sz w:val="20"/>
          <w:szCs w:val="20"/>
          <w:color w:val="auto"/>
        </w:rPr>
      </w:pPr>
    </w:p>
    <w:p>
      <w:pPr>
        <w:jc w:val="both"/>
        <w:ind w:right="20"/>
        <w:spacing w:after="0" w:line="260" w:lineRule="auto"/>
        <w:rPr>
          <w:sz w:val="20"/>
          <w:szCs w:val="20"/>
          <w:color w:val="auto"/>
        </w:rPr>
      </w:pPr>
      <w:r>
        <w:rPr>
          <w:rFonts w:ascii="Arial" w:cs="Arial" w:eastAsia="Arial" w:hAnsi="Arial"/>
          <w:sz w:val="14"/>
          <w:szCs w:val="14"/>
          <w:color w:val="auto"/>
        </w:rPr>
        <w:t>The Compensation Committee has reviewed and discussed with management the Compensation Discussion and Analysis required by Item 402(b) of Regulation S-K. Based on this review and discussion, the Compensation Committee recommended to the Board of Directors that the foregoing Compensation Discussion and Analysis be included in this Proxy Statement and incorporated by reference in our Annual Report on Form 10-K for the fiscal year ended December 31, 2024.</w:t>
      </w:r>
    </w:p>
    <w:p>
      <w:pPr>
        <w:spacing w:after="0" w:line="130" w:lineRule="exact"/>
        <w:rPr>
          <w:sz w:val="20"/>
          <w:szCs w:val="20"/>
          <w:color w:val="auto"/>
        </w:rPr>
      </w:pPr>
    </w:p>
    <w:p>
      <w:pPr>
        <w:ind w:left="7000"/>
        <w:spacing w:after="0"/>
        <w:rPr>
          <w:sz w:val="20"/>
          <w:szCs w:val="20"/>
          <w:color w:val="auto"/>
        </w:rPr>
      </w:pPr>
      <w:r>
        <w:rPr>
          <w:rFonts w:ascii="Arial" w:cs="Arial" w:eastAsia="Arial" w:hAnsi="Arial"/>
          <w:sz w:val="13"/>
          <w:szCs w:val="13"/>
          <w:color w:val="auto"/>
        </w:rPr>
        <w:t>Submitted by the Compensation Committee of the Board of Directors</w:t>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Michael Narachi, Chairman</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Deborah Dunsire, M.D.</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Daniel G. Welch</w:t>
      </w:r>
    </w:p>
    <w:p>
      <w:pPr>
        <w:spacing w:after="0" w:line="151"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auto"/>
        </w:rPr>
        <w:t xml:space="preserve">ULTRAGENYX PHARMACEUTICAL INC. </w:t>
      </w:r>
      <w:r>
        <w:rPr>
          <w:rFonts w:ascii="Arial" w:cs="Arial" w:eastAsia="Arial" w:hAnsi="Arial"/>
          <w:sz w:val="14"/>
          <w:szCs w:val="14"/>
          <w:color w:val="7CBD3F"/>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2025 Proxy Statement</w:t>
      </w:r>
      <w:r>
        <w:rPr>
          <w:rFonts w:ascii="Arial" w:cs="Arial" w:eastAsia="Arial" w:hAnsi="Arial"/>
          <w:sz w:val="14"/>
          <w:szCs w:val="14"/>
          <w:b w:val="1"/>
          <w:bCs w:val="1"/>
          <w:color w:val="auto"/>
        </w:rPr>
        <w:tab/>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142240</wp:posOffset>
            </wp:positionV>
            <wp:extent cx="7150735"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0735" cy="29845"/>
                    </a:xfrm>
                    <a:prstGeom prst="rect">
                      <a:avLst/>
                    </a:prstGeom>
                    <a:noFill/>
                  </pic:spPr>
                </pic:pic>
              </a:graphicData>
            </a:graphic>
          </wp:anchor>
        </w:drawing>
      </w:r>
    </w:p>
    <w:p>
      <w:pPr>
        <w:sectPr>
          <w:pgSz w:w="11900" w:h="16838" w:orient="portrait"/>
          <w:cols w:equalWidth="0" w:num="1">
            <w:col w:w="11260"/>
          </w:cols>
          <w:pgMar w:left="320" w:top="225" w:right="319" w:bottom="1440" w:gutter="0" w:footer="0" w:header="0"/>
        </w:sectPr>
      </w:pPr>
    </w:p>
    <w:bookmarkStart w:id="53" w:name="page54"/>
    <w:bookmarkEnd w:id="53"/>
    <w:p>
      <w:pPr>
        <w:ind w:left="7"/>
        <w:spacing w:after="0"/>
        <w:rPr>
          <w:sz w:val="20"/>
          <w:szCs w:val="20"/>
          <w:color w:val="auto"/>
        </w:rPr>
      </w:pPr>
      <w:r>
        <w:rPr>
          <w:rFonts w:ascii="Arial" w:cs="Arial" w:eastAsia="Arial" w:hAnsi="Arial"/>
          <w:sz w:val="12"/>
          <w:szCs w:val="12"/>
          <w:b w:val="1"/>
          <w:bCs w:val="1"/>
          <w:u w:val="single" w:color="auto"/>
          <w:color w:val="0000EE"/>
        </w:rPr>
        <w:t>Back to Contents</w:t>
      </w:r>
    </w:p>
    <w:p>
      <w:pPr>
        <w:spacing w:after="0" w:line="141" w:lineRule="exact"/>
        <w:rPr>
          <w:sz w:val="20"/>
          <w:szCs w:val="20"/>
          <w:color w:val="auto"/>
        </w:rPr>
      </w:pPr>
    </w:p>
    <w:p>
      <w:pPr>
        <w:ind w:left="7"/>
        <w:spacing w:after="0"/>
        <w:rPr>
          <w:sz w:val="20"/>
          <w:szCs w:val="20"/>
          <w:color w:val="auto"/>
        </w:rPr>
      </w:pPr>
      <w:r>
        <w:rPr>
          <w:rFonts w:ascii="Arial" w:cs="Arial" w:eastAsia="Arial" w:hAnsi="Arial"/>
          <w:sz w:val="22"/>
          <w:szCs w:val="22"/>
          <w:b w:val="1"/>
          <w:bCs w:val="1"/>
          <w:color w:val="auto"/>
        </w:rPr>
        <w:t>Summary Compensation Table</w:t>
      </w:r>
    </w:p>
    <w:p>
      <w:pPr>
        <w:spacing w:after="0" w:line="222" w:lineRule="exact"/>
        <w:rPr>
          <w:sz w:val="20"/>
          <w:szCs w:val="20"/>
          <w:color w:val="auto"/>
        </w:rPr>
      </w:pPr>
    </w:p>
    <w:p>
      <w:pPr>
        <w:ind w:left="7" w:right="20"/>
        <w:spacing w:after="0" w:line="278" w:lineRule="auto"/>
        <w:rPr>
          <w:sz w:val="20"/>
          <w:szCs w:val="20"/>
          <w:color w:val="auto"/>
        </w:rPr>
      </w:pPr>
      <w:r>
        <w:rPr>
          <w:rFonts w:ascii="Arial" w:cs="Arial" w:eastAsia="Arial" w:hAnsi="Arial"/>
          <w:sz w:val="14"/>
          <w:szCs w:val="14"/>
          <w:color w:val="auto"/>
        </w:rPr>
        <w:t>The following table sets forth the compensation earned during the years ended December 31, 2024, 2023, and 2022 by our Chief Executive Officer, our Chief Financial Officer and our next three highest-paid executives. We refer to these officers as our named executive officers.</w:t>
      </w:r>
    </w:p>
    <w:p>
      <w:pPr>
        <w:spacing w:after="0" w:line="128" w:lineRule="exact"/>
        <w:rPr>
          <w:sz w:val="20"/>
          <w:szCs w:val="20"/>
          <w:color w:val="auto"/>
        </w:rPr>
      </w:pPr>
    </w:p>
    <w:tbl>
      <w:tblPr>
        <w:tblLayout w:type="fixed"/>
        <w:tblInd w:w="7" w:type="dxa"/>
        <w:tblCellMar>
          <w:top w:w="0" w:type="dxa"/>
          <w:left w:w="0" w:type="dxa"/>
          <w:bottom w:w="0" w:type="dxa"/>
          <w:right w:w="0" w:type="dxa"/>
        </w:tblCellMar>
      </w:tblPr>
      <w:tr>
        <w:trPr>
          <w:trHeight w:val="163"/>
        </w:trPr>
        <w:tc>
          <w:tcPr>
            <w:tcW w:w="2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jc w:val="right"/>
              <w:ind w:right="110"/>
              <w:spacing w:after="0"/>
              <w:rPr>
                <w:sz w:val="20"/>
                <w:szCs w:val="20"/>
                <w:color w:val="auto"/>
              </w:rPr>
            </w:pPr>
            <w:r>
              <w:rPr>
                <w:rFonts w:ascii="Arial" w:cs="Arial" w:eastAsia="Arial" w:hAnsi="Arial"/>
                <w:sz w:val="14"/>
                <w:szCs w:val="14"/>
                <w:b w:val="1"/>
                <w:bCs w:val="1"/>
                <w:color w:val="auto"/>
              </w:rPr>
              <w:t>Non-Equity</w:t>
            </w: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40" w:type="dxa"/>
            <w:vAlign w:val="bottom"/>
          </w:tcPr>
          <w:p>
            <w:pPr>
              <w:jc w:val="right"/>
              <w:ind w:right="130"/>
              <w:spacing w:after="0"/>
              <w:rPr>
                <w:sz w:val="20"/>
                <w:szCs w:val="20"/>
                <w:color w:val="auto"/>
              </w:rPr>
            </w:pPr>
            <w:r>
              <w:rPr>
                <w:rFonts w:ascii="Arial" w:cs="Arial" w:eastAsia="Arial" w:hAnsi="Arial"/>
                <w:sz w:val="14"/>
                <w:szCs w:val="14"/>
                <w:b w:val="1"/>
                <w:bCs w:val="1"/>
                <w:color w:val="auto"/>
              </w:rPr>
              <w:t>Stock</w:t>
            </w:r>
          </w:p>
        </w:tc>
        <w:tc>
          <w:tcPr>
            <w:tcW w:w="1020" w:type="dxa"/>
            <w:vAlign w:val="bottom"/>
          </w:tcPr>
          <w:p>
            <w:pPr>
              <w:jc w:val="right"/>
              <w:ind w:right="70"/>
              <w:spacing w:after="0"/>
              <w:rPr>
                <w:sz w:val="20"/>
                <w:szCs w:val="20"/>
                <w:color w:val="auto"/>
              </w:rPr>
            </w:pPr>
            <w:r>
              <w:rPr>
                <w:rFonts w:ascii="Arial" w:cs="Arial" w:eastAsia="Arial" w:hAnsi="Arial"/>
                <w:sz w:val="14"/>
                <w:szCs w:val="14"/>
                <w:b w:val="1"/>
                <w:bCs w:val="1"/>
                <w:color w:val="auto"/>
              </w:rPr>
              <w:t>Option</w:t>
            </w:r>
          </w:p>
        </w:tc>
        <w:tc>
          <w:tcPr>
            <w:tcW w:w="260" w:type="dxa"/>
            <w:vAlign w:val="bottom"/>
          </w:tcPr>
          <w:p>
            <w:pPr>
              <w:spacing w:after="0"/>
              <w:rPr>
                <w:sz w:val="14"/>
                <w:szCs w:val="14"/>
                <w:color w:val="auto"/>
              </w:rPr>
            </w:pPr>
          </w:p>
        </w:tc>
        <w:tc>
          <w:tcPr>
            <w:tcW w:w="1140" w:type="dxa"/>
            <w:vAlign w:val="bottom"/>
          </w:tcPr>
          <w:p>
            <w:pPr>
              <w:jc w:val="right"/>
              <w:ind w:right="110"/>
              <w:spacing w:after="0"/>
              <w:rPr>
                <w:sz w:val="20"/>
                <w:szCs w:val="20"/>
                <w:color w:val="auto"/>
              </w:rPr>
            </w:pPr>
            <w:r>
              <w:rPr>
                <w:rFonts w:ascii="Arial" w:cs="Arial" w:eastAsia="Arial" w:hAnsi="Arial"/>
                <w:sz w:val="14"/>
                <w:szCs w:val="14"/>
                <w:b w:val="1"/>
                <w:bCs w:val="1"/>
                <w:color w:val="auto"/>
                <w:w w:val="99"/>
              </w:rPr>
              <w:t>Incentive Plan</w:t>
            </w:r>
          </w:p>
        </w:tc>
        <w:tc>
          <w:tcPr>
            <w:tcW w:w="440" w:type="dxa"/>
            <w:vAlign w:val="bottom"/>
          </w:tcPr>
          <w:p>
            <w:pPr>
              <w:spacing w:after="0"/>
              <w:rPr>
                <w:sz w:val="14"/>
                <w:szCs w:val="14"/>
                <w:color w:val="auto"/>
              </w:rPr>
            </w:pPr>
          </w:p>
        </w:tc>
        <w:tc>
          <w:tcPr>
            <w:tcW w:w="980" w:type="dxa"/>
            <w:vAlign w:val="bottom"/>
          </w:tcPr>
          <w:p>
            <w:pPr>
              <w:jc w:val="right"/>
              <w:ind w:right="110"/>
              <w:spacing w:after="0"/>
              <w:rPr>
                <w:sz w:val="20"/>
                <w:szCs w:val="20"/>
                <w:color w:val="auto"/>
              </w:rPr>
            </w:pPr>
            <w:r>
              <w:rPr>
                <w:rFonts w:ascii="Arial" w:cs="Arial" w:eastAsia="Arial" w:hAnsi="Arial"/>
                <w:sz w:val="14"/>
                <w:szCs w:val="14"/>
                <w:b w:val="1"/>
                <w:bCs w:val="1"/>
                <w:color w:val="auto"/>
              </w:rPr>
              <w:t>All Other</w:t>
            </w: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2800" w:type="dxa"/>
            <w:vAlign w:val="bottom"/>
            <w:tcBorders>
              <w:bottom w:val="single" w:sz="8" w:color="7CBD3F"/>
            </w:tcBorders>
          </w:tcPr>
          <w:p>
            <w:pPr>
              <w:ind w:left="40"/>
              <w:spacing w:after="0"/>
              <w:rPr>
                <w:sz w:val="20"/>
                <w:szCs w:val="20"/>
                <w:color w:val="auto"/>
              </w:rPr>
            </w:pPr>
            <w:r>
              <w:rPr>
                <w:rFonts w:ascii="Arial" w:cs="Arial" w:eastAsia="Arial" w:hAnsi="Arial"/>
                <w:sz w:val="14"/>
                <w:szCs w:val="14"/>
                <w:b w:val="1"/>
                <w:bCs w:val="1"/>
                <w:color w:val="auto"/>
              </w:rPr>
              <w:t>Name and Principal Position</w:t>
            </w:r>
          </w:p>
        </w:tc>
        <w:tc>
          <w:tcPr>
            <w:tcW w:w="700" w:type="dxa"/>
            <w:vAlign w:val="bottom"/>
            <w:tcBorders>
              <w:bottom w:val="single" w:sz="8" w:color="7CBD3F"/>
            </w:tcBorders>
          </w:tcPr>
          <w:p>
            <w:pPr>
              <w:jc w:val="right"/>
              <w:ind w:right="70"/>
              <w:spacing w:after="0"/>
              <w:rPr>
                <w:sz w:val="20"/>
                <w:szCs w:val="20"/>
                <w:color w:val="auto"/>
              </w:rPr>
            </w:pPr>
            <w:r>
              <w:rPr>
                <w:rFonts w:ascii="Arial" w:cs="Arial" w:eastAsia="Arial" w:hAnsi="Arial"/>
                <w:sz w:val="14"/>
                <w:szCs w:val="14"/>
                <w:b w:val="1"/>
                <w:bCs w:val="1"/>
                <w:color w:val="auto"/>
              </w:rPr>
              <w:t>Year</w:t>
            </w:r>
          </w:p>
        </w:tc>
        <w:tc>
          <w:tcPr>
            <w:tcW w:w="920" w:type="dxa"/>
            <w:vAlign w:val="bottom"/>
            <w:tcBorders>
              <w:bottom w:val="single" w:sz="8" w:color="7CBD3F"/>
            </w:tcBorders>
          </w:tcPr>
          <w:p>
            <w:pPr>
              <w:jc w:val="right"/>
              <w:ind w:right="70"/>
              <w:spacing w:after="0"/>
              <w:rPr>
                <w:sz w:val="20"/>
                <w:szCs w:val="20"/>
                <w:color w:val="auto"/>
              </w:rPr>
            </w:pPr>
            <w:r>
              <w:rPr>
                <w:rFonts w:ascii="Arial" w:cs="Arial" w:eastAsia="Arial" w:hAnsi="Arial"/>
                <w:sz w:val="14"/>
                <w:szCs w:val="14"/>
                <w:b w:val="1"/>
                <w:bCs w:val="1"/>
                <w:color w:val="auto"/>
              </w:rPr>
              <w:t>Salary</w:t>
            </w:r>
          </w:p>
        </w:tc>
        <w:tc>
          <w:tcPr>
            <w:tcW w:w="280" w:type="dxa"/>
            <w:vAlign w:val="bottom"/>
            <w:tcBorders>
              <w:bottom w:val="single" w:sz="8" w:color="7CBD3F"/>
            </w:tcBorders>
          </w:tcPr>
          <w:p>
            <w:pPr>
              <w:spacing w:after="0"/>
              <w:rPr>
                <w:sz w:val="19"/>
                <w:szCs w:val="19"/>
                <w:color w:val="auto"/>
              </w:rPr>
            </w:pPr>
          </w:p>
        </w:tc>
        <w:tc>
          <w:tcPr>
            <w:tcW w:w="620" w:type="dxa"/>
            <w:vAlign w:val="bottom"/>
            <w:tcBorders>
              <w:bottom w:val="single" w:sz="8" w:color="7CBD3F"/>
            </w:tcBorders>
          </w:tcPr>
          <w:p>
            <w:pPr>
              <w:jc w:val="right"/>
              <w:ind w:right="70"/>
              <w:spacing w:after="0"/>
              <w:rPr>
                <w:sz w:val="20"/>
                <w:szCs w:val="20"/>
                <w:color w:val="auto"/>
              </w:rPr>
            </w:pPr>
            <w:r>
              <w:rPr>
                <w:rFonts w:ascii="Arial" w:cs="Arial" w:eastAsia="Arial" w:hAnsi="Arial"/>
                <w:sz w:val="14"/>
                <w:szCs w:val="14"/>
                <w:b w:val="1"/>
                <w:bCs w:val="1"/>
                <w:color w:val="auto"/>
              </w:rPr>
              <w:t>Bonus</w:t>
            </w:r>
          </w:p>
        </w:tc>
        <w:tc>
          <w:tcPr>
            <w:tcW w:w="1040" w:type="dxa"/>
            <w:vAlign w:val="bottom"/>
            <w:tcBorders>
              <w:bottom w:val="single" w:sz="8" w:color="7CBD3F"/>
            </w:tcBorders>
          </w:tcPr>
          <w:p>
            <w:pPr>
              <w:jc w:val="right"/>
              <w:ind w:right="90"/>
              <w:spacing w:after="0" w:line="222" w:lineRule="exact"/>
              <w:rPr>
                <w:sz w:val="20"/>
                <w:szCs w:val="20"/>
                <w:color w:val="auto"/>
              </w:rPr>
            </w:pPr>
            <w:r>
              <w:rPr>
                <w:rFonts w:ascii="Arial" w:cs="Arial" w:eastAsia="Arial" w:hAnsi="Arial"/>
                <w:sz w:val="14"/>
                <w:szCs w:val="14"/>
                <w:b w:val="1"/>
                <w:bCs w:val="1"/>
                <w:color w:val="auto"/>
              </w:rPr>
              <w:t>Award</w:t>
            </w:r>
            <w:r>
              <w:rPr>
                <w:rFonts w:ascii="Arial" w:cs="Arial" w:eastAsia="Arial" w:hAnsi="Arial"/>
                <w:sz w:val="23"/>
                <w:szCs w:val="23"/>
                <w:b w:val="1"/>
                <w:bCs w:val="1"/>
                <w:color w:val="auto"/>
                <w:vertAlign w:val="superscript"/>
              </w:rPr>
              <w:t>(1)</w:t>
            </w:r>
          </w:p>
        </w:tc>
        <w:tc>
          <w:tcPr>
            <w:tcW w:w="1020" w:type="dxa"/>
            <w:vAlign w:val="bottom"/>
            <w:tcBorders>
              <w:bottom w:val="single" w:sz="8" w:color="7CBD3F"/>
            </w:tcBorders>
          </w:tcPr>
          <w:p>
            <w:pPr>
              <w:jc w:val="right"/>
              <w:ind w:right="70"/>
              <w:spacing w:after="0" w:line="222" w:lineRule="exact"/>
              <w:rPr>
                <w:sz w:val="20"/>
                <w:szCs w:val="20"/>
                <w:color w:val="auto"/>
              </w:rPr>
            </w:pPr>
            <w:r>
              <w:rPr>
                <w:rFonts w:ascii="Arial" w:cs="Arial" w:eastAsia="Arial" w:hAnsi="Arial"/>
                <w:sz w:val="14"/>
                <w:szCs w:val="14"/>
                <w:b w:val="1"/>
                <w:bCs w:val="1"/>
                <w:color w:val="auto"/>
              </w:rPr>
              <w:t>Award</w:t>
            </w:r>
            <w:r>
              <w:rPr>
                <w:rFonts w:ascii="Arial" w:cs="Arial" w:eastAsia="Arial" w:hAnsi="Arial"/>
                <w:sz w:val="23"/>
                <w:szCs w:val="23"/>
                <w:b w:val="1"/>
                <w:bCs w:val="1"/>
                <w:color w:val="auto"/>
                <w:vertAlign w:val="superscript"/>
              </w:rPr>
              <w:t>(2)</w:t>
            </w:r>
          </w:p>
        </w:tc>
        <w:tc>
          <w:tcPr>
            <w:tcW w:w="1400" w:type="dxa"/>
            <w:vAlign w:val="bottom"/>
            <w:tcBorders>
              <w:bottom w:val="single" w:sz="8" w:color="7CBD3F"/>
            </w:tcBorders>
            <w:gridSpan w:val="2"/>
          </w:tcPr>
          <w:p>
            <w:pPr>
              <w:ind w:left="140"/>
              <w:spacing w:after="0" w:line="222" w:lineRule="exact"/>
              <w:rPr>
                <w:sz w:val="20"/>
                <w:szCs w:val="20"/>
                <w:color w:val="auto"/>
              </w:rPr>
            </w:pPr>
            <w:r>
              <w:rPr>
                <w:rFonts w:ascii="Arial" w:cs="Arial" w:eastAsia="Arial" w:hAnsi="Arial"/>
                <w:sz w:val="14"/>
                <w:szCs w:val="14"/>
                <w:b w:val="1"/>
                <w:bCs w:val="1"/>
                <w:color w:val="auto"/>
              </w:rPr>
              <w:t>Compensation</w:t>
            </w:r>
            <w:r>
              <w:rPr>
                <w:rFonts w:ascii="Arial" w:cs="Arial" w:eastAsia="Arial" w:hAnsi="Arial"/>
                <w:sz w:val="23"/>
                <w:szCs w:val="23"/>
                <w:b w:val="1"/>
                <w:bCs w:val="1"/>
                <w:color w:val="auto"/>
                <w:vertAlign w:val="superscript"/>
              </w:rPr>
              <w:t>(3)</w:t>
            </w:r>
          </w:p>
        </w:tc>
        <w:tc>
          <w:tcPr>
            <w:tcW w:w="1420" w:type="dxa"/>
            <w:vAlign w:val="bottom"/>
            <w:tcBorders>
              <w:bottom w:val="single" w:sz="8" w:color="7CBD3F"/>
            </w:tcBorders>
            <w:gridSpan w:val="2"/>
          </w:tcPr>
          <w:p>
            <w:pPr>
              <w:ind w:left="160"/>
              <w:spacing w:after="0" w:line="222" w:lineRule="exact"/>
              <w:rPr>
                <w:sz w:val="20"/>
                <w:szCs w:val="20"/>
                <w:color w:val="auto"/>
              </w:rPr>
            </w:pPr>
            <w:r>
              <w:rPr>
                <w:rFonts w:ascii="Arial" w:cs="Arial" w:eastAsia="Arial" w:hAnsi="Arial"/>
                <w:sz w:val="14"/>
                <w:szCs w:val="14"/>
                <w:b w:val="1"/>
                <w:bCs w:val="1"/>
                <w:color w:val="auto"/>
              </w:rPr>
              <w:t>Compensation</w:t>
            </w:r>
            <w:r>
              <w:rPr>
                <w:rFonts w:ascii="Arial" w:cs="Arial" w:eastAsia="Arial" w:hAnsi="Arial"/>
                <w:sz w:val="23"/>
                <w:szCs w:val="23"/>
                <w:b w:val="1"/>
                <w:bCs w:val="1"/>
                <w:color w:val="auto"/>
                <w:vertAlign w:val="superscript"/>
              </w:rPr>
              <w:t>(4)</w:t>
            </w:r>
          </w:p>
        </w:tc>
        <w:tc>
          <w:tcPr>
            <w:tcW w:w="1060" w:type="dxa"/>
            <w:vAlign w:val="bottom"/>
            <w:tcBorders>
              <w:bottom w:val="single" w:sz="8" w:color="7CBD3F"/>
            </w:tcBorders>
          </w:tcPr>
          <w:p>
            <w:pPr>
              <w:jc w:val="right"/>
              <w:ind w:right="3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3"/>
        </w:trPr>
        <w:tc>
          <w:tcPr>
            <w:tcW w:w="2800" w:type="dxa"/>
            <w:vAlign w:val="bottom"/>
          </w:tcPr>
          <w:p>
            <w:pPr>
              <w:ind w:left="40"/>
              <w:spacing w:after="0"/>
              <w:rPr>
                <w:sz w:val="20"/>
                <w:szCs w:val="20"/>
                <w:color w:val="auto"/>
              </w:rPr>
            </w:pPr>
            <w:r>
              <w:rPr>
                <w:rFonts w:ascii="Arial" w:cs="Arial" w:eastAsia="Arial" w:hAnsi="Arial"/>
                <w:sz w:val="14"/>
                <w:szCs w:val="14"/>
                <w:b w:val="1"/>
                <w:bCs w:val="1"/>
                <w:color w:val="auto"/>
              </w:rPr>
              <w:t>Emil D. Kakkis, M.D., Ph.D.</w:t>
            </w:r>
          </w:p>
        </w:tc>
        <w:tc>
          <w:tcPr>
            <w:tcW w:w="700" w:type="dxa"/>
            <w:vAlign w:val="bottom"/>
          </w:tcPr>
          <w:p>
            <w:pPr>
              <w:jc w:val="right"/>
              <w:ind w:right="70"/>
              <w:spacing w:after="0"/>
              <w:rPr>
                <w:sz w:val="20"/>
                <w:szCs w:val="20"/>
                <w:color w:val="auto"/>
              </w:rPr>
            </w:pPr>
            <w:r>
              <w:rPr>
                <w:rFonts w:ascii="Arial" w:cs="Arial" w:eastAsia="Arial" w:hAnsi="Arial"/>
                <w:sz w:val="14"/>
                <w:szCs w:val="14"/>
                <w:color w:val="auto"/>
              </w:rPr>
              <w:t>2024</w:t>
            </w:r>
          </w:p>
        </w:tc>
        <w:tc>
          <w:tcPr>
            <w:tcW w:w="920" w:type="dxa"/>
            <w:vAlign w:val="bottom"/>
          </w:tcPr>
          <w:p>
            <w:pPr>
              <w:jc w:val="right"/>
              <w:ind w:right="70"/>
              <w:spacing w:after="0"/>
              <w:rPr>
                <w:sz w:val="20"/>
                <w:szCs w:val="20"/>
                <w:color w:val="auto"/>
              </w:rPr>
            </w:pPr>
            <w:r>
              <w:rPr>
                <w:rFonts w:ascii="Arial" w:cs="Arial" w:eastAsia="Arial" w:hAnsi="Arial"/>
                <w:sz w:val="14"/>
                <w:szCs w:val="14"/>
                <w:color w:val="auto"/>
              </w:rPr>
              <w:t>$ 856,008</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90"/>
              <w:spacing w:after="0"/>
              <w:rPr>
                <w:sz w:val="20"/>
                <w:szCs w:val="20"/>
                <w:color w:val="auto"/>
              </w:rPr>
            </w:pPr>
            <w:r>
              <w:rPr>
                <w:rFonts w:ascii="Arial" w:cs="Arial" w:eastAsia="Arial" w:hAnsi="Arial"/>
                <w:sz w:val="14"/>
                <w:szCs w:val="14"/>
                <w:color w:val="auto"/>
              </w:rPr>
              <w:t>$ 9,374,511</w:t>
            </w:r>
          </w:p>
        </w:tc>
        <w:tc>
          <w:tcPr>
            <w:tcW w:w="1020" w:type="dxa"/>
            <w:vAlign w:val="bottom"/>
          </w:tcPr>
          <w:p>
            <w:pPr>
              <w:jc w:val="right"/>
              <w:ind w:right="70"/>
              <w:spacing w:after="0"/>
              <w:rPr>
                <w:sz w:val="20"/>
                <w:szCs w:val="20"/>
                <w:color w:val="auto"/>
              </w:rPr>
            </w:pPr>
            <w:r>
              <w:rPr>
                <w:rFonts w:ascii="Arial" w:cs="Arial" w:eastAsia="Arial" w:hAnsi="Arial"/>
                <w:sz w:val="14"/>
                <w:szCs w:val="14"/>
                <w:color w:val="auto"/>
              </w:rPr>
              <w:t>$ 2,715,600</w:t>
            </w:r>
          </w:p>
        </w:tc>
        <w:tc>
          <w:tcPr>
            <w:tcW w:w="260" w:type="dxa"/>
            <w:vAlign w:val="bottom"/>
          </w:tcPr>
          <w:p>
            <w:pPr>
              <w:ind w:left="14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70"/>
              <w:spacing w:after="0"/>
              <w:rPr>
                <w:sz w:val="20"/>
                <w:szCs w:val="20"/>
                <w:color w:val="auto"/>
              </w:rPr>
            </w:pPr>
            <w:r>
              <w:rPr>
                <w:rFonts w:ascii="Arial" w:cs="Arial" w:eastAsia="Arial" w:hAnsi="Arial"/>
                <w:sz w:val="14"/>
                <w:szCs w:val="14"/>
                <w:color w:val="auto"/>
              </w:rPr>
              <w:t>757,768</w:t>
            </w:r>
          </w:p>
        </w:tc>
        <w:tc>
          <w:tcPr>
            <w:tcW w:w="440" w:type="dxa"/>
            <w:vAlign w:val="bottom"/>
          </w:tcPr>
          <w:p>
            <w:pPr>
              <w:ind w:left="16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70"/>
              <w:spacing w:after="0"/>
              <w:rPr>
                <w:sz w:val="20"/>
                <w:szCs w:val="20"/>
                <w:color w:val="auto"/>
              </w:rPr>
            </w:pPr>
            <w:r>
              <w:rPr>
                <w:rFonts w:ascii="Arial" w:cs="Arial" w:eastAsia="Arial" w:hAnsi="Arial"/>
                <w:sz w:val="14"/>
                <w:szCs w:val="14"/>
                <w:color w:val="auto"/>
              </w:rPr>
              <w:t>13,800</w:t>
            </w:r>
          </w:p>
        </w:tc>
        <w:tc>
          <w:tcPr>
            <w:tcW w:w="1060" w:type="dxa"/>
            <w:vAlign w:val="bottom"/>
          </w:tcPr>
          <w:p>
            <w:pPr>
              <w:jc w:val="right"/>
              <w:ind w:right="30"/>
              <w:spacing w:after="0"/>
              <w:rPr>
                <w:sz w:val="20"/>
                <w:szCs w:val="20"/>
                <w:color w:val="auto"/>
              </w:rPr>
            </w:pPr>
            <w:r>
              <w:rPr>
                <w:rFonts w:ascii="Arial" w:cs="Arial" w:eastAsia="Arial" w:hAnsi="Arial"/>
                <w:sz w:val="14"/>
                <w:szCs w:val="14"/>
                <w:color w:val="auto"/>
              </w:rPr>
              <w:t>$ 13,717,687</w:t>
            </w:r>
          </w:p>
        </w:tc>
        <w:tc>
          <w:tcPr>
            <w:tcW w:w="0" w:type="dxa"/>
            <w:vAlign w:val="bottom"/>
          </w:tcPr>
          <w:p>
            <w:pPr>
              <w:spacing w:after="0"/>
              <w:rPr>
                <w:sz w:val="1"/>
                <w:szCs w:val="1"/>
                <w:color w:val="auto"/>
              </w:rPr>
            </w:pPr>
          </w:p>
        </w:tc>
      </w:tr>
      <w:tr>
        <w:trPr>
          <w:trHeight w:val="24"/>
        </w:trPr>
        <w:tc>
          <w:tcPr>
            <w:tcW w:w="2800" w:type="dxa"/>
            <w:vAlign w:val="bottom"/>
            <w:vMerge w:val="restart"/>
          </w:tcPr>
          <w:p>
            <w:pPr>
              <w:ind w:left="200"/>
              <w:spacing w:after="0"/>
              <w:rPr>
                <w:sz w:val="20"/>
                <w:szCs w:val="20"/>
                <w:color w:val="auto"/>
              </w:rPr>
            </w:pPr>
            <w:r>
              <w:rPr>
                <w:rFonts w:ascii="Arial" w:cs="Arial" w:eastAsia="Arial" w:hAnsi="Arial"/>
                <w:sz w:val="14"/>
                <w:szCs w:val="14"/>
                <w:color w:val="auto"/>
              </w:rPr>
              <w:t>President and Chief Executive Officer</w:t>
            </w:r>
          </w:p>
        </w:tc>
        <w:tc>
          <w:tcPr>
            <w:tcW w:w="7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2800" w:type="dxa"/>
            <w:vAlign w:val="bottom"/>
            <w:vMerge w:val="continue"/>
          </w:tcPr>
          <w:p>
            <w:pPr>
              <w:spacing w:after="0"/>
              <w:rPr>
                <w:sz w:val="16"/>
                <w:szCs w:val="16"/>
                <w:color w:val="auto"/>
              </w:rPr>
            </w:pPr>
          </w:p>
        </w:tc>
        <w:tc>
          <w:tcPr>
            <w:tcW w:w="700" w:type="dxa"/>
            <w:vAlign w:val="bottom"/>
            <w:shd w:val="clear" w:color="auto" w:fill="F0F7E7"/>
          </w:tcPr>
          <w:p>
            <w:pPr>
              <w:jc w:val="right"/>
              <w:ind w:right="70"/>
              <w:spacing w:after="0"/>
              <w:rPr>
                <w:sz w:val="20"/>
                <w:szCs w:val="20"/>
                <w:color w:val="auto"/>
              </w:rPr>
            </w:pPr>
            <w:r>
              <w:rPr>
                <w:rFonts w:ascii="Arial" w:cs="Arial" w:eastAsia="Arial" w:hAnsi="Arial"/>
                <w:sz w:val="14"/>
                <w:szCs w:val="14"/>
                <w:color w:val="auto"/>
              </w:rPr>
              <w:t>2023</w:t>
            </w:r>
          </w:p>
        </w:tc>
        <w:tc>
          <w:tcPr>
            <w:tcW w:w="920" w:type="dxa"/>
            <w:vAlign w:val="bottom"/>
            <w:shd w:val="clear" w:color="auto" w:fill="F0F7E7"/>
          </w:tcPr>
          <w:p>
            <w:pPr>
              <w:jc w:val="right"/>
              <w:ind w:right="70"/>
              <w:spacing w:after="0"/>
              <w:rPr>
                <w:sz w:val="20"/>
                <w:szCs w:val="20"/>
                <w:color w:val="auto"/>
              </w:rPr>
            </w:pPr>
            <w:r>
              <w:rPr>
                <w:rFonts w:ascii="Arial" w:cs="Arial" w:eastAsia="Arial" w:hAnsi="Arial"/>
                <w:sz w:val="14"/>
                <w:szCs w:val="14"/>
                <w:color w:val="auto"/>
              </w:rPr>
              <w:t>823,692</w:t>
            </w:r>
          </w:p>
        </w:tc>
        <w:tc>
          <w:tcPr>
            <w:tcW w:w="280" w:type="dxa"/>
            <w:vAlign w:val="bottom"/>
            <w:shd w:val="clear" w:color="auto" w:fill="F0F7E7"/>
          </w:tcPr>
          <w:p>
            <w:pPr>
              <w:spacing w:after="0"/>
              <w:rPr>
                <w:sz w:val="16"/>
                <w:szCs w:val="16"/>
                <w:color w:val="auto"/>
              </w:rPr>
            </w:pPr>
          </w:p>
        </w:tc>
        <w:tc>
          <w:tcPr>
            <w:tcW w:w="620" w:type="dxa"/>
            <w:vAlign w:val="bottom"/>
            <w:shd w:val="clear" w:color="auto" w:fill="F0F7E7"/>
          </w:tcPr>
          <w:p>
            <w:pPr>
              <w:jc w:val="right"/>
              <w:ind w:right="70"/>
              <w:spacing w:after="0"/>
              <w:rPr>
                <w:sz w:val="20"/>
                <w:szCs w:val="20"/>
                <w:color w:val="auto"/>
              </w:rPr>
            </w:pPr>
            <w:r>
              <w:rPr>
                <w:rFonts w:ascii="Arial" w:cs="Arial" w:eastAsia="Arial" w:hAnsi="Arial"/>
                <w:sz w:val="14"/>
                <w:szCs w:val="14"/>
                <w:color w:val="auto"/>
              </w:rPr>
              <w:t>—</w:t>
            </w:r>
          </w:p>
        </w:tc>
        <w:tc>
          <w:tcPr>
            <w:tcW w:w="1040" w:type="dxa"/>
            <w:vAlign w:val="bottom"/>
            <w:shd w:val="clear" w:color="auto" w:fill="F0F7E7"/>
          </w:tcPr>
          <w:p>
            <w:pPr>
              <w:jc w:val="right"/>
              <w:ind w:right="90"/>
              <w:spacing w:after="0"/>
              <w:rPr>
                <w:sz w:val="20"/>
                <w:szCs w:val="20"/>
                <w:color w:val="auto"/>
              </w:rPr>
            </w:pPr>
            <w:r>
              <w:rPr>
                <w:rFonts w:ascii="Arial" w:cs="Arial" w:eastAsia="Arial" w:hAnsi="Arial"/>
                <w:sz w:val="14"/>
                <w:szCs w:val="14"/>
                <w:color w:val="auto"/>
              </w:rPr>
              <w:t>9,456,663</w:t>
            </w:r>
          </w:p>
        </w:tc>
        <w:tc>
          <w:tcPr>
            <w:tcW w:w="1020" w:type="dxa"/>
            <w:vAlign w:val="bottom"/>
            <w:shd w:val="clear" w:color="auto" w:fill="F0F7E7"/>
          </w:tcPr>
          <w:p>
            <w:pPr>
              <w:jc w:val="right"/>
              <w:ind w:right="70"/>
              <w:spacing w:after="0"/>
              <w:rPr>
                <w:sz w:val="20"/>
                <w:szCs w:val="20"/>
                <w:color w:val="auto"/>
              </w:rPr>
            </w:pPr>
            <w:r>
              <w:rPr>
                <w:rFonts w:ascii="Arial" w:cs="Arial" w:eastAsia="Arial" w:hAnsi="Arial"/>
                <w:sz w:val="14"/>
                <w:szCs w:val="14"/>
                <w:color w:val="auto"/>
              </w:rPr>
              <w:t>2,161,782</w:t>
            </w:r>
          </w:p>
        </w:tc>
        <w:tc>
          <w:tcPr>
            <w:tcW w:w="260" w:type="dxa"/>
            <w:vAlign w:val="bottom"/>
            <w:shd w:val="clear" w:color="auto" w:fill="F0F7E7"/>
          </w:tcPr>
          <w:p>
            <w:pPr>
              <w:spacing w:after="0"/>
              <w:rPr>
                <w:sz w:val="16"/>
                <w:szCs w:val="16"/>
                <w:color w:val="auto"/>
              </w:rPr>
            </w:pPr>
          </w:p>
        </w:tc>
        <w:tc>
          <w:tcPr>
            <w:tcW w:w="1140" w:type="dxa"/>
            <w:vAlign w:val="bottom"/>
            <w:shd w:val="clear" w:color="auto" w:fill="F0F7E7"/>
          </w:tcPr>
          <w:p>
            <w:pPr>
              <w:jc w:val="right"/>
              <w:ind w:right="70"/>
              <w:spacing w:after="0"/>
              <w:rPr>
                <w:sz w:val="20"/>
                <w:szCs w:val="20"/>
                <w:color w:val="auto"/>
              </w:rPr>
            </w:pPr>
            <w:r>
              <w:rPr>
                <w:rFonts w:ascii="Arial" w:cs="Arial" w:eastAsia="Arial" w:hAnsi="Arial"/>
                <w:sz w:val="14"/>
                <w:szCs w:val="14"/>
                <w:color w:val="auto"/>
              </w:rPr>
              <w:t>622,656</w:t>
            </w:r>
          </w:p>
        </w:tc>
        <w:tc>
          <w:tcPr>
            <w:tcW w:w="440" w:type="dxa"/>
            <w:vAlign w:val="bottom"/>
            <w:shd w:val="clear" w:color="auto" w:fill="F0F7E7"/>
          </w:tcPr>
          <w:p>
            <w:pPr>
              <w:spacing w:after="0"/>
              <w:rPr>
                <w:sz w:val="16"/>
                <w:szCs w:val="16"/>
                <w:color w:val="auto"/>
              </w:rPr>
            </w:pPr>
          </w:p>
        </w:tc>
        <w:tc>
          <w:tcPr>
            <w:tcW w:w="980" w:type="dxa"/>
            <w:vAlign w:val="bottom"/>
            <w:shd w:val="clear" w:color="auto" w:fill="F0F7E7"/>
          </w:tcPr>
          <w:p>
            <w:pPr>
              <w:jc w:val="right"/>
              <w:ind w:right="70"/>
              <w:spacing w:after="0"/>
              <w:rPr>
                <w:sz w:val="20"/>
                <w:szCs w:val="20"/>
                <w:color w:val="auto"/>
              </w:rPr>
            </w:pPr>
            <w:r>
              <w:rPr>
                <w:rFonts w:ascii="Arial" w:cs="Arial" w:eastAsia="Arial" w:hAnsi="Arial"/>
                <w:sz w:val="14"/>
                <w:szCs w:val="14"/>
                <w:color w:val="auto"/>
              </w:rPr>
              <w:t>13,200</w:t>
            </w:r>
          </w:p>
        </w:tc>
        <w:tc>
          <w:tcPr>
            <w:tcW w:w="1060" w:type="dxa"/>
            <w:vAlign w:val="bottom"/>
            <w:shd w:val="clear" w:color="auto" w:fill="F0F7E7"/>
          </w:tcPr>
          <w:p>
            <w:pPr>
              <w:jc w:val="right"/>
              <w:ind w:right="30"/>
              <w:spacing w:after="0"/>
              <w:rPr>
                <w:sz w:val="20"/>
                <w:szCs w:val="20"/>
                <w:color w:val="auto"/>
              </w:rPr>
            </w:pPr>
            <w:r>
              <w:rPr>
                <w:rFonts w:ascii="Arial" w:cs="Arial" w:eastAsia="Arial" w:hAnsi="Arial"/>
                <w:sz w:val="14"/>
                <w:szCs w:val="14"/>
                <w:color w:val="auto"/>
              </w:rPr>
              <w:t>13,077,993</w:t>
            </w:r>
          </w:p>
        </w:tc>
        <w:tc>
          <w:tcPr>
            <w:tcW w:w="0" w:type="dxa"/>
            <w:vAlign w:val="bottom"/>
          </w:tcPr>
          <w:p>
            <w:pPr>
              <w:spacing w:after="0"/>
              <w:rPr>
                <w:sz w:val="1"/>
                <w:szCs w:val="1"/>
                <w:color w:val="auto"/>
              </w:rPr>
            </w:pPr>
          </w:p>
        </w:tc>
      </w:tr>
      <w:tr>
        <w:trPr>
          <w:trHeight w:val="186"/>
        </w:trPr>
        <w:tc>
          <w:tcPr>
            <w:tcW w:w="2800" w:type="dxa"/>
            <w:vAlign w:val="bottom"/>
            <w:tcBorders>
              <w:bottom w:val="single" w:sz="8" w:color="7CBD3F"/>
            </w:tcBorders>
          </w:tcPr>
          <w:p>
            <w:pPr>
              <w:spacing w:after="0"/>
              <w:rPr>
                <w:sz w:val="16"/>
                <w:szCs w:val="16"/>
                <w:color w:val="auto"/>
              </w:rPr>
            </w:pPr>
          </w:p>
        </w:tc>
        <w:tc>
          <w:tcPr>
            <w:tcW w:w="700" w:type="dxa"/>
            <w:vAlign w:val="bottom"/>
            <w:tcBorders>
              <w:bottom w:val="single" w:sz="8" w:color="7CBD3F"/>
            </w:tcBorders>
          </w:tcPr>
          <w:p>
            <w:pPr>
              <w:jc w:val="right"/>
              <w:ind w:right="70"/>
              <w:spacing w:after="0"/>
              <w:rPr>
                <w:sz w:val="20"/>
                <w:szCs w:val="20"/>
                <w:color w:val="auto"/>
              </w:rPr>
            </w:pPr>
            <w:r>
              <w:rPr>
                <w:rFonts w:ascii="Arial" w:cs="Arial" w:eastAsia="Arial" w:hAnsi="Arial"/>
                <w:sz w:val="14"/>
                <w:szCs w:val="14"/>
                <w:color w:val="auto"/>
              </w:rPr>
              <w:t>2022</w:t>
            </w:r>
          </w:p>
        </w:tc>
        <w:tc>
          <w:tcPr>
            <w:tcW w:w="920" w:type="dxa"/>
            <w:vAlign w:val="bottom"/>
            <w:tcBorders>
              <w:bottom w:val="single" w:sz="8" w:color="7CBD3F"/>
            </w:tcBorders>
          </w:tcPr>
          <w:p>
            <w:pPr>
              <w:jc w:val="right"/>
              <w:ind w:right="70"/>
              <w:spacing w:after="0"/>
              <w:rPr>
                <w:sz w:val="20"/>
                <w:szCs w:val="20"/>
                <w:color w:val="auto"/>
              </w:rPr>
            </w:pPr>
            <w:r>
              <w:rPr>
                <w:rFonts w:ascii="Arial" w:cs="Arial" w:eastAsia="Arial" w:hAnsi="Arial"/>
                <w:sz w:val="14"/>
                <w:szCs w:val="14"/>
                <w:color w:val="auto"/>
              </w:rPr>
              <w:t>796,154</w:t>
            </w:r>
          </w:p>
        </w:tc>
        <w:tc>
          <w:tcPr>
            <w:tcW w:w="280" w:type="dxa"/>
            <w:vAlign w:val="bottom"/>
            <w:tcBorders>
              <w:bottom w:val="single" w:sz="8" w:color="7CBD3F"/>
            </w:tcBorders>
          </w:tcPr>
          <w:p>
            <w:pPr>
              <w:spacing w:after="0"/>
              <w:rPr>
                <w:sz w:val="16"/>
                <w:szCs w:val="16"/>
                <w:color w:val="auto"/>
              </w:rPr>
            </w:pPr>
          </w:p>
        </w:tc>
        <w:tc>
          <w:tcPr>
            <w:tcW w:w="620" w:type="dxa"/>
            <w:vAlign w:val="bottom"/>
            <w:tcBorders>
              <w:bottom w:val="single" w:sz="8" w:color="7CBD3F"/>
            </w:tcBorders>
          </w:tcPr>
          <w:p>
            <w:pPr>
              <w:jc w:val="right"/>
              <w:ind w:right="7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7CBD3F"/>
            </w:tcBorders>
          </w:tcPr>
          <w:p>
            <w:pPr>
              <w:jc w:val="right"/>
              <w:ind w:right="90"/>
              <w:spacing w:after="0"/>
              <w:rPr>
                <w:sz w:val="20"/>
                <w:szCs w:val="20"/>
                <w:color w:val="auto"/>
              </w:rPr>
            </w:pPr>
            <w:r>
              <w:rPr>
                <w:rFonts w:ascii="Arial" w:cs="Arial" w:eastAsia="Arial" w:hAnsi="Arial"/>
                <w:sz w:val="14"/>
                <w:szCs w:val="14"/>
                <w:color w:val="auto"/>
              </w:rPr>
              <w:t>7,463,295</w:t>
            </w:r>
          </w:p>
        </w:tc>
        <w:tc>
          <w:tcPr>
            <w:tcW w:w="1020" w:type="dxa"/>
            <w:vAlign w:val="bottom"/>
            <w:tcBorders>
              <w:bottom w:val="single" w:sz="8" w:color="7CBD3F"/>
            </w:tcBorders>
          </w:tcPr>
          <w:p>
            <w:pPr>
              <w:jc w:val="right"/>
              <w:ind w:right="70"/>
              <w:spacing w:after="0"/>
              <w:rPr>
                <w:sz w:val="20"/>
                <w:szCs w:val="20"/>
                <w:color w:val="auto"/>
              </w:rPr>
            </w:pPr>
            <w:r>
              <w:rPr>
                <w:rFonts w:ascii="Arial" w:cs="Arial" w:eastAsia="Arial" w:hAnsi="Arial"/>
                <w:sz w:val="14"/>
                <w:szCs w:val="14"/>
                <w:color w:val="auto"/>
              </w:rPr>
              <w:t>3,310,681</w:t>
            </w:r>
          </w:p>
        </w:tc>
        <w:tc>
          <w:tcPr>
            <w:tcW w:w="260" w:type="dxa"/>
            <w:vAlign w:val="bottom"/>
            <w:tcBorders>
              <w:bottom w:val="single" w:sz="8" w:color="7CBD3F"/>
            </w:tcBorders>
          </w:tcPr>
          <w:p>
            <w:pPr>
              <w:spacing w:after="0"/>
              <w:rPr>
                <w:sz w:val="16"/>
                <w:szCs w:val="16"/>
                <w:color w:val="auto"/>
              </w:rPr>
            </w:pPr>
          </w:p>
        </w:tc>
        <w:tc>
          <w:tcPr>
            <w:tcW w:w="1140" w:type="dxa"/>
            <w:vAlign w:val="bottom"/>
            <w:tcBorders>
              <w:bottom w:val="single" w:sz="8" w:color="7CBD3F"/>
            </w:tcBorders>
          </w:tcPr>
          <w:p>
            <w:pPr>
              <w:jc w:val="right"/>
              <w:ind w:right="70"/>
              <w:spacing w:after="0"/>
              <w:rPr>
                <w:sz w:val="20"/>
                <w:szCs w:val="20"/>
                <w:color w:val="auto"/>
              </w:rPr>
            </w:pPr>
            <w:r>
              <w:rPr>
                <w:rFonts w:ascii="Arial" w:cs="Arial" w:eastAsia="Arial" w:hAnsi="Arial"/>
                <w:sz w:val="14"/>
                <w:szCs w:val="14"/>
                <w:color w:val="auto"/>
              </w:rPr>
              <w:t>558,000</w:t>
            </w:r>
          </w:p>
        </w:tc>
        <w:tc>
          <w:tcPr>
            <w:tcW w:w="440" w:type="dxa"/>
            <w:vAlign w:val="bottom"/>
            <w:tcBorders>
              <w:bottom w:val="single" w:sz="8" w:color="7CBD3F"/>
            </w:tcBorders>
          </w:tcPr>
          <w:p>
            <w:pPr>
              <w:spacing w:after="0"/>
              <w:rPr>
                <w:sz w:val="16"/>
                <w:szCs w:val="16"/>
                <w:color w:val="auto"/>
              </w:rPr>
            </w:pPr>
          </w:p>
        </w:tc>
        <w:tc>
          <w:tcPr>
            <w:tcW w:w="980" w:type="dxa"/>
            <w:vAlign w:val="bottom"/>
            <w:tcBorders>
              <w:bottom w:val="single" w:sz="8" w:color="7CBD3F"/>
            </w:tcBorders>
          </w:tcPr>
          <w:p>
            <w:pPr>
              <w:jc w:val="right"/>
              <w:ind w:right="70"/>
              <w:spacing w:after="0"/>
              <w:rPr>
                <w:sz w:val="20"/>
                <w:szCs w:val="20"/>
                <w:color w:val="auto"/>
              </w:rPr>
            </w:pPr>
            <w:r>
              <w:rPr>
                <w:rFonts w:ascii="Arial" w:cs="Arial" w:eastAsia="Arial" w:hAnsi="Arial"/>
                <w:sz w:val="14"/>
                <w:szCs w:val="14"/>
                <w:color w:val="auto"/>
              </w:rPr>
              <w:t>12,200</w:t>
            </w:r>
          </w:p>
        </w:tc>
        <w:tc>
          <w:tcPr>
            <w:tcW w:w="1060" w:type="dxa"/>
            <w:vAlign w:val="bottom"/>
            <w:tcBorders>
              <w:bottom w:val="single" w:sz="8" w:color="7CBD3F"/>
            </w:tcBorders>
          </w:tcPr>
          <w:p>
            <w:pPr>
              <w:jc w:val="right"/>
              <w:ind w:right="30"/>
              <w:spacing w:after="0"/>
              <w:rPr>
                <w:sz w:val="20"/>
                <w:szCs w:val="20"/>
                <w:color w:val="auto"/>
              </w:rPr>
            </w:pPr>
            <w:r>
              <w:rPr>
                <w:rFonts w:ascii="Arial" w:cs="Arial" w:eastAsia="Arial" w:hAnsi="Arial"/>
                <w:sz w:val="14"/>
                <w:szCs w:val="14"/>
                <w:color w:val="auto"/>
              </w:rPr>
              <w:t>12,140,330</w:t>
            </w:r>
          </w:p>
        </w:tc>
        <w:tc>
          <w:tcPr>
            <w:tcW w:w="0" w:type="dxa"/>
            <w:vAlign w:val="bottom"/>
          </w:tcPr>
          <w:p>
            <w:pPr>
              <w:spacing w:after="0"/>
              <w:rPr>
                <w:sz w:val="1"/>
                <w:szCs w:val="1"/>
                <w:color w:val="auto"/>
              </w:rPr>
            </w:pPr>
          </w:p>
        </w:tc>
      </w:tr>
      <w:tr>
        <w:trPr>
          <w:trHeight w:val="155"/>
        </w:trPr>
        <w:tc>
          <w:tcPr>
            <w:tcW w:w="2800" w:type="dxa"/>
            <w:vAlign w:val="bottom"/>
          </w:tcPr>
          <w:p>
            <w:pPr>
              <w:ind w:left="40"/>
              <w:spacing w:after="0" w:line="155" w:lineRule="exact"/>
              <w:rPr>
                <w:sz w:val="20"/>
                <w:szCs w:val="20"/>
                <w:color w:val="auto"/>
              </w:rPr>
            </w:pPr>
            <w:r>
              <w:rPr>
                <w:rFonts w:ascii="Arial" w:cs="Arial" w:eastAsia="Arial" w:hAnsi="Arial"/>
                <w:sz w:val="14"/>
                <w:szCs w:val="14"/>
                <w:b w:val="1"/>
                <w:bCs w:val="1"/>
                <w:color w:val="auto"/>
              </w:rPr>
              <w:t>Howard Horn</w:t>
            </w:r>
          </w:p>
        </w:tc>
        <w:tc>
          <w:tcPr>
            <w:tcW w:w="700" w:type="dxa"/>
            <w:vAlign w:val="bottom"/>
            <w:shd w:val="clear" w:color="auto" w:fill="F0F7E7"/>
          </w:tcPr>
          <w:p>
            <w:pPr>
              <w:jc w:val="right"/>
              <w:ind w:right="70"/>
              <w:spacing w:after="0" w:line="155" w:lineRule="exact"/>
              <w:rPr>
                <w:sz w:val="20"/>
                <w:szCs w:val="20"/>
                <w:color w:val="auto"/>
              </w:rPr>
            </w:pPr>
            <w:r>
              <w:rPr>
                <w:rFonts w:ascii="Arial" w:cs="Arial" w:eastAsia="Arial" w:hAnsi="Arial"/>
                <w:sz w:val="14"/>
                <w:szCs w:val="14"/>
                <w:color w:val="auto"/>
              </w:rPr>
              <w:t>2024</w:t>
            </w:r>
          </w:p>
        </w:tc>
        <w:tc>
          <w:tcPr>
            <w:tcW w:w="920" w:type="dxa"/>
            <w:vAlign w:val="bottom"/>
            <w:shd w:val="clear" w:color="auto" w:fill="F0F7E7"/>
          </w:tcPr>
          <w:p>
            <w:pPr>
              <w:jc w:val="right"/>
              <w:ind w:right="70"/>
              <w:spacing w:after="0" w:line="155" w:lineRule="exact"/>
              <w:rPr>
                <w:sz w:val="20"/>
                <w:szCs w:val="20"/>
                <w:color w:val="auto"/>
              </w:rPr>
            </w:pPr>
            <w:r>
              <w:rPr>
                <w:rFonts w:ascii="Arial" w:cs="Arial" w:eastAsia="Arial" w:hAnsi="Arial"/>
                <w:sz w:val="14"/>
                <w:szCs w:val="14"/>
                <w:color w:val="auto"/>
              </w:rPr>
              <w:t>590,000</w:t>
            </w:r>
          </w:p>
        </w:tc>
        <w:tc>
          <w:tcPr>
            <w:tcW w:w="280" w:type="dxa"/>
            <w:vAlign w:val="bottom"/>
            <w:shd w:val="clear" w:color="auto" w:fill="F0F7E7"/>
          </w:tcPr>
          <w:p>
            <w:pPr>
              <w:spacing w:after="0"/>
              <w:rPr>
                <w:sz w:val="13"/>
                <w:szCs w:val="13"/>
                <w:color w:val="auto"/>
              </w:rPr>
            </w:pPr>
          </w:p>
        </w:tc>
        <w:tc>
          <w:tcPr>
            <w:tcW w:w="620" w:type="dxa"/>
            <w:vAlign w:val="bottom"/>
            <w:shd w:val="clear" w:color="auto" w:fill="F0F7E7"/>
          </w:tcPr>
          <w:p>
            <w:pPr>
              <w:jc w:val="right"/>
              <w:ind w:right="70"/>
              <w:spacing w:after="0" w:line="155" w:lineRule="exact"/>
              <w:rPr>
                <w:sz w:val="20"/>
                <w:szCs w:val="20"/>
                <w:color w:val="auto"/>
              </w:rPr>
            </w:pPr>
            <w:r>
              <w:rPr>
                <w:rFonts w:ascii="Arial" w:cs="Arial" w:eastAsia="Arial" w:hAnsi="Arial"/>
                <w:sz w:val="14"/>
                <w:szCs w:val="14"/>
                <w:color w:val="auto"/>
              </w:rPr>
              <w:t>—</w:t>
            </w:r>
          </w:p>
        </w:tc>
        <w:tc>
          <w:tcPr>
            <w:tcW w:w="1040" w:type="dxa"/>
            <w:vAlign w:val="bottom"/>
            <w:shd w:val="clear" w:color="auto" w:fill="F0F7E7"/>
          </w:tcPr>
          <w:p>
            <w:pPr>
              <w:jc w:val="right"/>
              <w:ind w:right="90"/>
              <w:spacing w:after="0" w:line="155" w:lineRule="exact"/>
              <w:rPr>
                <w:sz w:val="20"/>
                <w:szCs w:val="20"/>
                <w:color w:val="auto"/>
              </w:rPr>
            </w:pPr>
            <w:r>
              <w:rPr>
                <w:rFonts w:ascii="Arial" w:cs="Arial" w:eastAsia="Arial" w:hAnsi="Arial"/>
                <w:sz w:val="14"/>
                <w:szCs w:val="14"/>
                <w:color w:val="auto"/>
              </w:rPr>
              <w:t>2,271,944</w:t>
            </w:r>
          </w:p>
        </w:tc>
        <w:tc>
          <w:tcPr>
            <w:tcW w:w="1020" w:type="dxa"/>
            <w:vAlign w:val="bottom"/>
            <w:shd w:val="clear" w:color="auto" w:fill="F0F7E7"/>
          </w:tcPr>
          <w:p>
            <w:pPr>
              <w:jc w:val="right"/>
              <w:ind w:right="70"/>
              <w:spacing w:after="0" w:line="155" w:lineRule="exact"/>
              <w:rPr>
                <w:sz w:val="20"/>
                <w:szCs w:val="20"/>
                <w:color w:val="auto"/>
              </w:rPr>
            </w:pPr>
            <w:r>
              <w:rPr>
                <w:rFonts w:ascii="Arial" w:cs="Arial" w:eastAsia="Arial" w:hAnsi="Arial"/>
                <w:sz w:val="14"/>
                <w:szCs w:val="14"/>
                <w:color w:val="auto"/>
              </w:rPr>
              <w:t>1,076,335</w:t>
            </w:r>
          </w:p>
        </w:tc>
        <w:tc>
          <w:tcPr>
            <w:tcW w:w="260" w:type="dxa"/>
            <w:vAlign w:val="bottom"/>
            <w:shd w:val="clear" w:color="auto" w:fill="F0F7E7"/>
          </w:tcPr>
          <w:p>
            <w:pPr>
              <w:spacing w:after="0"/>
              <w:rPr>
                <w:sz w:val="13"/>
                <w:szCs w:val="13"/>
                <w:color w:val="auto"/>
              </w:rPr>
            </w:pPr>
          </w:p>
        </w:tc>
        <w:tc>
          <w:tcPr>
            <w:tcW w:w="1140" w:type="dxa"/>
            <w:vAlign w:val="bottom"/>
            <w:shd w:val="clear" w:color="auto" w:fill="F0F7E7"/>
          </w:tcPr>
          <w:p>
            <w:pPr>
              <w:jc w:val="right"/>
              <w:ind w:right="70"/>
              <w:spacing w:after="0" w:line="155" w:lineRule="exact"/>
              <w:rPr>
                <w:sz w:val="20"/>
                <w:szCs w:val="20"/>
                <w:color w:val="auto"/>
              </w:rPr>
            </w:pPr>
            <w:r>
              <w:rPr>
                <w:rFonts w:ascii="Arial" w:cs="Arial" w:eastAsia="Arial" w:hAnsi="Arial"/>
                <w:sz w:val="14"/>
                <w:szCs w:val="14"/>
                <w:color w:val="auto"/>
              </w:rPr>
              <w:t>343,970</w:t>
            </w:r>
          </w:p>
        </w:tc>
        <w:tc>
          <w:tcPr>
            <w:tcW w:w="440" w:type="dxa"/>
            <w:vAlign w:val="bottom"/>
            <w:shd w:val="clear" w:color="auto" w:fill="F0F7E7"/>
          </w:tcPr>
          <w:p>
            <w:pPr>
              <w:spacing w:after="0"/>
              <w:rPr>
                <w:sz w:val="13"/>
                <w:szCs w:val="13"/>
                <w:color w:val="auto"/>
              </w:rPr>
            </w:pPr>
          </w:p>
        </w:tc>
        <w:tc>
          <w:tcPr>
            <w:tcW w:w="980" w:type="dxa"/>
            <w:vAlign w:val="bottom"/>
            <w:shd w:val="clear" w:color="auto" w:fill="F0F7E7"/>
          </w:tcPr>
          <w:p>
            <w:pPr>
              <w:jc w:val="right"/>
              <w:ind w:right="70"/>
              <w:spacing w:after="0" w:line="155" w:lineRule="exact"/>
              <w:rPr>
                <w:sz w:val="20"/>
                <w:szCs w:val="20"/>
                <w:color w:val="auto"/>
              </w:rPr>
            </w:pPr>
            <w:r>
              <w:rPr>
                <w:rFonts w:ascii="Arial" w:cs="Arial" w:eastAsia="Arial" w:hAnsi="Arial"/>
                <w:sz w:val="14"/>
                <w:szCs w:val="14"/>
                <w:color w:val="auto"/>
              </w:rPr>
              <w:t>13,800</w:t>
            </w:r>
          </w:p>
        </w:tc>
        <w:tc>
          <w:tcPr>
            <w:tcW w:w="1060" w:type="dxa"/>
            <w:vAlign w:val="bottom"/>
            <w:shd w:val="clear" w:color="auto" w:fill="F0F7E7"/>
          </w:tcPr>
          <w:p>
            <w:pPr>
              <w:jc w:val="right"/>
              <w:ind w:right="30"/>
              <w:spacing w:after="0" w:line="155" w:lineRule="exact"/>
              <w:rPr>
                <w:sz w:val="20"/>
                <w:szCs w:val="20"/>
                <w:color w:val="auto"/>
              </w:rPr>
            </w:pPr>
            <w:r>
              <w:rPr>
                <w:rFonts w:ascii="Arial" w:cs="Arial" w:eastAsia="Arial" w:hAnsi="Arial"/>
                <w:sz w:val="14"/>
                <w:szCs w:val="14"/>
                <w:color w:val="auto"/>
              </w:rPr>
              <w:t>4,296,049</w:t>
            </w:r>
          </w:p>
        </w:tc>
        <w:tc>
          <w:tcPr>
            <w:tcW w:w="0" w:type="dxa"/>
            <w:vAlign w:val="bottom"/>
          </w:tcPr>
          <w:p>
            <w:pPr>
              <w:spacing w:after="0"/>
              <w:rPr>
                <w:sz w:val="1"/>
                <w:szCs w:val="1"/>
                <w:color w:val="auto"/>
              </w:rPr>
            </w:pPr>
          </w:p>
        </w:tc>
      </w:tr>
      <w:tr>
        <w:trPr>
          <w:trHeight w:val="94"/>
        </w:trPr>
        <w:tc>
          <w:tcPr>
            <w:tcW w:w="2800" w:type="dxa"/>
            <w:vAlign w:val="bottom"/>
            <w:vMerge w:val="restart"/>
          </w:tcPr>
          <w:p>
            <w:pPr>
              <w:ind w:left="200"/>
              <w:spacing w:after="0"/>
              <w:rPr>
                <w:sz w:val="20"/>
                <w:szCs w:val="20"/>
                <w:color w:val="auto"/>
              </w:rPr>
            </w:pPr>
            <w:r>
              <w:rPr>
                <w:rFonts w:ascii="Arial" w:cs="Arial" w:eastAsia="Arial" w:hAnsi="Arial"/>
                <w:sz w:val="14"/>
                <w:szCs w:val="14"/>
                <w:color w:val="auto"/>
              </w:rPr>
              <w:t>Chief Financial Officer, Corporate</w:t>
            </w:r>
          </w:p>
        </w:tc>
        <w:tc>
          <w:tcPr>
            <w:tcW w:w="700" w:type="dxa"/>
            <w:vAlign w:val="bottom"/>
            <w:shd w:val="clear" w:color="auto" w:fill="F0F7E7"/>
          </w:tcPr>
          <w:p>
            <w:pPr>
              <w:spacing w:after="0"/>
              <w:rPr>
                <w:sz w:val="8"/>
                <w:szCs w:val="8"/>
                <w:color w:val="auto"/>
              </w:rPr>
            </w:pPr>
          </w:p>
        </w:tc>
        <w:tc>
          <w:tcPr>
            <w:tcW w:w="920" w:type="dxa"/>
            <w:vAlign w:val="bottom"/>
            <w:shd w:val="clear" w:color="auto" w:fill="F0F7E7"/>
          </w:tcPr>
          <w:p>
            <w:pPr>
              <w:spacing w:after="0"/>
              <w:rPr>
                <w:sz w:val="8"/>
                <w:szCs w:val="8"/>
                <w:color w:val="auto"/>
              </w:rPr>
            </w:pPr>
          </w:p>
        </w:tc>
        <w:tc>
          <w:tcPr>
            <w:tcW w:w="280" w:type="dxa"/>
            <w:vAlign w:val="bottom"/>
            <w:shd w:val="clear" w:color="auto" w:fill="F0F7E7"/>
          </w:tcPr>
          <w:p>
            <w:pPr>
              <w:spacing w:after="0"/>
              <w:rPr>
                <w:sz w:val="8"/>
                <w:szCs w:val="8"/>
                <w:color w:val="auto"/>
              </w:rPr>
            </w:pPr>
          </w:p>
        </w:tc>
        <w:tc>
          <w:tcPr>
            <w:tcW w:w="620" w:type="dxa"/>
            <w:vAlign w:val="bottom"/>
            <w:shd w:val="clear" w:color="auto" w:fill="F0F7E7"/>
          </w:tcPr>
          <w:p>
            <w:pPr>
              <w:spacing w:after="0"/>
              <w:rPr>
                <w:sz w:val="8"/>
                <w:szCs w:val="8"/>
                <w:color w:val="auto"/>
              </w:rPr>
            </w:pPr>
          </w:p>
        </w:tc>
        <w:tc>
          <w:tcPr>
            <w:tcW w:w="1040" w:type="dxa"/>
            <w:vAlign w:val="bottom"/>
            <w:shd w:val="clear" w:color="auto" w:fill="F0F7E7"/>
          </w:tcPr>
          <w:p>
            <w:pPr>
              <w:spacing w:after="0"/>
              <w:rPr>
                <w:sz w:val="8"/>
                <w:szCs w:val="8"/>
                <w:color w:val="auto"/>
              </w:rPr>
            </w:pPr>
          </w:p>
        </w:tc>
        <w:tc>
          <w:tcPr>
            <w:tcW w:w="1020" w:type="dxa"/>
            <w:vAlign w:val="bottom"/>
            <w:shd w:val="clear" w:color="auto" w:fill="F0F7E7"/>
          </w:tcPr>
          <w:p>
            <w:pPr>
              <w:spacing w:after="0"/>
              <w:rPr>
                <w:sz w:val="8"/>
                <w:szCs w:val="8"/>
                <w:color w:val="auto"/>
              </w:rPr>
            </w:pPr>
          </w:p>
        </w:tc>
        <w:tc>
          <w:tcPr>
            <w:tcW w:w="260" w:type="dxa"/>
            <w:vAlign w:val="bottom"/>
            <w:shd w:val="clear" w:color="auto" w:fill="F0F7E7"/>
          </w:tcPr>
          <w:p>
            <w:pPr>
              <w:spacing w:after="0"/>
              <w:rPr>
                <w:sz w:val="8"/>
                <w:szCs w:val="8"/>
                <w:color w:val="auto"/>
              </w:rPr>
            </w:pPr>
          </w:p>
        </w:tc>
        <w:tc>
          <w:tcPr>
            <w:tcW w:w="1140" w:type="dxa"/>
            <w:vAlign w:val="bottom"/>
            <w:shd w:val="clear" w:color="auto" w:fill="F0F7E7"/>
          </w:tcPr>
          <w:p>
            <w:pPr>
              <w:spacing w:after="0"/>
              <w:rPr>
                <w:sz w:val="8"/>
                <w:szCs w:val="8"/>
                <w:color w:val="auto"/>
              </w:rPr>
            </w:pPr>
          </w:p>
        </w:tc>
        <w:tc>
          <w:tcPr>
            <w:tcW w:w="440" w:type="dxa"/>
            <w:vAlign w:val="bottom"/>
            <w:shd w:val="clear" w:color="auto" w:fill="F0F7E7"/>
          </w:tcPr>
          <w:p>
            <w:pPr>
              <w:spacing w:after="0"/>
              <w:rPr>
                <w:sz w:val="8"/>
                <w:szCs w:val="8"/>
                <w:color w:val="auto"/>
              </w:rPr>
            </w:pPr>
          </w:p>
        </w:tc>
        <w:tc>
          <w:tcPr>
            <w:tcW w:w="980" w:type="dxa"/>
            <w:vAlign w:val="bottom"/>
            <w:shd w:val="clear" w:color="auto" w:fill="F0F7E7"/>
          </w:tcPr>
          <w:p>
            <w:pPr>
              <w:spacing w:after="0"/>
              <w:rPr>
                <w:sz w:val="8"/>
                <w:szCs w:val="8"/>
                <w:color w:val="auto"/>
              </w:rPr>
            </w:pPr>
          </w:p>
        </w:tc>
        <w:tc>
          <w:tcPr>
            <w:tcW w:w="1060" w:type="dxa"/>
            <w:vAlign w:val="bottom"/>
            <w:shd w:val="clear" w:color="auto" w:fill="F0F7E7"/>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800" w:type="dxa"/>
            <w:vAlign w:val="bottom"/>
            <w:vMerge w:val="continue"/>
          </w:tcPr>
          <w:p>
            <w:pPr>
              <w:spacing w:after="0"/>
              <w:rPr>
                <w:sz w:val="6"/>
                <w:szCs w:val="6"/>
                <w:color w:val="auto"/>
              </w:rPr>
            </w:pPr>
          </w:p>
        </w:tc>
        <w:tc>
          <w:tcPr>
            <w:tcW w:w="700" w:type="dxa"/>
            <w:vAlign w:val="bottom"/>
            <w:vMerge w:val="restart"/>
          </w:tcPr>
          <w:p>
            <w:pPr>
              <w:jc w:val="right"/>
              <w:ind w:right="70"/>
              <w:spacing w:after="0"/>
              <w:rPr>
                <w:sz w:val="20"/>
                <w:szCs w:val="20"/>
                <w:color w:val="auto"/>
              </w:rPr>
            </w:pPr>
            <w:r>
              <w:rPr>
                <w:rFonts w:ascii="Arial" w:cs="Arial" w:eastAsia="Arial" w:hAnsi="Arial"/>
                <w:sz w:val="14"/>
                <w:szCs w:val="14"/>
                <w:color w:val="auto"/>
              </w:rPr>
              <w:t>2023</w:t>
            </w:r>
          </w:p>
        </w:tc>
        <w:tc>
          <w:tcPr>
            <w:tcW w:w="920" w:type="dxa"/>
            <w:vAlign w:val="bottom"/>
            <w:vMerge w:val="restart"/>
          </w:tcPr>
          <w:p>
            <w:pPr>
              <w:jc w:val="right"/>
              <w:ind w:right="70"/>
              <w:spacing w:after="0"/>
              <w:rPr>
                <w:sz w:val="20"/>
                <w:szCs w:val="20"/>
                <w:color w:val="auto"/>
              </w:rPr>
            </w:pPr>
            <w:r>
              <w:rPr>
                <w:rFonts w:ascii="Arial" w:cs="Arial" w:eastAsia="Arial" w:hAnsi="Arial"/>
                <w:sz w:val="14"/>
                <w:szCs w:val="14"/>
                <w:color w:val="auto"/>
              </w:rPr>
              <w:t>124,808</w:t>
            </w:r>
          </w:p>
        </w:tc>
        <w:tc>
          <w:tcPr>
            <w:tcW w:w="280" w:type="dxa"/>
            <w:vAlign w:val="bottom"/>
          </w:tcPr>
          <w:p>
            <w:pPr>
              <w:spacing w:after="0"/>
              <w:rPr>
                <w:sz w:val="6"/>
                <w:szCs w:val="6"/>
                <w:color w:val="auto"/>
              </w:rPr>
            </w:pPr>
          </w:p>
        </w:tc>
        <w:tc>
          <w:tcPr>
            <w:tcW w:w="620" w:type="dxa"/>
            <w:vAlign w:val="bottom"/>
            <w:vMerge w:val="restart"/>
          </w:tcPr>
          <w:p>
            <w:pPr>
              <w:jc w:val="right"/>
              <w:ind w:right="70"/>
              <w:spacing w:after="0"/>
              <w:rPr>
                <w:sz w:val="20"/>
                <w:szCs w:val="20"/>
                <w:color w:val="auto"/>
              </w:rPr>
            </w:pPr>
            <w:r>
              <w:rPr>
                <w:rFonts w:ascii="Arial" w:cs="Arial" w:eastAsia="Arial" w:hAnsi="Arial"/>
                <w:sz w:val="14"/>
                <w:szCs w:val="14"/>
                <w:color w:val="auto"/>
              </w:rPr>
              <w:t>60,000</w:t>
            </w:r>
          </w:p>
        </w:tc>
        <w:tc>
          <w:tcPr>
            <w:tcW w:w="1040" w:type="dxa"/>
            <w:vAlign w:val="bottom"/>
            <w:vMerge w:val="restart"/>
          </w:tcPr>
          <w:p>
            <w:pPr>
              <w:jc w:val="right"/>
              <w:ind w:right="90"/>
              <w:spacing w:after="0"/>
              <w:rPr>
                <w:sz w:val="20"/>
                <w:szCs w:val="20"/>
                <w:color w:val="auto"/>
              </w:rPr>
            </w:pPr>
            <w:r>
              <w:rPr>
                <w:rFonts w:ascii="Arial" w:cs="Arial" w:eastAsia="Arial" w:hAnsi="Arial"/>
                <w:sz w:val="14"/>
                <w:szCs w:val="14"/>
                <w:color w:val="auto"/>
              </w:rPr>
              <w:t>2,867,459</w:t>
            </w:r>
          </w:p>
        </w:tc>
        <w:tc>
          <w:tcPr>
            <w:tcW w:w="1020" w:type="dxa"/>
            <w:vAlign w:val="bottom"/>
            <w:vMerge w:val="restart"/>
          </w:tcPr>
          <w:p>
            <w:pPr>
              <w:jc w:val="right"/>
              <w:ind w:right="70"/>
              <w:spacing w:after="0"/>
              <w:rPr>
                <w:sz w:val="20"/>
                <w:szCs w:val="20"/>
                <w:color w:val="auto"/>
              </w:rPr>
            </w:pPr>
            <w:r>
              <w:rPr>
                <w:rFonts w:ascii="Arial" w:cs="Arial" w:eastAsia="Arial" w:hAnsi="Arial"/>
                <w:sz w:val="14"/>
                <w:szCs w:val="14"/>
                <w:color w:val="auto"/>
              </w:rPr>
              <w:t>2,888,773</w:t>
            </w:r>
          </w:p>
        </w:tc>
        <w:tc>
          <w:tcPr>
            <w:tcW w:w="260" w:type="dxa"/>
            <w:vAlign w:val="bottom"/>
          </w:tcPr>
          <w:p>
            <w:pPr>
              <w:spacing w:after="0"/>
              <w:rPr>
                <w:sz w:val="6"/>
                <w:szCs w:val="6"/>
                <w:color w:val="auto"/>
              </w:rPr>
            </w:pPr>
          </w:p>
        </w:tc>
        <w:tc>
          <w:tcPr>
            <w:tcW w:w="1140" w:type="dxa"/>
            <w:vAlign w:val="bottom"/>
            <w:vMerge w:val="restart"/>
          </w:tcPr>
          <w:p>
            <w:pPr>
              <w:jc w:val="right"/>
              <w:ind w:right="7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6"/>
                <w:szCs w:val="6"/>
                <w:color w:val="auto"/>
              </w:rPr>
            </w:pPr>
          </w:p>
        </w:tc>
        <w:tc>
          <w:tcPr>
            <w:tcW w:w="980" w:type="dxa"/>
            <w:vAlign w:val="bottom"/>
            <w:vMerge w:val="restart"/>
          </w:tcPr>
          <w:p>
            <w:pPr>
              <w:jc w:val="right"/>
              <w:ind w:right="70"/>
              <w:spacing w:after="0"/>
              <w:rPr>
                <w:sz w:val="20"/>
                <w:szCs w:val="20"/>
                <w:color w:val="auto"/>
              </w:rPr>
            </w:pPr>
            <w:r>
              <w:rPr>
                <w:rFonts w:ascii="Arial" w:cs="Arial" w:eastAsia="Arial" w:hAnsi="Arial"/>
                <w:sz w:val="14"/>
                <w:szCs w:val="14"/>
                <w:color w:val="auto"/>
              </w:rPr>
              <w:t>—</w:t>
            </w:r>
          </w:p>
        </w:tc>
        <w:tc>
          <w:tcPr>
            <w:tcW w:w="1060" w:type="dxa"/>
            <w:vAlign w:val="bottom"/>
            <w:vMerge w:val="restart"/>
          </w:tcPr>
          <w:p>
            <w:pPr>
              <w:jc w:val="right"/>
              <w:ind w:right="30"/>
              <w:spacing w:after="0"/>
              <w:rPr>
                <w:sz w:val="20"/>
                <w:szCs w:val="20"/>
                <w:color w:val="auto"/>
              </w:rPr>
            </w:pPr>
            <w:r>
              <w:rPr>
                <w:rFonts w:ascii="Arial" w:cs="Arial" w:eastAsia="Arial" w:hAnsi="Arial"/>
                <w:sz w:val="14"/>
                <w:szCs w:val="14"/>
                <w:color w:val="auto"/>
              </w:rPr>
              <w:t>5,941,040</w:t>
            </w:r>
          </w:p>
        </w:tc>
        <w:tc>
          <w:tcPr>
            <w:tcW w:w="0" w:type="dxa"/>
            <w:vAlign w:val="bottom"/>
          </w:tcPr>
          <w:p>
            <w:pPr>
              <w:spacing w:after="0"/>
              <w:rPr>
                <w:sz w:val="1"/>
                <w:szCs w:val="1"/>
                <w:color w:val="auto"/>
              </w:rPr>
            </w:pPr>
          </w:p>
        </w:tc>
      </w:tr>
      <w:tr>
        <w:trPr>
          <w:trHeight w:val="115"/>
        </w:trPr>
        <w:tc>
          <w:tcPr>
            <w:tcW w:w="2800" w:type="dxa"/>
            <w:vAlign w:val="bottom"/>
            <w:vMerge w:val="restart"/>
          </w:tcPr>
          <w:p>
            <w:pPr>
              <w:ind w:left="200"/>
              <w:spacing w:after="0"/>
              <w:rPr>
                <w:sz w:val="20"/>
                <w:szCs w:val="20"/>
                <w:color w:val="auto"/>
              </w:rPr>
            </w:pPr>
            <w:r>
              <w:rPr>
                <w:rFonts w:ascii="Arial" w:cs="Arial" w:eastAsia="Arial" w:hAnsi="Arial"/>
                <w:sz w:val="14"/>
                <w:szCs w:val="14"/>
                <w:color w:val="auto"/>
              </w:rPr>
              <w:t>Strategy and Executive Vice President</w:t>
            </w:r>
          </w:p>
        </w:tc>
        <w:tc>
          <w:tcPr>
            <w:tcW w:w="70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2800" w:type="dxa"/>
            <w:vAlign w:val="bottom"/>
            <w:tcBorders>
              <w:bottom w:val="single" w:sz="8" w:color="7CBD3F"/>
            </w:tcBorders>
            <w:vMerge w:val="continue"/>
          </w:tcPr>
          <w:p>
            <w:pPr>
              <w:spacing w:after="0"/>
              <w:rPr>
                <w:sz w:val="6"/>
                <w:szCs w:val="6"/>
                <w:color w:val="auto"/>
              </w:rPr>
            </w:pPr>
          </w:p>
        </w:tc>
        <w:tc>
          <w:tcPr>
            <w:tcW w:w="700" w:type="dxa"/>
            <w:vAlign w:val="bottom"/>
            <w:tcBorders>
              <w:bottom w:val="single" w:sz="8" w:color="7CBD3F"/>
            </w:tcBorders>
          </w:tcPr>
          <w:p>
            <w:pPr>
              <w:spacing w:after="0"/>
              <w:rPr>
                <w:sz w:val="6"/>
                <w:szCs w:val="6"/>
                <w:color w:val="auto"/>
              </w:rPr>
            </w:pPr>
          </w:p>
        </w:tc>
        <w:tc>
          <w:tcPr>
            <w:tcW w:w="920" w:type="dxa"/>
            <w:vAlign w:val="bottom"/>
            <w:tcBorders>
              <w:bottom w:val="single" w:sz="8" w:color="7CBD3F"/>
            </w:tcBorders>
          </w:tcPr>
          <w:p>
            <w:pPr>
              <w:spacing w:after="0"/>
              <w:rPr>
                <w:sz w:val="6"/>
                <w:szCs w:val="6"/>
                <w:color w:val="auto"/>
              </w:rPr>
            </w:pPr>
          </w:p>
        </w:tc>
        <w:tc>
          <w:tcPr>
            <w:tcW w:w="280" w:type="dxa"/>
            <w:vAlign w:val="bottom"/>
            <w:tcBorders>
              <w:bottom w:val="single" w:sz="8" w:color="7CBD3F"/>
            </w:tcBorders>
          </w:tcPr>
          <w:p>
            <w:pPr>
              <w:spacing w:after="0"/>
              <w:rPr>
                <w:sz w:val="6"/>
                <w:szCs w:val="6"/>
                <w:color w:val="auto"/>
              </w:rPr>
            </w:pPr>
          </w:p>
        </w:tc>
        <w:tc>
          <w:tcPr>
            <w:tcW w:w="620" w:type="dxa"/>
            <w:vAlign w:val="bottom"/>
            <w:tcBorders>
              <w:bottom w:val="single" w:sz="8" w:color="7CBD3F"/>
            </w:tcBorders>
          </w:tcPr>
          <w:p>
            <w:pPr>
              <w:spacing w:after="0"/>
              <w:rPr>
                <w:sz w:val="6"/>
                <w:szCs w:val="6"/>
                <w:color w:val="auto"/>
              </w:rPr>
            </w:pPr>
          </w:p>
        </w:tc>
        <w:tc>
          <w:tcPr>
            <w:tcW w:w="1040" w:type="dxa"/>
            <w:vAlign w:val="bottom"/>
            <w:tcBorders>
              <w:bottom w:val="single" w:sz="8" w:color="7CBD3F"/>
            </w:tcBorders>
          </w:tcPr>
          <w:p>
            <w:pPr>
              <w:spacing w:after="0"/>
              <w:rPr>
                <w:sz w:val="6"/>
                <w:szCs w:val="6"/>
                <w:color w:val="auto"/>
              </w:rPr>
            </w:pPr>
          </w:p>
        </w:tc>
        <w:tc>
          <w:tcPr>
            <w:tcW w:w="1020" w:type="dxa"/>
            <w:vAlign w:val="bottom"/>
            <w:tcBorders>
              <w:bottom w:val="single" w:sz="8" w:color="7CBD3F"/>
            </w:tcBorders>
          </w:tcPr>
          <w:p>
            <w:pPr>
              <w:spacing w:after="0"/>
              <w:rPr>
                <w:sz w:val="6"/>
                <w:szCs w:val="6"/>
                <w:color w:val="auto"/>
              </w:rPr>
            </w:pPr>
          </w:p>
        </w:tc>
        <w:tc>
          <w:tcPr>
            <w:tcW w:w="260" w:type="dxa"/>
            <w:vAlign w:val="bottom"/>
            <w:tcBorders>
              <w:bottom w:val="single" w:sz="8" w:color="7CBD3F"/>
            </w:tcBorders>
          </w:tcPr>
          <w:p>
            <w:pPr>
              <w:spacing w:after="0"/>
              <w:rPr>
                <w:sz w:val="6"/>
                <w:szCs w:val="6"/>
                <w:color w:val="auto"/>
              </w:rPr>
            </w:pPr>
          </w:p>
        </w:tc>
        <w:tc>
          <w:tcPr>
            <w:tcW w:w="1140" w:type="dxa"/>
            <w:vAlign w:val="bottom"/>
            <w:tcBorders>
              <w:bottom w:val="single" w:sz="8" w:color="7CBD3F"/>
            </w:tcBorders>
          </w:tcPr>
          <w:p>
            <w:pPr>
              <w:spacing w:after="0"/>
              <w:rPr>
                <w:sz w:val="6"/>
                <w:szCs w:val="6"/>
                <w:color w:val="auto"/>
              </w:rPr>
            </w:pPr>
          </w:p>
        </w:tc>
        <w:tc>
          <w:tcPr>
            <w:tcW w:w="440" w:type="dxa"/>
            <w:vAlign w:val="bottom"/>
            <w:tcBorders>
              <w:bottom w:val="single" w:sz="8" w:color="7CBD3F"/>
            </w:tcBorders>
          </w:tcPr>
          <w:p>
            <w:pPr>
              <w:spacing w:after="0"/>
              <w:rPr>
                <w:sz w:val="6"/>
                <w:szCs w:val="6"/>
                <w:color w:val="auto"/>
              </w:rPr>
            </w:pPr>
          </w:p>
        </w:tc>
        <w:tc>
          <w:tcPr>
            <w:tcW w:w="980" w:type="dxa"/>
            <w:vAlign w:val="bottom"/>
            <w:tcBorders>
              <w:bottom w:val="single" w:sz="8" w:color="7CBD3F"/>
            </w:tcBorders>
          </w:tcPr>
          <w:p>
            <w:pPr>
              <w:spacing w:after="0"/>
              <w:rPr>
                <w:sz w:val="6"/>
                <w:szCs w:val="6"/>
                <w:color w:val="auto"/>
              </w:rPr>
            </w:pPr>
          </w:p>
        </w:tc>
        <w:tc>
          <w:tcPr>
            <w:tcW w:w="1060" w:type="dxa"/>
            <w:vAlign w:val="bottom"/>
            <w:tcBorders>
              <w:bottom w:val="single" w:sz="8" w:color="7CBD3F"/>
            </w:tcBorders>
          </w:tcPr>
          <w:p>
            <w:pPr>
              <w:spacing w:after="0"/>
              <w:rPr>
                <w:sz w:val="6"/>
                <w:szCs w:val="6"/>
                <w:color w:val="auto"/>
              </w:rPr>
            </w:pPr>
          </w:p>
        </w:tc>
        <w:tc>
          <w:tcPr>
            <w:tcW w:w="0" w:type="dxa"/>
            <w:vAlign w:val="bottom"/>
          </w:tcPr>
          <w:p>
            <w:pPr>
              <w:spacing w:after="0"/>
              <w:rPr>
                <w:sz w:val="1"/>
                <w:szCs w:val="1"/>
                <w:color w:val="auto"/>
              </w:rPr>
            </w:pPr>
          </w:p>
        </w:tc>
      </w:tr>
      <w:tr>
        <w:trPr>
          <w:trHeight w:val="159"/>
        </w:trPr>
        <w:tc>
          <w:tcPr>
            <w:tcW w:w="2800" w:type="dxa"/>
            <w:vAlign w:val="bottom"/>
          </w:tcPr>
          <w:p>
            <w:pPr>
              <w:ind w:left="40"/>
              <w:spacing w:after="0" w:line="155" w:lineRule="exact"/>
              <w:rPr>
                <w:sz w:val="20"/>
                <w:szCs w:val="20"/>
                <w:color w:val="auto"/>
              </w:rPr>
            </w:pPr>
            <w:r>
              <w:rPr>
                <w:rFonts w:ascii="Arial" w:cs="Arial" w:eastAsia="Arial" w:hAnsi="Arial"/>
                <w:sz w:val="14"/>
                <w:szCs w:val="14"/>
                <w:b w:val="1"/>
                <w:bCs w:val="1"/>
                <w:color w:val="auto"/>
              </w:rPr>
              <w:t>Erik Harris</w:t>
            </w:r>
          </w:p>
        </w:tc>
        <w:tc>
          <w:tcPr>
            <w:tcW w:w="700" w:type="dxa"/>
            <w:vAlign w:val="bottom"/>
            <w:tcBorders>
              <w:bottom w:val="single" w:sz="8" w:color="F0F7E7"/>
            </w:tcBorders>
            <w:shd w:val="clear" w:color="auto" w:fill="F0F7E7"/>
          </w:tcPr>
          <w:p>
            <w:pPr>
              <w:jc w:val="right"/>
              <w:ind w:right="70"/>
              <w:spacing w:after="0" w:line="155" w:lineRule="exact"/>
              <w:rPr>
                <w:sz w:val="20"/>
                <w:szCs w:val="20"/>
                <w:color w:val="auto"/>
              </w:rPr>
            </w:pPr>
            <w:r>
              <w:rPr>
                <w:rFonts w:ascii="Arial" w:cs="Arial" w:eastAsia="Arial" w:hAnsi="Arial"/>
                <w:sz w:val="14"/>
                <w:szCs w:val="14"/>
                <w:color w:val="auto"/>
              </w:rPr>
              <w:t>2024</w:t>
            </w:r>
          </w:p>
        </w:tc>
        <w:tc>
          <w:tcPr>
            <w:tcW w:w="920" w:type="dxa"/>
            <w:vAlign w:val="bottom"/>
            <w:tcBorders>
              <w:bottom w:val="single" w:sz="8" w:color="F0F7E7"/>
            </w:tcBorders>
            <w:shd w:val="clear" w:color="auto" w:fill="F0F7E7"/>
          </w:tcPr>
          <w:p>
            <w:pPr>
              <w:jc w:val="right"/>
              <w:ind w:right="70"/>
              <w:spacing w:after="0" w:line="155" w:lineRule="exact"/>
              <w:rPr>
                <w:sz w:val="20"/>
                <w:szCs w:val="20"/>
                <w:color w:val="auto"/>
              </w:rPr>
            </w:pPr>
            <w:r>
              <w:rPr>
                <w:rFonts w:ascii="Arial" w:cs="Arial" w:eastAsia="Arial" w:hAnsi="Arial"/>
                <w:sz w:val="14"/>
                <w:szCs w:val="14"/>
                <w:color w:val="auto"/>
              </w:rPr>
              <w:t>604,231</w:t>
            </w:r>
          </w:p>
        </w:tc>
        <w:tc>
          <w:tcPr>
            <w:tcW w:w="280" w:type="dxa"/>
            <w:vAlign w:val="bottom"/>
            <w:tcBorders>
              <w:bottom w:val="single" w:sz="8" w:color="F0F7E7"/>
            </w:tcBorders>
            <w:shd w:val="clear" w:color="auto" w:fill="F0F7E7"/>
          </w:tcPr>
          <w:p>
            <w:pPr>
              <w:spacing w:after="0"/>
              <w:rPr>
                <w:sz w:val="13"/>
                <w:szCs w:val="13"/>
                <w:color w:val="auto"/>
              </w:rPr>
            </w:pPr>
          </w:p>
        </w:tc>
        <w:tc>
          <w:tcPr>
            <w:tcW w:w="620" w:type="dxa"/>
            <w:vAlign w:val="bottom"/>
            <w:tcBorders>
              <w:bottom w:val="single" w:sz="8" w:color="F0F7E7"/>
            </w:tcBorders>
            <w:shd w:val="clear" w:color="auto" w:fill="F0F7E7"/>
          </w:tcPr>
          <w:p>
            <w:pPr>
              <w:jc w:val="right"/>
              <w:ind w:right="70"/>
              <w:spacing w:after="0" w:line="155" w:lineRule="exact"/>
              <w:rPr>
                <w:sz w:val="20"/>
                <w:szCs w:val="20"/>
                <w:color w:val="auto"/>
              </w:rPr>
            </w:pPr>
            <w:r>
              <w:rPr>
                <w:rFonts w:ascii="Arial" w:cs="Arial" w:eastAsia="Arial" w:hAnsi="Arial"/>
                <w:sz w:val="14"/>
                <w:szCs w:val="14"/>
                <w:color w:val="auto"/>
              </w:rPr>
              <w:t>—</w:t>
            </w:r>
          </w:p>
        </w:tc>
        <w:tc>
          <w:tcPr>
            <w:tcW w:w="1040" w:type="dxa"/>
            <w:vAlign w:val="bottom"/>
            <w:tcBorders>
              <w:bottom w:val="single" w:sz="8" w:color="F0F7E7"/>
            </w:tcBorders>
            <w:shd w:val="clear" w:color="auto" w:fill="F0F7E7"/>
          </w:tcPr>
          <w:p>
            <w:pPr>
              <w:jc w:val="right"/>
              <w:ind w:right="90"/>
              <w:spacing w:after="0" w:line="155" w:lineRule="exact"/>
              <w:rPr>
                <w:sz w:val="20"/>
                <w:szCs w:val="20"/>
                <w:color w:val="auto"/>
              </w:rPr>
            </w:pPr>
            <w:r>
              <w:rPr>
                <w:rFonts w:ascii="Arial" w:cs="Arial" w:eastAsia="Arial" w:hAnsi="Arial"/>
                <w:sz w:val="14"/>
                <w:szCs w:val="14"/>
                <w:color w:val="auto"/>
              </w:rPr>
              <w:t>2,271,944</w:t>
            </w:r>
          </w:p>
        </w:tc>
        <w:tc>
          <w:tcPr>
            <w:tcW w:w="1020" w:type="dxa"/>
            <w:vAlign w:val="bottom"/>
            <w:tcBorders>
              <w:bottom w:val="single" w:sz="8" w:color="F0F7E7"/>
            </w:tcBorders>
            <w:shd w:val="clear" w:color="auto" w:fill="F0F7E7"/>
          </w:tcPr>
          <w:p>
            <w:pPr>
              <w:jc w:val="right"/>
              <w:ind w:right="70"/>
              <w:spacing w:after="0" w:line="155" w:lineRule="exact"/>
              <w:rPr>
                <w:sz w:val="20"/>
                <w:szCs w:val="20"/>
                <w:color w:val="auto"/>
              </w:rPr>
            </w:pPr>
            <w:r>
              <w:rPr>
                <w:rFonts w:ascii="Arial" w:cs="Arial" w:eastAsia="Arial" w:hAnsi="Arial"/>
                <w:sz w:val="14"/>
                <w:szCs w:val="14"/>
                <w:color w:val="auto"/>
              </w:rPr>
              <w:t>1,038,603</w:t>
            </w:r>
          </w:p>
        </w:tc>
        <w:tc>
          <w:tcPr>
            <w:tcW w:w="260" w:type="dxa"/>
            <w:vAlign w:val="bottom"/>
            <w:tcBorders>
              <w:bottom w:val="single" w:sz="8" w:color="F0F7E7"/>
            </w:tcBorders>
            <w:shd w:val="clear" w:color="auto" w:fill="F0F7E7"/>
          </w:tcPr>
          <w:p>
            <w:pPr>
              <w:spacing w:after="0"/>
              <w:rPr>
                <w:sz w:val="13"/>
                <w:szCs w:val="13"/>
                <w:color w:val="auto"/>
              </w:rPr>
            </w:pPr>
          </w:p>
        </w:tc>
        <w:tc>
          <w:tcPr>
            <w:tcW w:w="1140" w:type="dxa"/>
            <w:vAlign w:val="bottom"/>
            <w:tcBorders>
              <w:bottom w:val="single" w:sz="8" w:color="F0F7E7"/>
            </w:tcBorders>
            <w:shd w:val="clear" w:color="auto" w:fill="F0F7E7"/>
          </w:tcPr>
          <w:p>
            <w:pPr>
              <w:jc w:val="right"/>
              <w:ind w:right="70"/>
              <w:spacing w:after="0" w:line="155" w:lineRule="exact"/>
              <w:rPr>
                <w:sz w:val="20"/>
                <w:szCs w:val="20"/>
                <w:color w:val="auto"/>
              </w:rPr>
            </w:pPr>
            <w:r>
              <w:rPr>
                <w:rFonts w:ascii="Arial" w:cs="Arial" w:eastAsia="Arial" w:hAnsi="Arial"/>
                <w:sz w:val="14"/>
                <w:szCs w:val="14"/>
                <w:color w:val="auto"/>
              </w:rPr>
              <w:t>367,235</w:t>
            </w:r>
          </w:p>
        </w:tc>
        <w:tc>
          <w:tcPr>
            <w:tcW w:w="440" w:type="dxa"/>
            <w:vAlign w:val="bottom"/>
            <w:tcBorders>
              <w:bottom w:val="single" w:sz="8" w:color="F0F7E7"/>
            </w:tcBorders>
            <w:shd w:val="clear" w:color="auto" w:fill="F0F7E7"/>
          </w:tcPr>
          <w:p>
            <w:pPr>
              <w:spacing w:after="0"/>
              <w:rPr>
                <w:sz w:val="13"/>
                <w:szCs w:val="13"/>
                <w:color w:val="auto"/>
              </w:rPr>
            </w:pPr>
          </w:p>
        </w:tc>
        <w:tc>
          <w:tcPr>
            <w:tcW w:w="980" w:type="dxa"/>
            <w:vAlign w:val="bottom"/>
            <w:tcBorders>
              <w:bottom w:val="single" w:sz="8" w:color="F0F7E7"/>
            </w:tcBorders>
            <w:shd w:val="clear" w:color="auto" w:fill="F0F7E7"/>
          </w:tcPr>
          <w:p>
            <w:pPr>
              <w:jc w:val="right"/>
              <w:ind w:right="70"/>
              <w:spacing w:after="0" w:line="155" w:lineRule="exact"/>
              <w:rPr>
                <w:sz w:val="20"/>
                <w:szCs w:val="20"/>
                <w:color w:val="auto"/>
              </w:rPr>
            </w:pPr>
            <w:r>
              <w:rPr>
                <w:rFonts w:ascii="Arial" w:cs="Arial" w:eastAsia="Arial" w:hAnsi="Arial"/>
                <w:sz w:val="14"/>
                <w:szCs w:val="14"/>
                <w:color w:val="auto"/>
              </w:rPr>
              <w:t>13,800</w:t>
            </w:r>
          </w:p>
        </w:tc>
        <w:tc>
          <w:tcPr>
            <w:tcW w:w="1060" w:type="dxa"/>
            <w:vAlign w:val="bottom"/>
            <w:tcBorders>
              <w:bottom w:val="single" w:sz="8" w:color="F0F7E7"/>
            </w:tcBorders>
            <w:shd w:val="clear" w:color="auto" w:fill="F0F7E7"/>
          </w:tcPr>
          <w:p>
            <w:pPr>
              <w:jc w:val="right"/>
              <w:ind w:right="30"/>
              <w:spacing w:after="0" w:line="155" w:lineRule="exact"/>
              <w:rPr>
                <w:sz w:val="20"/>
                <w:szCs w:val="20"/>
                <w:color w:val="auto"/>
              </w:rPr>
            </w:pPr>
            <w:r>
              <w:rPr>
                <w:rFonts w:ascii="Arial" w:cs="Arial" w:eastAsia="Arial" w:hAnsi="Arial"/>
                <w:sz w:val="14"/>
                <w:szCs w:val="14"/>
                <w:color w:val="auto"/>
              </w:rPr>
              <w:t>4,295,813</w:t>
            </w:r>
          </w:p>
        </w:tc>
        <w:tc>
          <w:tcPr>
            <w:tcW w:w="0" w:type="dxa"/>
            <w:vAlign w:val="bottom"/>
          </w:tcPr>
          <w:p>
            <w:pPr>
              <w:spacing w:after="0"/>
              <w:rPr>
                <w:sz w:val="1"/>
                <w:szCs w:val="1"/>
                <w:color w:val="auto"/>
              </w:rPr>
            </w:pPr>
          </w:p>
        </w:tc>
      </w:tr>
      <w:tr>
        <w:trPr>
          <w:trHeight w:val="140"/>
        </w:trPr>
        <w:tc>
          <w:tcPr>
            <w:tcW w:w="2800" w:type="dxa"/>
            <w:vAlign w:val="bottom"/>
          </w:tcPr>
          <w:p>
            <w:pPr>
              <w:ind w:left="200"/>
              <w:spacing w:after="0" w:line="140" w:lineRule="exact"/>
              <w:rPr>
                <w:sz w:val="20"/>
                <w:szCs w:val="20"/>
                <w:color w:val="auto"/>
              </w:rPr>
            </w:pPr>
            <w:r>
              <w:rPr>
                <w:rFonts w:ascii="Arial" w:cs="Arial" w:eastAsia="Arial" w:hAnsi="Arial"/>
                <w:sz w:val="14"/>
                <w:szCs w:val="14"/>
                <w:color w:val="auto"/>
              </w:rPr>
              <w:t>Chief Commercial Officer and</w:t>
            </w:r>
          </w:p>
        </w:tc>
        <w:tc>
          <w:tcPr>
            <w:tcW w:w="700" w:type="dxa"/>
            <w:vAlign w:val="bottom"/>
          </w:tcPr>
          <w:p>
            <w:pPr>
              <w:jc w:val="right"/>
              <w:ind w:right="70"/>
              <w:spacing w:after="0" w:line="140" w:lineRule="exact"/>
              <w:rPr>
                <w:sz w:val="20"/>
                <w:szCs w:val="20"/>
                <w:color w:val="auto"/>
              </w:rPr>
            </w:pPr>
            <w:r>
              <w:rPr>
                <w:rFonts w:ascii="Arial" w:cs="Arial" w:eastAsia="Arial" w:hAnsi="Arial"/>
                <w:sz w:val="14"/>
                <w:szCs w:val="14"/>
                <w:color w:val="auto"/>
              </w:rPr>
              <w:t>2023</w:t>
            </w:r>
          </w:p>
        </w:tc>
        <w:tc>
          <w:tcPr>
            <w:tcW w:w="920" w:type="dxa"/>
            <w:vAlign w:val="bottom"/>
          </w:tcPr>
          <w:p>
            <w:pPr>
              <w:jc w:val="right"/>
              <w:ind w:right="70"/>
              <w:spacing w:after="0" w:line="140" w:lineRule="exact"/>
              <w:rPr>
                <w:sz w:val="20"/>
                <w:szCs w:val="20"/>
                <w:color w:val="auto"/>
              </w:rPr>
            </w:pPr>
            <w:r>
              <w:rPr>
                <w:rFonts w:ascii="Arial" w:cs="Arial" w:eastAsia="Arial" w:hAnsi="Arial"/>
                <w:sz w:val="14"/>
                <w:szCs w:val="14"/>
                <w:color w:val="auto"/>
              </w:rPr>
              <w:t>585,969</w:t>
            </w:r>
          </w:p>
        </w:tc>
        <w:tc>
          <w:tcPr>
            <w:tcW w:w="280" w:type="dxa"/>
            <w:vAlign w:val="bottom"/>
          </w:tcPr>
          <w:p>
            <w:pPr>
              <w:spacing w:after="0"/>
              <w:rPr>
                <w:sz w:val="12"/>
                <w:szCs w:val="12"/>
                <w:color w:val="auto"/>
              </w:rPr>
            </w:pPr>
          </w:p>
        </w:tc>
        <w:tc>
          <w:tcPr>
            <w:tcW w:w="620" w:type="dxa"/>
            <w:vAlign w:val="bottom"/>
          </w:tcPr>
          <w:p>
            <w:pPr>
              <w:jc w:val="right"/>
              <w:ind w:right="70"/>
              <w:spacing w:after="0" w:line="140" w:lineRule="exact"/>
              <w:rPr>
                <w:sz w:val="20"/>
                <w:szCs w:val="20"/>
                <w:color w:val="auto"/>
              </w:rPr>
            </w:pPr>
            <w:r>
              <w:rPr>
                <w:rFonts w:ascii="Arial" w:cs="Arial" w:eastAsia="Arial" w:hAnsi="Arial"/>
                <w:sz w:val="14"/>
                <w:szCs w:val="14"/>
                <w:color w:val="auto"/>
              </w:rPr>
              <w:t>—</w:t>
            </w:r>
          </w:p>
        </w:tc>
        <w:tc>
          <w:tcPr>
            <w:tcW w:w="1040" w:type="dxa"/>
            <w:vAlign w:val="bottom"/>
          </w:tcPr>
          <w:p>
            <w:pPr>
              <w:jc w:val="right"/>
              <w:ind w:right="90"/>
              <w:spacing w:after="0" w:line="140" w:lineRule="exact"/>
              <w:rPr>
                <w:sz w:val="20"/>
                <w:szCs w:val="20"/>
                <w:color w:val="auto"/>
              </w:rPr>
            </w:pPr>
            <w:r>
              <w:rPr>
                <w:rFonts w:ascii="Arial" w:cs="Arial" w:eastAsia="Arial" w:hAnsi="Arial"/>
                <w:sz w:val="14"/>
                <w:szCs w:val="14"/>
                <w:color w:val="auto"/>
              </w:rPr>
              <w:t>2,169,750</w:t>
            </w:r>
          </w:p>
        </w:tc>
        <w:tc>
          <w:tcPr>
            <w:tcW w:w="1020" w:type="dxa"/>
            <w:vAlign w:val="bottom"/>
          </w:tcPr>
          <w:p>
            <w:pPr>
              <w:jc w:val="right"/>
              <w:ind w:right="70"/>
              <w:spacing w:after="0" w:line="140" w:lineRule="exact"/>
              <w:rPr>
                <w:sz w:val="20"/>
                <w:szCs w:val="20"/>
                <w:color w:val="auto"/>
              </w:rPr>
            </w:pPr>
            <w:r>
              <w:rPr>
                <w:rFonts w:ascii="Arial" w:cs="Arial" w:eastAsia="Arial" w:hAnsi="Arial"/>
                <w:sz w:val="14"/>
                <w:szCs w:val="14"/>
                <w:color w:val="auto"/>
              </w:rPr>
              <w:t>1,020,050</w:t>
            </w:r>
          </w:p>
        </w:tc>
        <w:tc>
          <w:tcPr>
            <w:tcW w:w="260" w:type="dxa"/>
            <w:vAlign w:val="bottom"/>
          </w:tcPr>
          <w:p>
            <w:pPr>
              <w:spacing w:after="0"/>
              <w:rPr>
                <w:sz w:val="12"/>
                <w:szCs w:val="12"/>
                <w:color w:val="auto"/>
              </w:rPr>
            </w:pPr>
          </w:p>
        </w:tc>
        <w:tc>
          <w:tcPr>
            <w:tcW w:w="1140" w:type="dxa"/>
            <w:vAlign w:val="bottom"/>
          </w:tcPr>
          <w:p>
            <w:pPr>
              <w:jc w:val="right"/>
              <w:ind w:right="70"/>
              <w:spacing w:after="0" w:line="140" w:lineRule="exact"/>
              <w:rPr>
                <w:sz w:val="20"/>
                <w:szCs w:val="20"/>
                <w:color w:val="auto"/>
              </w:rPr>
            </w:pPr>
            <w:r>
              <w:rPr>
                <w:rFonts w:ascii="Arial" w:cs="Arial" w:eastAsia="Arial" w:hAnsi="Arial"/>
                <w:sz w:val="14"/>
                <w:szCs w:val="14"/>
                <w:color w:val="auto"/>
              </w:rPr>
              <w:t>279,598</w:t>
            </w:r>
          </w:p>
        </w:tc>
        <w:tc>
          <w:tcPr>
            <w:tcW w:w="440" w:type="dxa"/>
            <w:vAlign w:val="bottom"/>
          </w:tcPr>
          <w:p>
            <w:pPr>
              <w:spacing w:after="0"/>
              <w:rPr>
                <w:sz w:val="12"/>
                <w:szCs w:val="12"/>
                <w:color w:val="auto"/>
              </w:rPr>
            </w:pPr>
          </w:p>
        </w:tc>
        <w:tc>
          <w:tcPr>
            <w:tcW w:w="980" w:type="dxa"/>
            <w:vAlign w:val="bottom"/>
          </w:tcPr>
          <w:p>
            <w:pPr>
              <w:jc w:val="right"/>
              <w:ind w:right="70"/>
              <w:spacing w:after="0" w:line="140" w:lineRule="exact"/>
              <w:rPr>
                <w:sz w:val="20"/>
                <w:szCs w:val="20"/>
                <w:color w:val="auto"/>
              </w:rPr>
            </w:pPr>
            <w:r>
              <w:rPr>
                <w:rFonts w:ascii="Arial" w:cs="Arial" w:eastAsia="Arial" w:hAnsi="Arial"/>
                <w:sz w:val="14"/>
                <w:szCs w:val="14"/>
                <w:color w:val="auto"/>
              </w:rPr>
              <w:t>13,200</w:t>
            </w:r>
          </w:p>
        </w:tc>
        <w:tc>
          <w:tcPr>
            <w:tcW w:w="1060" w:type="dxa"/>
            <w:vAlign w:val="bottom"/>
          </w:tcPr>
          <w:p>
            <w:pPr>
              <w:jc w:val="right"/>
              <w:ind w:right="30"/>
              <w:spacing w:after="0" w:line="140" w:lineRule="exact"/>
              <w:rPr>
                <w:sz w:val="20"/>
                <w:szCs w:val="20"/>
                <w:color w:val="auto"/>
              </w:rPr>
            </w:pPr>
            <w:r>
              <w:rPr>
                <w:rFonts w:ascii="Arial" w:cs="Arial" w:eastAsia="Arial" w:hAnsi="Arial"/>
                <w:sz w:val="14"/>
                <w:szCs w:val="14"/>
                <w:color w:val="auto"/>
              </w:rPr>
              <w:t>4,068,567</w:t>
            </w:r>
          </w:p>
        </w:tc>
        <w:tc>
          <w:tcPr>
            <w:tcW w:w="0" w:type="dxa"/>
            <w:vAlign w:val="bottom"/>
          </w:tcPr>
          <w:p>
            <w:pPr>
              <w:spacing w:after="0"/>
              <w:rPr>
                <w:sz w:val="1"/>
                <w:szCs w:val="1"/>
                <w:color w:val="auto"/>
              </w:rPr>
            </w:pPr>
          </w:p>
        </w:tc>
      </w:tr>
      <w:tr>
        <w:trPr>
          <w:trHeight w:val="47"/>
        </w:trPr>
        <w:tc>
          <w:tcPr>
            <w:tcW w:w="2800" w:type="dxa"/>
            <w:vAlign w:val="bottom"/>
            <w:vMerge w:val="restart"/>
          </w:tcPr>
          <w:p>
            <w:pPr>
              <w:ind w:left="200"/>
              <w:spacing w:after="0"/>
              <w:rPr>
                <w:sz w:val="20"/>
                <w:szCs w:val="20"/>
                <w:color w:val="auto"/>
              </w:rPr>
            </w:pPr>
            <w:r>
              <w:rPr>
                <w:rFonts w:ascii="Arial" w:cs="Arial" w:eastAsia="Arial" w:hAnsi="Arial"/>
                <w:sz w:val="14"/>
                <w:szCs w:val="14"/>
                <w:color w:val="auto"/>
              </w:rPr>
              <w:t>Executive Vice President</w:t>
            </w:r>
          </w:p>
        </w:tc>
        <w:tc>
          <w:tcPr>
            <w:tcW w:w="700" w:type="dxa"/>
            <w:vAlign w:val="bottom"/>
          </w:tcPr>
          <w:p>
            <w:pPr>
              <w:spacing w:after="0"/>
              <w:rPr>
                <w:sz w:val="4"/>
                <w:szCs w:val="4"/>
                <w:color w:val="auto"/>
              </w:rPr>
            </w:pPr>
          </w:p>
        </w:tc>
        <w:tc>
          <w:tcPr>
            <w:tcW w:w="9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800" w:type="dxa"/>
            <w:vAlign w:val="bottom"/>
            <w:vMerge w:val="continue"/>
          </w:tcPr>
          <w:p>
            <w:pPr>
              <w:spacing w:after="0"/>
              <w:rPr>
                <w:sz w:val="16"/>
                <w:szCs w:val="16"/>
                <w:color w:val="auto"/>
              </w:rPr>
            </w:pPr>
          </w:p>
        </w:tc>
        <w:tc>
          <w:tcPr>
            <w:tcW w:w="700" w:type="dxa"/>
            <w:vAlign w:val="bottom"/>
            <w:tcBorders>
              <w:bottom w:val="single" w:sz="8" w:color="F0F7E7"/>
            </w:tcBorders>
            <w:shd w:val="clear" w:color="auto" w:fill="F0F7E7"/>
          </w:tcPr>
          <w:p>
            <w:pPr>
              <w:jc w:val="right"/>
              <w:ind w:right="70"/>
              <w:spacing w:after="0"/>
              <w:rPr>
                <w:sz w:val="20"/>
                <w:szCs w:val="20"/>
                <w:color w:val="auto"/>
              </w:rPr>
            </w:pPr>
            <w:r>
              <w:rPr>
                <w:rFonts w:ascii="Arial" w:cs="Arial" w:eastAsia="Arial" w:hAnsi="Arial"/>
                <w:sz w:val="14"/>
                <w:szCs w:val="14"/>
                <w:color w:val="auto"/>
              </w:rPr>
              <w:t>2022</w:t>
            </w:r>
          </w:p>
        </w:tc>
        <w:tc>
          <w:tcPr>
            <w:tcW w:w="920" w:type="dxa"/>
            <w:vAlign w:val="bottom"/>
            <w:tcBorders>
              <w:bottom w:val="single" w:sz="8" w:color="F0F7E7"/>
            </w:tcBorders>
            <w:shd w:val="clear" w:color="auto" w:fill="F0F7E7"/>
          </w:tcPr>
          <w:p>
            <w:pPr>
              <w:jc w:val="right"/>
              <w:ind w:right="70"/>
              <w:spacing w:after="0"/>
              <w:rPr>
                <w:sz w:val="20"/>
                <w:szCs w:val="20"/>
                <w:color w:val="auto"/>
              </w:rPr>
            </w:pPr>
            <w:r>
              <w:rPr>
                <w:rFonts w:ascii="Arial" w:cs="Arial" w:eastAsia="Arial" w:hAnsi="Arial"/>
                <w:sz w:val="14"/>
                <w:szCs w:val="14"/>
                <w:color w:val="auto"/>
              </w:rPr>
              <w:t>566,331</w:t>
            </w:r>
          </w:p>
        </w:tc>
        <w:tc>
          <w:tcPr>
            <w:tcW w:w="280" w:type="dxa"/>
            <w:vAlign w:val="bottom"/>
            <w:tcBorders>
              <w:bottom w:val="single" w:sz="8" w:color="F0F7E7"/>
            </w:tcBorders>
            <w:shd w:val="clear" w:color="auto" w:fill="F0F7E7"/>
          </w:tcPr>
          <w:p>
            <w:pPr>
              <w:spacing w:after="0"/>
              <w:rPr>
                <w:sz w:val="16"/>
                <w:szCs w:val="16"/>
                <w:color w:val="auto"/>
              </w:rPr>
            </w:pPr>
          </w:p>
        </w:tc>
        <w:tc>
          <w:tcPr>
            <w:tcW w:w="620" w:type="dxa"/>
            <w:vAlign w:val="bottom"/>
            <w:tcBorders>
              <w:bottom w:val="single" w:sz="8" w:color="F0F7E7"/>
            </w:tcBorders>
            <w:shd w:val="clear" w:color="auto" w:fill="F0F7E7"/>
          </w:tcPr>
          <w:p>
            <w:pPr>
              <w:jc w:val="right"/>
              <w:ind w:right="7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F0F7E7"/>
            </w:tcBorders>
            <w:shd w:val="clear" w:color="auto" w:fill="F0F7E7"/>
          </w:tcPr>
          <w:p>
            <w:pPr>
              <w:jc w:val="right"/>
              <w:ind w:right="90"/>
              <w:spacing w:after="0"/>
              <w:rPr>
                <w:sz w:val="20"/>
                <w:szCs w:val="20"/>
                <w:color w:val="auto"/>
              </w:rPr>
            </w:pPr>
            <w:r>
              <w:rPr>
                <w:rFonts w:ascii="Arial" w:cs="Arial" w:eastAsia="Arial" w:hAnsi="Arial"/>
                <w:sz w:val="14"/>
                <w:szCs w:val="14"/>
                <w:color w:val="auto"/>
              </w:rPr>
              <w:t>2,007,768</w:t>
            </w:r>
          </w:p>
        </w:tc>
        <w:tc>
          <w:tcPr>
            <w:tcW w:w="1020" w:type="dxa"/>
            <w:vAlign w:val="bottom"/>
            <w:tcBorders>
              <w:bottom w:val="single" w:sz="8" w:color="F0F7E7"/>
            </w:tcBorders>
            <w:shd w:val="clear" w:color="auto" w:fill="F0F7E7"/>
          </w:tcPr>
          <w:p>
            <w:pPr>
              <w:jc w:val="right"/>
              <w:ind w:right="70"/>
              <w:spacing w:after="0"/>
              <w:rPr>
                <w:sz w:val="20"/>
                <w:szCs w:val="20"/>
                <w:color w:val="auto"/>
              </w:rPr>
            </w:pPr>
            <w:r>
              <w:rPr>
                <w:rFonts w:ascii="Arial" w:cs="Arial" w:eastAsia="Arial" w:hAnsi="Arial"/>
                <w:sz w:val="14"/>
                <w:szCs w:val="14"/>
                <w:color w:val="auto"/>
              </w:rPr>
              <w:t>892,550</w:t>
            </w:r>
          </w:p>
        </w:tc>
        <w:tc>
          <w:tcPr>
            <w:tcW w:w="260" w:type="dxa"/>
            <w:vAlign w:val="bottom"/>
            <w:tcBorders>
              <w:bottom w:val="single" w:sz="8" w:color="F0F7E7"/>
            </w:tcBorders>
            <w:shd w:val="clear" w:color="auto" w:fill="F0F7E7"/>
          </w:tcPr>
          <w:p>
            <w:pPr>
              <w:spacing w:after="0"/>
              <w:rPr>
                <w:sz w:val="16"/>
                <w:szCs w:val="16"/>
                <w:color w:val="auto"/>
              </w:rPr>
            </w:pPr>
          </w:p>
        </w:tc>
        <w:tc>
          <w:tcPr>
            <w:tcW w:w="1140" w:type="dxa"/>
            <w:vAlign w:val="bottom"/>
            <w:tcBorders>
              <w:bottom w:val="single" w:sz="8" w:color="F0F7E7"/>
            </w:tcBorders>
            <w:shd w:val="clear" w:color="auto" w:fill="F0F7E7"/>
          </w:tcPr>
          <w:p>
            <w:pPr>
              <w:jc w:val="right"/>
              <w:ind w:right="70"/>
              <w:spacing w:after="0"/>
              <w:rPr>
                <w:sz w:val="20"/>
                <w:szCs w:val="20"/>
                <w:color w:val="auto"/>
              </w:rPr>
            </w:pPr>
            <w:r>
              <w:rPr>
                <w:rFonts w:ascii="Arial" w:cs="Arial" w:eastAsia="Arial" w:hAnsi="Arial"/>
                <w:sz w:val="14"/>
                <w:szCs w:val="14"/>
                <w:color w:val="auto"/>
              </w:rPr>
              <w:t>269,706</w:t>
            </w:r>
          </w:p>
        </w:tc>
        <w:tc>
          <w:tcPr>
            <w:tcW w:w="440" w:type="dxa"/>
            <w:vAlign w:val="bottom"/>
            <w:tcBorders>
              <w:bottom w:val="single" w:sz="8" w:color="F0F7E7"/>
            </w:tcBorders>
            <w:shd w:val="clear" w:color="auto" w:fill="F0F7E7"/>
          </w:tcPr>
          <w:p>
            <w:pPr>
              <w:spacing w:after="0"/>
              <w:rPr>
                <w:sz w:val="16"/>
                <w:szCs w:val="16"/>
                <w:color w:val="auto"/>
              </w:rPr>
            </w:pPr>
          </w:p>
        </w:tc>
        <w:tc>
          <w:tcPr>
            <w:tcW w:w="980" w:type="dxa"/>
            <w:vAlign w:val="bottom"/>
            <w:tcBorders>
              <w:bottom w:val="single" w:sz="8" w:color="F0F7E7"/>
            </w:tcBorders>
            <w:shd w:val="clear" w:color="auto" w:fill="F0F7E7"/>
          </w:tcPr>
          <w:p>
            <w:pPr>
              <w:jc w:val="right"/>
              <w:ind w:right="70"/>
              <w:spacing w:after="0"/>
              <w:rPr>
                <w:sz w:val="20"/>
                <w:szCs w:val="20"/>
                <w:color w:val="auto"/>
              </w:rPr>
            </w:pPr>
            <w:r>
              <w:rPr>
                <w:rFonts w:ascii="Arial" w:cs="Arial" w:eastAsia="Arial" w:hAnsi="Arial"/>
                <w:sz w:val="14"/>
                <w:szCs w:val="14"/>
                <w:color w:val="auto"/>
              </w:rPr>
              <w:t>12,200</w:t>
            </w:r>
          </w:p>
        </w:tc>
        <w:tc>
          <w:tcPr>
            <w:tcW w:w="1060" w:type="dxa"/>
            <w:vAlign w:val="bottom"/>
            <w:tcBorders>
              <w:bottom w:val="single" w:sz="8" w:color="F0F7E7"/>
            </w:tcBorders>
            <w:shd w:val="clear" w:color="auto" w:fill="F0F7E7"/>
          </w:tcPr>
          <w:p>
            <w:pPr>
              <w:jc w:val="right"/>
              <w:ind w:right="30"/>
              <w:spacing w:after="0"/>
              <w:rPr>
                <w:sz w:val="20"/>
                <w:szCs w:val="20"/>
                <w:color w:val="auto"/>
              </w:rPr>
            </w:pPr>
            <w:r>
              <w:rPr>
                <w:rFonts w:ascii="Arial" w:cs="Arial" w:eastAsia="Arial" w:hAnsi="Arial"/>
                <w:sz w:val="14"/>
                <w:szCs w:val="14"/>
                <w:color w:val="auto"/>
              </w:rPr>
              <w:t>3,748,555</w:t>
            </w:r>
          </w:p>
        </w:tc>
        <w:tc>
          <w:tcPr>
            <w:tcW w:w="0" w:type="dxa"/>
            <w:vAlign w:val="bottom"/>
          </w:tcPr>
          <w:p>
            <w:pPr>
              <w:spacing w:after="0"/>
              <w:rPr>
                <w:sz w:val="1"/>
                <w:szCs w:val="1"/>
                <w:color w:val="auto"/>
              </w:rPr>
            </w:pPr>
          </w:p>
        </w:tc>
      </w:tr>
      <w:tr>
        <w:trPr>
          <w:trHeight w:val="155"/>
        </w:trPr>
        <w:tc>
          <w:tcPr>
            <w:tcW w:w="2800" w:type="dxa"/>
            <w:vAlign w:val="bottom"/>
            <w:tcBorders>
              <w:top w:val="single" w:sz="8" w:color="7CBD3F"/>
            </w:tcBorders>
          </w:tcPr>
          <w:p>
            <w:pPr>
              <w:ind w:left="40"/>
              <w:spacing w:after="0" w:line="155" w:lineRule="exact"/>
              <w:rPr>
                <w:sz w:val="20"/>
                <w:szCs w:val="20"/>
                <w:color w:val="auto"/>
              </w:rPr>
            </w:pPr>
            <w:r>
              <w:rPr>
                <w:rFonts w:ascii="Arial" w:cs="Arial" w:eastAsia="Arial" w:hAnsi="Arial"/>
                <w:sz w:val="14"/>
                <w:szCs w:val="14"/>
                <w:b w:val="1"/>
                <w:bCs w:val="1"/>
                <w:color w:val="auto"/>
              </w:rPr>
              <w:t>Eric Crombez, M.D.</w:t>
            </w:r>
          </w:p>
        </w:tc>
        <w:tc>
          <w:tcPr>
            <w:tcW w:w="700" w:type="dxa"/>
            <w:vAlign w:val="bottom"/>
            <w:tcBorders>
              <w:top w:val="single" w:sz="8" w:color="7CBD3F"/>
            </w:tcBorders>
          </w:tcPr>
          <w:p>
            <w:pPr>
              <w:jc w:val="right"/>
              <w:ind w:right="70"/>
              <w:spacing w:after="0" w:line="155" w:lineRule="exact"/>
              <w:rPr>
                <w:sz w:val="20"/>
                <w:szCs w:val="20"/>
                <w:color w:val="auto"/>
              </w:rPr>
            </w:pPr>
            <w:r>
              <w:rPr>
                <w:rFonts w:ascii="Arial" w:cs="Arial" w:eastAsia="Arial" w:hAnsi="Arial"/>
                <w:sz w:val="14"/>
                <w:szCs w:val="14"/>
                <w:color w:val="auto"/>
              </w:rPr>
              <w:t>2024</w:t>
            </w:r>
          </w:p>
        </w:tc>
        <w:tc>
          <w:tcPr>
            <w:tcW w:w="920" w:type="dxa"/>
            <w:vAlign w:val="bottom"/>
            <w:tcBorders>
              <w:top w:val="single" w:sz="8" w:color="7CBD3F"/>
            </w:tcBorders>
          </w:tcPr>
          <w:p>
            <w:pPr>
              <w:jc w:val="right"/>
              <w:ind w:right="70"/>
              <w:spacing w:after="0" w:line="155" w:lineRule="exact"/>
              <w:rPr>
                <w:sz w:val="20"/>
                <w:szCs w:val="20"/>
                <w:color w:val="auto"/>
              </w:rPr>
            </w:pPr>
            <w:r>
              <w:rPr>
                <w:rFonts w:ascii="Arial" w:cs="Arial" w:eastAsia="Arial" w:hAnsi="Arial"/>
                <w:sz w:val="14"/>
                <w:szCs w:val="14"/>
                <w:color w:val="auto"/>
              </w:rPr>
              <w:t>591,846</w:t>
            </w:r>
          </w:p>
        </w:tc>
        <w:tc>
          <w:tcPr>
            <w:tcW w:w="280" w:type="dxa"/>
            <w:vAlign w:val="bottom"/>
            <w:tcBorders>
              <w:top w:val="single" w:sz="8" w:color="7CBD3F"/>
            </w:tcBorders>
          </w:tcPr>
          <w:p>
            <w:pPr>
              <w:spacing w:after="0"/>
              <w:rPr>
                <w:sz w:val="13"/>
                <w:szCs w:val="13"/>
                <w:color w:val="auto"/>
              </w:rPr>
            </w:pPr>
          </w:p>
        </w:tc>
        <w:tc>
          <w:tcPr>
            <w:tcW w:w="620" w:type="dxa"/>
            <w:vAlign w:val="bottom"/>
            <w:tcBorders>
              <w:top w:val="single" w:sz="8" w:color="7CBD3F"/>
            </w:tcBorders>
          </w:tcPr>
          <w:p>
            <w:pPr>
              <w:jc w:val="right"/>
              <w:ind w:right="70"/>
              <w:spacing w:after="0" w:line="155" w:lineRule="exact"/>
              <w:rPr>
                <w:sz w:val="20"/>
                <w:szCs w:val="20"/>
                <w:color w:val="auto"/>
              </w:rPr>
            </w:pPr>
            <w:r>
              <w:rPr>
                <w:rFonts w:ascii="Arial" w:cs="Arial" w:eastAsia="Arial" w:hAnsi="Arial"/>
                <w:sz w:val="14"/>
                <w:szCs w:val="14"/>
                <w:color w:val="auto"/>
              </w:rPr>
              <w:t>—</w:t>
            </w:r>
          </w:p>
        </w:tc>
        <w:tc>
          <w:tcPr>
            <w:tcW w:w="1040" w:type="dxa"/>
            <w:vAlign w:val="bottom"/>
            <w:tcBorders>
              <w:top w:val="single" w:sz="8" w:color="7CBD3F"/>
            </w:tcBorders>
          </w:tcPr>
          <w:p>
            <w:pPr>
              <w:jc w:val="right"/>
              <w:ind w:right="90"/>
              <w:spacing w:after="0" w:line="155" w:lineRule="exact"/>
              <w:rPr>
                <w:sz w:val="20"/>
                <w:szCs w:val="20"/>
                <w:color w:val="auto"/>
              </w:rPr>
            </w:pPr>
            <w:r>
              <w:rPr>
                <w:rFonts w:ascii="Arial" w:cs="Arial" w:eastAsia="Arial" w:hAnsi="Arial"/>
                <w:sz w:val="14"/>
                <w:szCs w:val="14"/>
                <w:color w:val="auto"/>
              </w:rPr>
              <w:t>2,271,944</w:t>
            </w:r>
          </w:p>
        </w:tc>
        <w:tc>
          <w:tcPr>
            <w:tcW w:w="1020" w:type="dxa"/>
            <w:vAlign w:val="bottom"/>
            <w:tcBorders>
              <w:top w:val="single" w:sz="8" w:color="7CBD3F"/>
            </w:tcBorders>
          </w:tcPr>
          <w:p>
            <w:pPr>
              <w:jc w:val="right"/>
              <w:ind w:right="70"/>
              <w:spacing w:after="0" w:line="155" w:lineRule="exact"/>
              <w:rPr>
                <w:sz w:val="20"/>
                <w:szCs w:val="20"/>
                <w:color w:val="auto"/>
              </w:rPr>
            </w:pPr>
            <w:r>
              <w:rPr>
                <w:rFonts w:ascii="Arial" w:cs="Arial" w:eastAsia="Arial" w:hAnsi="Arial"/>
                <w:sz w:val="14"/>
                <w:szCs w:val="14"/>
                <w:color w:val="auto"/>
              </w:rPr>
              <w:t>1,038,603</w:t>
            </w:r>
          </w:p>
        </w:tc>
        <w:tc>
          <w:tcPr>
            <w:tcW w:w="260" w:type="dxa"/>
            <w:vAlign w:val="bottom"/>
            <w:tcBorders>
              <w:top w:val="single" w:sz="8" w:color="7CBD3F"/>
            </w:tcBorders>
          </w:tcPr>
          <w:p>
            <w:pPr>
              <w:spacing w:after="0"/>
              <w:rPr>
                <w:sz w:val="13"/>
                <w:szCs w:val="13"/>
                <w:color w:val="auto"/>
              </w:rPr>
            </w:pPr>
          </w:p>
        </w:tc>
        <w:tc>
          <w:tcPr>
            <w:tcW w:w="1140" w:type="dxa"/>
            <w:vAlign w:val="bottom"/>
            <w:tcBorders>
              <w:top w:val="single" w:sz="8" w:color="7CBD3F"/>
            </w:tcBorders>
          </w:tcPr>
          <w:p>
            <w:pPr>
              <w:jc w:val="right"/>
              <w:ind w:right="70"/>
              <w:spacing w:after="0" w:line="155" w:lineRule="exact"/>
              <w:rPr>
                <w:sz w:val="20"/>
                <w:szCs w:val="20"/>
                <w:color w:val="auto"/>
              </w:rPr>
            </w:pPr>
            <w:r>
              <w:rPr>
                <w:rFonts w:ascii="Arial" w:cs="Arial" w:eastAsia="Arial" w:hAnsi="Arial"/>
                <w:sz w:val="14"/>
                <w:szCs w:val="14"/>
                <w:color w:val="auto"/>
              </w:rPr>
              <w:t>382,030</w:t>
            </w:r>
          </w:p>
        </w:tc>
        <w:tc>
          <w:tcPr>
            <w:tcW w:w="440" w:type="dxa"/>
            <w:vAlign w:val="bottom"/>
            <w:tcBorders>
              <w:top w:val="single" w:sz="8" w:color="7CBD3F"/>
            </w:tcBorders>
          </w:tcPr>
          <w:p>
            <w:pPr>
              <w:spacing w:after="0"/>
              <w:rPr>
                <w:sz w:val="13"/>
                <w:szCs w:val="13"/>
                <w:color w:val="auto"/>
              </w:rPr>
            </w:pPr>
          </w:p>
        </w:tc>
        <w:tc>
          <w:tcPr>
            <w:tcW w:w="980" w:type="dxa"/>
            <w:vAlign w:val="bottom"/>
            <w:tcBorders>
              <w:top w:val="single" w:sz="8" w:color="7CBD3F"/>
            </w:tcBorders>
          </w:tcPr>
          <w:p>
            <w:pPr>
              <w:jc w:val="right"/>
              <w:ind w:right="70"/>
              <w:spacing w:after="0" w:line="155" w:lineRule="exact"/>
              <w:rPr>
                <w:sz w:val="20"/>
                <w:szCs w:val="20"/>
                <w:color w:val="auto"/>
              </w:rPr>
            </w:pPr>
            <w:r>
              <w:rPr>
                <w:rFonts w:ascii="Arial" w:cs="Arial" w:eastAsia="Arial" w:hAnsi="Arial"/>
                <w:sz w:val="14"/>
                <w:szCs w:val="14"/>
                <w:color w:val="auto"/>
              </w:rPr>
              <w:t>13,800</w:t>
            </w:r>
          </w:p>
        </w:tc>
        <w:tc>
          <w:tcPr>
            <w:tcW w:w="1060" w:type="dxa"/>
            <w:vAlign w:val="bottom"/>
            <w:tcBorders>
              <w:top w:val="single" w:sz="8" w:color="7CBD3F"/>
            </w:tcBorders>
          </w:tcPr>
          <w:p>
            <w:pPr>
              <w:jc w:val="right"/>
              <w:ind w:right="30"/>
              <w:spacing w:after="0" w:line="155" w:lineRule="exact"/>
              <w:rPr>
                <w:sz w:val="20"/>
                <w:szCs w:val="20"/>
                <w:color w:val="auto"/>
              </w:rPr>
            </w:pPr>
            <w:r>
              <w:rPr>
                <w:rFonts w:ascii="Arial" w:cs="Arial" w:eastAsia="Arial" w:hAnsi="Arial"/>
                <w:sz w:val="14"/>
                <w:szCs w:val="14"/>
                <w:color w:val="auto"/>
              </w:rPr>
              <w:t>4,298,223</w:t>
            </w:r>
          </w:p>
        </w:tc>
        <w:tc>
          <w:tcPr>
            <w:tcW w:w="0" w:type="dxa"/>
            <w:vAlign w:val="bottom"/>
          </w:tcPr>
          <w:p>
            <w:pPr>
              <w:spacing w:after="0"/>
              <w:rPr>
                <w:sz w:val="1"/>
                <w:szCs w:val="1"/>
                <w:color w:val="auto"/>
              </w:rPr>
            </w:pPr>
          </w:p>
        </w:tc>
      </w:tr>
      <w:tr>
        <w:trPr>
          <w:trHeight w:val="163"/>
        </w:trPr>
        <w:tc>
          <w:tcPr>
            <w:tcW w:w="2800" w:type="dxa"/>
            <w:vAlign w:val="bottom"/>
          </w:tcPr>
          <w:p>
            <w:pPr>
              <w:ind w:left="200"/>
              <w:spacing w:after="0"/>
              <w:rPr>
                <w:sz w:val="20"/>
                <w:szCs w:val="20"/>
                <w:color w:val="auto"/>
              </w:rPr>
            </w:pPr>
            <w:r>
              <w:rPr>
                <w:rFonts w:ascii="Arial" w:cs="Arial" w:eastAsia="Arial" w:hAnsi="Arial"/>
                <w:sz w:val="14"/>
                <w:szCs w:val="14"/>
                <w:color w:val="auto"/>
              </w:rPr>
              <w:t>Chief Medical Officer and</w:t>
            </w: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800" w:type="dxa"/>
            <w:vAlign w:val="bottom"/>
            <w:tcBorders>
              <w:bottom w:val="single" w:sz="8" w:color="7CBD3F"/>
            </w:tcBorders>
          </w:tcPr>
          <w:p>
            <w:pPr>
              <w:ind w:left="200"/>
              <w:spacing w:after="0"/>
              <w:rPr>
                <w:sz w:val="20"/>
                <w:szCs w:val="20"/>
                <w:color w:val="auto"/>
              </w:rPr>
            </w:pPr>
            <w:r>
              <w:rPr>
                <w:rFonts w:ascii="Arial" w:cs="Arial" w:eastAsia="Arial" w:hAnsi="Arial"/>
                <w:sz w:val="14"/>
                <w:szCs w:val="14"/>
                <w:color w:val="auto"/>
              </w:rPr>
              <w:t>Executive Vice President</w:t>
            </w:r>
          </w:p>
        </w:tc>
        <w:tc>
          <w:tcPr>
            <w:tcW w:w="700" w:type="dxa"/>
            <w:vAlign w:val="bottom"/>
            <w:tcBorders>
              <w:bottom w:val="single" w:sz="8" w:color="7CBD3F"/>
            </w:tcBorders>
          </w:tcPr>
          <w:p>
            <w:pPr>
              <w:spacing w:after="0"/>
              <w:rPr>
                <w:sz w:val="16"/>
                <w:szCs w:val="16"/>
                <w:color w:val="auto"/>
              </w:rPr>
            </w:pPr>
          </w:p>
        </w:tc>
        <w:tc>
          <w:tcPr>
            <w:tcW w:w="920" w:type="dxa"/>
            <w:vAlign w:val="bottom"/>
            <w:tcBorders>
              <w:bottom w:val="single" w:sz="8" w:color="7CBD3F"/>
            </w:tcBorders>
          </w:tcPr>
          <w:p>
            <w:pPr>
              <w:spacing w:after="0"/>
              <w:rPr>
                <w:sz w:val="16"/>
                <w:szCs w:val="16"/>
                <w:color w:val="auto"/>
              </w:rPr>
            </w:pPr>
          </w:p>
        </w:tc>
        <w:tc>
          <w:tcPr>
            <w:tcW w:w="280" w:type="dxa"/>
            <w:vAlign w:val="bottom"/>
            <w:tcBorders>
              <w:bottom w:val="single" w:sz="8" w:color="7CBD3F"/>
            </w:tcBorders>
          </w:tcPr>
          <w:p>
            <w:pPr>
              <w:spacing w:after="0"/>
              <w:rPr>
                <w:sz w:val="16"/>
                <w:szCs w:val="16"/>
                <w:color w:val="auto"/>
              </w:rPr>
            </w:pPr>
          </w:p>
        </w:tc>
        <w:tc>
          <w:tcPr>
            <w:tcW w:w="620" w:type="dxa"/>
            <w:vAlign w:val="bottom"/>
            <w:tcBorders>
              <w:bottom w:val="single" w:sz="8" w:color="7CBD3F"/>
            </w:tcBorders>
          </w:tcPr>
          <w:p>
            <w:pPr>
              <w:spacing w:after="0"/>
              <w:rPr>
                <w:sz w:val="16"/>
                <w:szCs w:val="16"/>
                <w:color w:val="auto"/>
              </w:rPr>
            </w:pPr>
          </w:p>
        </w:tc>
        <w:tc>
          <w:tcPr>
            <w:tcW w:w="1040" w:type="dxa"/>
            <w:vAlign w:val="bottom"/>
            <w:tcBorders>
              <w:bottom w:val="single" w:sz="8" w:color="7CBD3F"/>
            </w:tcBorders>
          </w:tcPr>
          <w:p>
            <w:pPr>
              <w:spacing w:after="0"/>
              <w:rPr>
                <w:sz w:val="16"/>
                <w:szCs w:val="16"/>
                <w:color w:val="auto"/>
              </w:rPr>
            </w:pPr>
          </w:p>
        </w:tc>
        <w:tc>
          <w:tcPr>
            <w:tcW w:w="1020" w:type="dxa"/>
            <w:vAlign w:val="bottom"/>
            <w:tcBorders>
              <w:bottom w:val="single" w:sz="8" w:color="7CBD3F"/>
            </w:tcBorders>
          </w:tcPr>
          <w:p>
            <w:pPr>
              <w:spacing w:after="0"/>
              <w:rPr>
                <w:sz w:val="16"/>
                <w:szCs w:val="16"/>
                <w:color w:val="auto"/>
              </w:rPr>
            </w:pPr>
          </w:p>
        </w:tc>
        <w:tc>
          <w:tcPr>
            <w:tcW w:w="260" w:type="dxa"/>
            <w:vAlign w:val="bottom"/>
            <w:tcBorders>
              <w:bottom w:val="single" w:sz="8" w:color="7CBD3F"/>
            </w:tcBorders>
          </w:tcPr>
          <w:p>
            <w:pPr>
              <w:spacing w:after="0"/>
              <w:rPr>
                <w:sz w:val="16"/>
                <w:szCs w:val="16"/>
                <w:color w:val="auto"/>
              </w:rPr>
            </w:pPr>
          </w:p>
        </w:tc>
        <w:tc>
          <w:tcPr>
            <w:tcW w:w="1140" w:type="dxa"/>
            <w:vAlign w:val="bottom"/>
            <w:tcBorders>
              <w:bottom w:val="single" w:sz="8" w:color="7CBD3F"/>
            </w:tcBorders>
          </w:tcPr>
          <w:p>
            <w:pPr>
              <w:spacing w:after="0"/>
              <w:rPr>
                <w:sz w:val="16"/>
                <w:szCs w:val="16"/>
                <w:color w:val="auto"/>
              </w:rPr>
            </w:pPr>
          </w:p>
        </w:tc>
        <w:tc>
          <w:tcPr>
            <w:tcW w:w="440" w:type="dxa"/>
            <w:vAlign w:val="bottom"/>
            <w:tcBorders>
              <w:bottom w:val="single" w:sz="8" w:color="7CBD3F"/>
            </w:tcBorders>
          </w:tcPr>
          <w:p>
            <w:pPr>
              <w:spacing w:after="0"/>
              <w:rPr>
                <w:sz w:val="16"/>
                <w:szCs w:val="16"/>
                <w:color w:val="auto"/>
              </w:rPr>
            </w:pPr>
          </w:p>
        </w:tc>
        <w:tc>
          <w:tcPr>
            <w:tcW w:w="980" w:type="dxa"/>
            <w:vAlign w:val="bottom"/>
            <w:tcBorders>
              <w:bottom w:val="single" w:sz="8" w:color="7CBD3F"/>
            </w:tcBorders>
          </w:tcPr>
          <w:p>
            <w:pPr>
              <w:spacing w:after="0"/>
              <w:rPr>
                <w:sz w:val="16"/>
                <w:szCs w:val="16"/>
                <w:color w:val="auto"/>
              </w:rPr>
            </w:pPr>
          </w:p>
        </w:tc>
        <w:tc>
          <w:tcPr>
            <w:tcW w:w="1060" w:type="dxa"/>
            <w:vAlign w:val="bottom"/>
            <w:tcBorders>
              <w:bottom w:val="single" w:sz="8" w:color="7CBD3F"/>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800" w:type="dxa"/>
            <w:vAlign w:val="bottom"/>
          </w:tcPr>
          <w:p>
            <w:pPr>
              <w:ind w:left="40"/>
              <w:spacing w:after="0" w:line="155" w:lineRule="exact"/>
              <w:rPr>
                <w:sz w:val="20"/>
                <w:szCs w:val="20"/>
                <w:color w:val="auto"/>
              </w:rPr>
            </w:pPr>
            <w:r>
              <w:rPr>
                <w:rFonts w:ascii="Arial" w:cs="Arial" w:eastAsia="Arial" w:hAnsi="Arial"/>
                <w:sz w:val="14"/>
                <w:szCs w:val="14"/>
                <w:b w:val="1"/>
                <w:bCs w:val="1"/>
                <w:color w:val="auto"/>
              </w:rPr>
              <w:t>John R. Pinion II</w:t>
            </w:r>
          </w:p>
        </w:tc>
        <w:tc>
          <w:tcPr>
            <w:tcW w:w="700" w:type="dxa"/>
            <w:vAlign w:val="bottom"/>
            <w:tcBorders>
              <w:bottom w:val="single" w:sz="8" w:color="F0F7E7"/>
            </w:tcBorders>
            <w:shd w:val="clear" w:color="auto" w:fill="F0F7E7"/>
          </w:tcPr>
          <w:p>
            <w:pPr>
              <w:jc w:val="right"/>
              <w:ind w:right="70"/>
              <w:spacing w:after="0" w:line="155" w:lineRule="exact"/>
              <w:rPr>
                <w:sz w:val="20"/>
                <w:szCs w:val="20"/>
                <w:color w:val="auto"/>
              </w:rPr>
            </w:pPr>
            <w:r>
              <w:rPr>
                <w:rFonts w:ascii="Arial" w:cs="Arial" w:eastAsia="Arial" w:hAnsi="Arial"/>
                <w:sz w:val="14"/>
                <w:szCs w:val="14"/>
                <w:color w:val="auto"/>
              </w:rPr>
              <w:t>2024</w:t>
            </w:r>
          </w:p>
        </w:tc>
        <w:tc>
          <w:tcPr>
            <w:tcW w:w="920" w:type="dxa"/>
            <w:vAlign w:val="bottom"/>
            <w:tcBorders>
              <w:bottom w:val="single" w:sz="8" w:color="F0F7E7"/>
            </w:tcBorders>
            <w:shd w:val="clear" w:color="auto" w:fill="F0F7E7"/>
          </w:tcPr>
          <w:p>
            <w:pPr>
              <w:jc w:val="right"/>
              <w:ind w:right="70"/>
              <w:spacing w:after="0" w:line="155" w:lineRule="exact"/>
              <w:rPr>
                <w:sz w:val="20"/>
                <w:szCs w:val="20"/>
                <w:color w:val="auto"/>
              </w:rPr>
            </w:pPr>
            <w:r>
              <w:rPr>
                <w:rFonts w:ascii="Arial" w:cs="Arial" w:eastAsia="Arial" w:hAnsi="Arial"/>
                <w:sz w:val="14"/>
                <w:szCs w:val="14"/>
                <w:color w:val="auto"/>
              </w:rPr>
              <w:t>570,366</w:t>
            </w:r>
          </w:p>
        </w:tc>
        <w:tc>
          <w:tcPr>
            <w:tcW w:w="280" w:type="dxa"/>
            <w:vAlign w:val="bottom"/>
            <w:tcBorders>
              <w:bottom w:val="single" w:sz="8" w:color="F0F7E7"/>
            </w:tcBorders>
            <w:shd w:val="clear" w:color="auto" w:fill="F0F7E7"/>
          </w:tcPr>
          <w:p>
            <w:pPr>
              <w:spacing w:after="0"/>
              <w:rPr>
                <w:sz w:val="16"/>
                <w:szCs w:val="16"/>
                <w:color w:val="auto"/>
              </w:rPr>
            </w:pPr>
          </w:p>
        </w:tc>
        <w:tc>
          <w:tcPr>
            <w:tcW w:w="620" w:type="dxa"/>
            <w:vAlign w:val="bottom"/>
            <w:tcBorders>
              <w:bottom w:val="single" w:sz="8" w:color="F0F7E7"/>
            </w:tcBorders>
            <w:shd w:val="clear" w:color="auto" w:fill="F0F7E7"/>
          </w:tcPr>
          <w:p>
            <w:pPr>
              <w:jc w:val="right"/>
              <w:ind w:right="70"/>
              <w:spacing w:after="0" w:line="155" w:lineRule="exact"/>
              <w:rPr>
                <w:sz w:val="20"/>
                <w:szCs w:val="20"/>
                <w:color w:val="auto"/>
              </w:rPr>
            </w:pPr>
            <w:r>
              <w:rPr>
                <w:rFonts w:ascii="Arial" w:cs="Arial" w:eastAsia="Arial" w:hAnsi="Arial"/>
                <w:sz w:val="14"/>
                <w:szCs w:val="14"/>
                <w:color w:val="auto"/>
              </w:rPr>
              <w:t>—</w:t>
            </w:r>
          </w:p>
        </w:tc>
        <w:tc>
          <w:tcPr>
            <w:tcW w:w="1040" w:type="dxa"/>
            <w:vAlign w:val="bottom"/>
            <w:tcBorders>
              <w:bottom w:val="single" w:sz="8" w:color="F0F7E7"/>
            </w:tcBorders>
            <w:shd w:val="clear" w:color="auto" w:fill="F0F7E7"/>
          </w:tcPr>
          <w:p>
            <w:pPr>
              <w:jc w:val="right"/>
              <w:ind w:right="90"/>
              <w:spacing w:after="0" w:line="155" w:lineRule="exact"/>
              <w:rPr>
                <w:sz w:val="20"/>
                <w:szCs w:val="20"/>
                <w:color w:val="auto"/>
              </w:rPr>
            </w:pPr>
            <w:r>
              <w:rPr>
                <w:rFonts w:ascii="Arial" w:cs="Arial" w:eastAsia="Arial" w:hAnsi="Arial"/>
                <w:sz w:val="14"/>
                <w:szCs w:val="14"/>
                <w:color w:val="auto"/>
              </w:rPr>
              <w:t>2,084,548</w:t>
            </w:r>
          </w:p>
        </w:tc>
        <w:tc>
          <w:tcPr>
            <w:tcW w:w="1020" w:type="dxa"/>
            <w:vAlign w:val="bottom"/>
            <w:tcBorders>
              <w:bottom w:val="single" w:sz="8" w:color="F0F7E7"/>
            </w:tcBorders>
            <w:shd w:val="clear" w:color="auto" w:fill="F0F7E7"/>
          </w:tcPr>
          <w:p>
            <w:pPr>
              <w:jc w:val="right"/>
              <w:ind w:right="70"/>
              <w:spacing w:after="0" w:line="155" w:lineRule="exact"/>
              <w:rPr>
                <w:sz w:val="20"/>
                <w:szCs w:val="20"/>
                <w:color w:val="auto"/>
              </w:rPr>
            </w:pPr>
            <w:r>
              <w:rPr>
                <w:rFonts w:ascii="Arial" w:cs="Arial" w:eastAsia="Arial" w:hAnsi="Arial"/>
                <w:sz w:val="14"/>
                <w:szCs w:val="14"/>
                <w:color w:val="auto"/>
              </w:rPr>
              <w:t>1,121,271</w:t>
            </w:r>
          </w:p>
        </w:tc>
        <w:tc>
          <w:tcPr>
            <w:tcW w:w="260" w:type="dxa"/>
            <w:vAlign w:val="bottom"/>
            <w:tcBorders>
              <w:bottom w:val="single" w:sz="8" w:color="F0F7E7"/>
            </w:tcBorders>
            <w:shd w:val="clear" w:color="auto" w:fill="F0F7E7"/>
          </w:tcPr>
          <w:p>
            <w:pPr>
              <w:spacing w:after="0"/>
              <w:rPr>
                <w:sz w:val="16"/>
                <w:szCs w:val="16"/>
                <w:color w:val="auto"/>
              </w:rPr>
            </w:pPr>
          </w:p>
        </w:tc>
        <w:tc>
          <w:tcPr>
            <w:tcW w:w="1140" w:type="dxa"/>
            <w:vAlign w:val="bottom"/>
            <w:tcBorders>
              <w:bottom w:val="single" w:sz="8" w:color="F0F7E7"/>
            </w:tcBorders>
            <w:shd w:val="clear" w:color="auto" w:fill="F0F7E7"/>
          </w:tcPr>
          <w:p>
            <w:pPr>
              <w:jc w:val="right"/>
              <w:ind w:right="70"/>
              <w:spacing w:after="0" w:line="155" w:lineRule="exact"/>
              <w:rPr>
                <w:sz w:val="20"/>
                <w:szCs w:val="20"/>
                <w:color w:val="auto"/>
              </w:rPr>
            </w:pPr>
            <w:r>
              <w:rPr>
                <w:rFonts w:ascii="Arial" w:cs="Arial" w:eastAsia="Arial" w:hAnsi="Arial"/>
                <w:sz w:val="14"/>
                <w:szCs w:val="14"/>
                <w:color w:val="auto"/>
              </w:rPr>
              <w:t>339,768</w:t>
            </w:r>
          </w:p>
        </w:tc>
        <w:tc>
          <w:tcPr>
            <w:tcW w:w="440" w:type="dxa"/>
            <w:vAlign w:val="bottom"/>
            <w:tcBorders>
              <w:bottom w:val="single" w:sz="8" w:color="F0F7E7"/>
            </w:tcBorders>
            <w:shd w:val="clear" w:color="auto" w:fill="F0F7E7"/>
          </w:tcPr>
          <w:p>
            <w:pPr>
              <w:spacing w:after="0"/>
              <w:rPr>
                <w:sz w:val="16"/>
                <w:szCs w:val="16"/>
                <w:color w:val="auto"/>
              </w:rPr>
            </w:pPr>
          </w:p>
        </w:tc>
        <w:tc>
          <w:tcPr>
            <w:tcW w:w="980" w:type="dxa"/>
            <w:vAlign w:val="bottom"/>
            <w:tcBorders>
              <w:bottom w:val="single" w:sz="8" w:color="F0F7E7"/>
            </w:tcBorders>
            <w:shd w:val="clear" w:color="auto" w:fill="F0F7E7"/>
          </w:tcPr>
          <w:p>
            <w:pPr>
              <w:jc w:val="right"/>
              <w:ind w:right="70"/>
              <w:spacing w:after="0" w:line="155" w:lineRule="exact"/>
              <w:rPr>
                <w:sz w:val="20"/>
                <w:szCs w:val="20"/>
                <w:color w:val="auto"/>
              </w:rPr>
            </w:pPr>
            <w:r>
              <w:rPr>
                <w:rFonts w:ascii="Arial" w:cs="Arial" w:eastAsia="Arial" w:hAnsi="Arial"/>
                <w:sz w:val="14"/>
                <w:szCs w:val="14"/>
                <w:color w:val="auto"/>
              </w:rPr>
              <w:t>13,800</w:t>
            </w:r>
          </w:p>
        </w:tc>
        <w:tc>
          <w:tcPr>
            <w:tcW w:w="1060" w:type="dxa"/>
            <w:vAlign w:val="bottom"/>
            <w:tcBorders>
              <w:bottom w:val="single" w:sz="8" w:color="F0F7E7"/>
            </w:tcBorders>
            <w:shd w:val="clear" w:color="auto" w:fill="F0F7E7"/>
          </w:tcPr>
          <w:p>
            <w:pPr>
              <w:jc w:val="right"/>
              <w:ind w:right="30"/>
              <w:spacing w:after="0" w:line="155" w:lineRule="exact"/>
              <w:rPr>
                <w:sz w:val="20"/>
                <w:szCs w:val="20"/>
                <w:color w:val="auto"/>
              </w:rPr>
            </w:pPr>
            <w:r>
              <w:rPr>
                <w:rFonts w:ascii="Arial" w:cs="Arial" w:eastAsia="Arial" w:hAnsi="Arial"/>
                <w:sz w:val="14"/>
                <w:szCs w:val="14"/>
                <w:color w:val="auto"/>
              </w:rPr>
              <w:t>4,129,753</w:t>
            </w:r>
          </w:p>
        </w:tc>
        <w:tc>
          <w:tcPr>
            <w:tcW w:w="0" w:type="dxa"/>
            <w:vAlign w:val="bottom"/>
          </w:tcPr>
          <w:p>
            <w:pPr>
              <w:spacing w:after="0"/>
              <w:rPr>
                <w:sz w:val="1"/>
                <w:szCs w:val="1"/>
                <w:color w:val="auto"/>
              </w:rPr>
            </w:pPr>
          </w:p>
        </w:tc>
      </w:tr>
      <w:tr>
        <w:trPr>
          <w:trHeight w:val="104"/>
        </w:trPr>
        <w:tc>
          <w:tcPr>
            <w:tcW w:w="2800" w:type="dxa"/>
            <w:vAlign w:val="bottom"/>
          </w:tcPr>
          <w:p>
            <w:pPr>
              <w:ind w:left="200"/>
              <w:spacing w:after="0" w:line="105" w:lineRule="exact"/>
              <w:rPr>
                <w:sz w:val="20"/>
                <w:szCs w:val="20"/>
                <w:color w:val="auto"/>
              </w:rPr>
            </w:pPr>
            <w:r>
              <w:rPr>
                <w:rFonts w:ascii="Arial" w:cs="Arial" w:eastAsia="Arial" w:hAnsi="Arial"/>
                <w:sz w:val="12"/>
                <w:szCs w:val="12"/>
                <w:color w:val="auto"/>
              </w:rPr>
              <w:t>Chief Quality Officer and</w:t>
            </w:r>
          </w:p>
        </w:tc>
        <w:tc>
          <w:tcPr>
            <w:tcW w:w="700" w:type="dxa"/>
            <w:vAlign w:val="bottom"/>
            <w:vMerge w:val="restart"/>
          </w:tcPr>
          <w:p>
            <w:pPr>
              <w:jc w:val="right"/>
              <w:ind w:right="70"/>
              <w:spacing w:after="0"/>
              <w:rPr>
                <w:sz w:val="20"/>
                <w:szCs w:val="20"/>
                <w:color w:val="auto"/>
              </w:rPr>
            </w:pPr>
            <w:r>
              <w:rPr>
                <w:rFonts w:ascii="Arial" w:cs="Arial" w:eastAsia="Arial" w:hAnsi="Arial"/>
                <w:sz w:val="14"/>
                <w:szCs w:val="14"/>
                <w:color w:val="auto"/>
              </w:rPr>
              <w:t>2023</w:t>
            </w:r>
          </w:p>
        </w:tc>
        <w:tc>
          <w:tcPr>
            <w:tcW w:w="920" w:type="dxa"/>
            <w:vAlign w:val="bottom"/>
            <w:vMerge w:val="restart"/>
          </w:tcPr>
          <w:p>
            <w:pPr>
              <w:jc w:val="right"/>
              <w:ind w:right="70"/>
              <w:spacing w:after="0"/>
              <w:rPr>
                <w:sz w:val="20"/>
                <w:szCs w:val="20"/>
                <w:color w:val="auto"/>
              </w:rPr>
            </w:pPr>
            <w:r>
              <w:rPr>
                <w:rFonts w:ascii="Arial" w:cs="Arial" w:eastAsia="Arial" w:hAnsi="Arial"/>
                <w:sz w:val="14"/>
                <w:szCs w:val="14"/>
                <w:color w:val="auto"/>
              </w:rPr>
              <w:t>552,092</w:t>
            </w:r>
          </w:p>
        </w:tc>
        <w:tc>
          <w:tcPr>
            <w:tcW w:w="280" w:type="dxa"/>
            <w:vAlign w:val="bottom"/>
          </w:tcPr>
          <w:p>
            <w:pPr>
              <w:spacing w:after="0"/>
              <w:rPr>
                <w:sz w:val="9"/>
                <w:szCs w:val="9"/>
                <w:color w:val="auto"/>
              </w:rPr>
            </w:pPr>
          </w:p>
        </w:tc>
        <w:tc>
          <w:tcPr>
            <w:tcW w:w="620" w:type="dxa"/>
            <w:vAlign w:val="bottom"/>
            <w:vMerge w:val="restart"/>
          </w:tcPr>
          <w:p>
            <w:pPr>
              <w:jc w:val="right"/>
              <w:ind w:right="70"/>
              <w:spacing w:after="0"/>
              <w:rPr>
                <w:sz w:val="20"/>
                <w:szCs w:val="20"/>
                <w:color w:val="auto"/>
              </w:rPr>
            </w:pPr>
            <w:r>
              <w:rPr>
                <w:rFonts w:ascii="Arial" w:cs="Arial" w:eastAsia="Arial" w:hAnsi="Arial"/>
                <w:sz w:val="14"/>
                <w:szCs w:val="14"/>
                <w:color w:val="auto"/>
              </w:rPr>
              <w:t>—</w:t>
            </w:r>
          </w:p>
        </w:tc>
        <w:tc>
          <w:tcPr>
            <w:tcW w:w="1040" w:type="dxa"/>
            <w:vAlign w:val="bottom"/>
            <w:vMerge w:val="restart"/>
          </w:tcPr>
          <w:p>
            <w:pPr>
              <w:jc w:val="right"/>
              <w:ind w:right="90"/>
              <w:spacing w:after="0"/>
              <w:rPr>
                <w:sz w:val="20"/>
                <w:szCs w:val="20"/>
                <w:color w:val="auto"/>
              </w:rPr>
            </w:pPr>
            <w:r>
              <w:rPr>
                <w:rFonts w:ascii="Arial" w:cs="Arial" w:eastAsia="Arial" w:hAnsi="Arial"/>
                <w:sz w:val="14"/>
                <w:szCs w:val="14"/>
                <w:color w:val="auto"/>
              </w:rPr>
              <w:t>2,169,750</w:t>
            </w:r>
          </w:p>
        </w:tc>
        <w:tc>
          <w:tcPr>
            <w:tcW w:w="1020" w:type="dxa"/>
            <w:vAlign w:val="bottom"/>
            <w:vMerge w:val="restart"/>
          </w:tcPr>
          <w:p>
            <w:pPr>
              <w:jc w:val="right"/>
              <w:ind w:right="70"/>
              <w:spacing w:after="0"/>
              <w:rPr>
                <w:sz w:val="20"/>
                <w:szCs w:val="20"/>
                <w:color w:val="auto"/>
              </w:rPr>
            </w:pPr>
            <w:r>
              <w:rPr>
                <w:rFonts w:ascii="Arial" w:cs="Arial" w:eastAsia="Arial" w:hAnsi="Arial"/>
                <w:sz w:val="14"/>
                <w:szCs w:val="14"/>
                <w:color w:val="auto"/>
              </w:rPr>
              <w:t>1,020,050</w:t>
            </w:r>
          </w:p>
        </w:tc>
        <w:tc>
          <w:tcPr>
            <w:tcW w:w="260" w:type="dxa"/>
            <w:vAlign w:val="bottom"/>
          </w:tcPr>
          <w:p>
            <w:pPr>
              <w:spacing w:after="0"/>
              <w:rPr>
                <w:sz w:val="9"/>
                <w:szCs w:val="9"/>
                <w:color w:val="auto"/>
              </w:rPr>
            </w:pPr>
          </w:p>
        </w:tc>
        <w:tc>
          <w:tcPr>
            <w:tcW w:w="1140" w:type="dxa"/>
            <w:vAlign w:val="bottom"/>
            <w:vMerge w:val="restart"/>
          </w:tcPr>
          <w:p>
            <w:pPr>
              <w:jc w:val="right"/>
              <w:ind w:right="70"/>
              <w:spacing w:after="0"/>
              <w:rPr>
                <w:sz w:val="20"/>
                <w:szCs w:val="20"/>
                <w:color w:val="auto"/>
              </w:rPr>
            </w:pPr>
            <w:r>
              <w:rPr>
                <w:rFonts w:ascii="Arial" w:cs="Arial" w:eastAsia="Arial" w:hAnsi="Arial"/>
                <w:sz w:val="14"/>
                <w:szCs w:val="14"/>
                <w:color w:val="auto"/>
              </w:rPr>
              <w:t>294,761</w:t>
            </w:r>
          </w:p>
        </w:tc>
        <w:tc>
          <w:tcPr>
            <w:tcW w:w="440" w:type="dxa"/>
            <w:vAlign w:val="bottom"/>
          </w:tcPr>
          <w:p>
            <w:pPr>
              <w:spacing w:after="0"/>
              <w:rPr>
                <w:sz w:val="9"/>
                <w:szCs w:val="9"/>
                <w:color w:val="auto"/>
              </w:rPr>
            </w:pPr>
          </w:p>
        </w:tc>
        <w:tc>
          <w:tcPr>
            <w:tcW w:w="980" w:type="dxa"/>
            <w:vAlign w:val="bottom"/>
            <w:vMerge w:val="restart"/>
          </w:tcPr>
          <w:p>
            <w:pPr>
              <w:jc w:val="right"/>
              <w:ind w:right="70"/>
              <w:spacing w:after="0"/>
              <w:rPr>
                <w:sz w:val="20"/>
                <w:szCs w:val="20"/>
                <w:color w:val="auto"/>
              </w:rPr>
            </w:pPr>
            <w:r>
              <w:rPr>
                <w:rFonts w:ascii="Arial" w:cs="Arial" w:eastAsia="Arial" w:hAnsi="Arial"/>
                <w:sz w:val="14"/>
                <w:szCs w:val="14"/>
                <w:color w:val="auto"/>
              </w:rPr>
              <w:t>13,200</w:t>
            </w:r>
          </w:p>
        </w:tc>
        <w:tc>
          <w:tcPr>
            <w:tcW w:w="1060" w:type="dxa"/>
            <w:vAlign w:val="bottom"/>
            <w:vMerge w:val="restart"/>
          </w:tcPr>
          <w:p>
            <w:pPr>
              <w:jc w:val="right"/>
              <w:ind w:right="30"/>
              <w:spacing w:after="0"/>
              <w:rPr>
                <w:sz w:val="20"/>
                <w:szCs w:val="20"/>
                <w:color w:val="auto"/>
              </w:rPr>
            </w:pPr>
            <w:r>
              <w:rPr>
                <w:rFonts w:ascii="Arial" w:cs="Arial" w:eastAsia="Arial" w:hAnsi="Arial"/>
                <w:sz w:val="14"/>
                <w:szCs w:val="14"/>
                <w:color w:val="auto"/>
              </w:rPr>
              <w:t>4,049,853</w:t>
            </w:r>
          </w:p>
        </w:tc>
        <w:tc>
          <w:tcPr>
            <w:tcW w:w="0" w:type="dxa"/>
            <w:vAlign w:val="bottom"/>
          </w:tcPr>
          <w:p>
            <w:pPr>
              <w:spacing w:after="0"/>
              <w:rPr>
                <w:sz w:val="1"/>
                <w:szCs w:val="1"/>
                <w:color w:val="auto"/>
              </w:rPr>
            </w:pPr>
          </w:p>
        </w:tc>
      </w:tr>
      <w:tr>
        <w:trPr>
          <w:trHeight w:val="80"/>
        </w:trPr>
        <w:tc>
          <w:tcPr>
            <w:tcW w:w="2800" w:type="dxa"/>
            <w:vAlign w:val="bottom"/>
            <w:vMerge w:val="restart"/>
          </w:tcPr>
          <w:p>
            <w:pPr>
              <w:ind w:left="200"/>
              <w:spacing w:after="0" w:line="143" w:lineRule="exact"/>
              <w:rPr>
                <w:sz w:val="20"/>
                <w:szCs w:val="20"/>
                <w:color w:val="auto"/>
              </w:rPr>
            </w:pPr>
            <w:r>
              <w:rPr>
                <w:rFonts w:ascii="Arial" w:cs="Arial" w:eastAsia="Arial" w:hAnsi="Arial"/>
                <w:sz w:val="14"/>
                <w:szCs w:val="14"/>
                <w:color w:val="auto"/>
              </w:rPr>
              <w:t>Executive Vice President, Translational</w:t>
            </w:r>
          </w:p>
        </w:tc>
        <w:tc>
          <w:tcPr>
            <w:tcW w:w="70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2800" w:type="dxa"/>
            <w:vAlign w:val="bottom"/>
            <w:vMerge w:val="continue"/>
          </w:tcPr>
          <w:p>
            <w:pPr>
              <w:spacing w:after="0"/>
              <w:rPr>
                <w:sz w:val="5"/>
                <w:szCs w:val="5"/>
                <w:color w:val="auto"/>
              </w:rPr>
            </w:pPr>
          </w:p>
        </w:tc>
        <w:tc>
          <w:tcPr>
            <w:tcW w:w="700" w:type="dxa"/>
            <w:vAlign w:val="bottom"/>
            <w:tcBorders>
              <w:bottom w:val="single" w:sz="8" w:color="F0F7E7"/>
            </w:tcBorders>
          </w:tcPr>
          <w:p>
            <w:pPr>
              <w:spacing w:after="0"/>
              <w:rPr>
                <w:sz w:val="5"/>
                <w:szCs w:val="5"/>
                <w:color w:val="auto"/>
              </w:rPr>
            </w:pPr>
          </w:p>
        </w:tc>
        <w:tc>
          <w:tcPr>
            <w:tcW w:w="920" w:type="dxa"/>
            <w:vAlign w:val="bottom"/>
            <w:tcBorders>
              <w:bottom w:val="single" w:sz="8" w:color="F0F7E7"/>
            </w:tcBorders>
          </w:tcPr>
          <w:p>
            <w:pPr>
              <w:spacing w:after="0"/>
              <w:rPr>
                <w:sz w:val="5"/>
                <w:szCs w:val="5"/>
                <w:color w:val="auto"/>
              </w:rPr>
            </w:pPr>
          </w:p>
        </w:tc>
        <w:tc>
          <w:tcPr>
            <w:tcW w:w="280" w:type="dxa"/>
            <w:vAlign w:val="bottom"/>
            <w:tcBorders>
              <w:bottom w:val="single" w:sz="8" w:color="F0F7E7"/>
            </w:tcBorders>
          </w:tcPr>
          <w:p>
            <w:pPr>
              <w:spacing w:after="0"/>
              <w:rPr>
                <w:sz w:val="5"/>
                <w:szCs w:val="5"/>
                <w:color w:val="auto"/>
              </w:rPr>
            </w:pPr>
          </w:p>
        </w:tc>
        <w:tc>
          <w:tcPr>
            <w:tcW w:w="620" w:type="dxa"/>
            <w:vAlign w:val="bottom"/>
            <w:tcBorders>
              <w:bottom w:val="single" w:sz="8" w:color="F0F7E7"/>
            </w:tcBorders>
          </w:tcPr>
          <w:p>
            <w:pPr>
              <w:spacing w:after="0"/>
              <w:rPr>
                <w:sz w:val="5"/>
                <w:szCs w:val="5"/>
                <w:color w:val="auto"/>
              </w:rPr>
            </w:pPr>
          </w:p>
        </w:tc>
        <w:tc>
          <w:tcPr>
            <w:tcW w:w="1040" w:type="dxa"/>
            <w:vAlign w:val="bottom"/>
            <w:tcBorders>
              <w:bottom w:val="single" w:sz="8" w:color="F0F7E7"/>
            </w:tcBorders>
          </w:tcPr>
          <w:p>
            <w:pPr>
              <w:spacing w:after="0"/>
              <w:rPr>
                <w:sz w:val="5"/>
                <w:szCs w:val="5"/>
                <w:color w:val="auto"/>
              </w:rPr>
            </w:pPr>
          </w:p>
        </w:tc>
        <w:tc>
          <w:tcPr>
            <w:tcW w:w="1020" w:type="dxa"/>
            <w:vAlign w:val="bottom"/>
            <w:tcBorders>
              <w:bottom w:val="single" w:sz="8" w:color="F0F7E7"/>
            </w:tcBorders>
          </w:tcPr>
          <w:p>
            <w:pPr>
              <w:spacing w:after="0"/>
              <w:rPr>
                <w:sz w:val="5"/>
                <w:szCs w:val="5"/>
                <w:color w:val="auto"/>
              </w:rPr>
            </w:pPr>
          </w:p>
        </w:tc>
        <w:tc>
          <w:tcPr>
            <w:tcW w:w="260" w:type="dxa"/>
            <w:vAlign w:val="bottom"/>
            <w:tcBorders>
              <w:bottom w:val="single" w:sz="8" w:color="F0F7E7"/>
            </w:tcBorders>
          </w:tcPr>
          <w:p>
            <w:pPr>
              <w:spacing w:after="0"/>
              <w:rPr>
                <w:sz w:val="5"/>
                <w:szCs w:val="5"/>
                <w:color w:val="auto"/>
              </w:rPr>
            </w:pPr>
          </w:p>
        </w:tc>
        <w:tc>
          <w:tcPr>
            <w:tcW w:w="1140" w:type="dxa"/>
            <w:vAlign w:val="bottom"/>
            <w:tcBorders>
              <w:bottom w:val="single" w:sz="8" w:color="F0F7E7"/>
            </w:tcBorders>
          </w:tcPr>
          <w:p>
            <w:pPr>
              <w:spacing w:after="0"/>
              <w:rPr>
                <w:sz w:val="5"/>
                <w:szCs w:val="5"/>
                <w:color w:val="auto"/>
              </w:rPr>
            </w:pPr>
          </w:p>
        </w:tc>
        <w:tc>
          <w:tcPr>
            <w:tcW w:w="440" w:type="dxa"/>
            <w:vAlign w:val="bottom"/>
            <w:tcBorders>
              <w:bottom w:val="single" w:sz="8" w:color="F0F7E7"/>
            </w:tcBorders>
          </w:tcPr>
          <w:p>
            <w:pPr>
              <w:spacing w:after="0"/>
              <w:rPr>
                <w:sz w:val="5"/>
                <w:szCs w:val="5"/>
                <w:color w:val="auto"/>
              </w:rPr>
            </w:pPr>
          </w:p>
        </w:tc>
        <w:tc>
          <w:tcPr>
            <w:tcW w:w="980" w:type="dxa"/>
            <w:vAlign w:val="bottom"/>
            <w:tcBorders>
              <w:bottom w:val="single" w:sz="8" w:color="F0F7E7"/>
            </w:tcBorders>
          </w:tcPr>
          <w:p>
            <w:pPr>
              <w:spacing w:after="0"/>
              <w:rPr>
                <w:sz w:val="5"/>
                <w:szCs w:val="5"/>
                <w:color w:val="auto"/>
              </w:rPr>
            </w:pPr>
          </w:p>
        </w:tc>
        <w:tc>
          <w:tcPr>
            <w:tcW w:w="1060" w:type="dxa"/>
            <w:vAlign w:val="bottom"/>
            <w:tcBorders>
              <w:bottom w:val="single" w:sz="8" w:color="F0F7E7"/>
            </w:tcBorders>
          </w:tcPr>
          <w:p>
            <w:pPr>
              <w:spacing w:after="0"/>
              <w:rPr>
                <w:sz w:val="5"/>
                <w:szCs w:val="5"/>
                <w:color w:val="auto"/>
              </w:rPr>
            </w:pPr>
          </w:p>
        </w:tc>
        <w:tc>
          <w:tcPr>
            <w:tcW w:w="0" w:type="dxa"/>
            <w:vAlign w:val="bottom"/>
          </w:tcPr>
          <w:p>
            <w:pPr>
              <w:spacing w:after="0"/>
              <w:rPr>
                <w:sz w:val="1"/>
                <w:szCs w:val="1"/>
                <w:color w:val="auto"/>
              </w:rPr>
            </w:pPr>
          </w:p>
        </w:tc>
      </w:tr>
      <w:tr>
        <w:trPr>
          <w:trHeight w:val="166"/>
        </w:trPr>
        <w:tc>
          <w:tcPr>
            <w:tcW w:w="2800" w:type="dxa"/>
            <w:vAlign w:val="bottom"/>
          </w:tcPr>
          <w:p>
            <w:pPr>
              <w:ind w:left="200"/>
              <w:spacing w:after="0"/>
              <w:rPr>
                <w:sz w:val="20"/>
                <w:szCs w:val="20"/>
                <w:color w:val="auto"/>
              </w:rPr>
            </w:pPr>
            <w:r>
              <w:rPr>
                <w:rFonts w:ascii="Arial" w:cs="Arial" w:eastAsia="Arial" w:hAnsi="Arial"/>
                <w:sz w:val="14"/>
                <w:szCs w:val="14"/>
                <w:color w:val="auto"/>
              </w:rPr>
              <w:t>Sciences</w:t>
            </w:r>
          </w:p>
        </w:tc>
        <w:tc>
          <w:tcPr>
            <w:tcW w:w="700" w:type="dxa"/>
            <w:vAlign w:val="bottom"/>
            <w:tcBorders>
              <w:bottom w:val="single" w:sz="8" w:color="F0F7E7"/>
            </w:tcBorders>
            <w:shd w:val="clear" w:color="auto" w:fill="F0F7E7"/>
          </w:tcPr>
          <w:p>
            <w:pPr>
              <w:jc w:val="right"/>
              <w:ind w:right="70"/>
              <w:spacing w:after="0" w:line="139" w:lineRule="exact"/>
              <w:rPr>
                <w:sz w:val="20"/>
                <w:szCs w:val="20"/>
                <w:color w:val="auto"/>
              </w:rPr>
            </w:pPr>
            <w:r>
              <w:rPr>
                <w:rFonts w:ascii="Arial" w:cs="Arial" w:eastAsia="Arial" w:hAnsi="Arial"/>
                <w:sz w:val="14"/>
                <w:szCs w:val="14"/>
                <w:color w:val="auto"/>
              </w:rPr>
              <w:t>2022</w:t>
            </w:r>
          </w:p>
        </w:tc>
        <w:tc>
          <w:tcPr>
            <w:tcW w:w="920" w:type="dxa"/>
            <w:vAlign w:val="bottom"/>
            <w:tcBorders>
              <w:bottom w:val="single" w:sz="8" w:color="F0F7E7"/>
            </w:tcBorders>
            <w:shd w:val="clear" w:color="auto" w:fill="F0F7E7"/>
          </w:tcPr>
          <w:p>
            <w:pPr>
              <w:jc w:val="right"/>
              <w:ind w:right="70"/>
              <w:spacing w:after="0" w:line="139" w:lineRule="exact"/>
              <w:rPr>
                <w:sz w:val="20"/>
                <w:szCs w:val="20"/>
                <w:color w:val="auto"/>
              </w:rPr>
            </w:pPr>
            <w:r>
              <w:rPr>
                <w:rFonts w:ascii="Arial" w:cs="Arial" w:eastAsia="Arial" w:hAnsi="Arial"/>
                <w:sz w:val="14"/>
                <w:szCs w:val="14"/>
                <w:color w:val="auto"/>
              </w:rPr>
              <w:t>533,315</w:t>
            </w:r>
          </w:p>
        </w:tc>
        <w:tc>
          <w:tcPr>
            <w:tcW w:w="280" w:type="dxa"/>
            <w:vAlign w:val="bottom"/>
            <w:tcBorders>
              <w:bottom w:val="single" w:sz="8" w:color="F0F7E7"/>
            </w:tcBorders>
            <w:shd w:val="clear" w:color="auto" w:fill="F0F7E7"/>
          </w:tcPr>
          <w:p>
            <w:pPr>
              <w:spacing w:after="0"/>
              <w:rPr>
                <w:sz w:val="14"/>
                <w:szCs w:val="14"/>
                <w:color w:val="auto"/>
              </w:rPr>
            </w:pPr>
          </w:p>
        </w:tc>
        <w:tc>
          <w:tcPr>
            <w:tcW w:w="620" w:type="dxa"/>
            <w:vAlign w:val="bottom"/>
            <w:tcBorders>
              <w:bottom w:val="single" w:sz="8" w:color="F0F7E7"/>
            </w:tcBorders>
            <w:shd w:val="clear" w:color="auto" w:fill="F0F7E7"/>
          </w:tcPr>
          <w:p>
            <w:pPr>
              <w:jc w:val="right"/>
              <w:ind w:right="70"/>
              <w:spacing w:after="0" w:line="139" w:lineRule="exact"/>
              <w:rPr>
                <w:sz w:val="20"/>
                <w:szCs w:val="20"/>
                <w:color w:val="auto"/>
              </w:rPr>
            </w:pPr>
            <w:r>
              <w:rPr>
                <w:rFonts w:ascii="Arial" w:cs="Arial" w:eastAsia="Arial" w:hAnsi="Arial"/>
                <w:sz w:val="14"/>
                <w:szCs w:val="14"/>
                <w:color w:val="auto"/>
              </w:rPr>
              <w:t>—</w:t>
            </w:r>
          </w:p>
        </w:tc>
        <w:tc>
          <w:tcPr>
            <w:tcW w:w="1040" w:type="dxa"/>
            <w:vAlign w:val="bottom"/>
            <w:tcBorders>
              <w:bottom w:val="single" w:sz="8" w:color="F0F7E7"/>
            </w:tcBorders>
            <w:shd w:val="clear" w:color="auto" w:fill="F0F7E7"/>
          </w:tcPr>
          <w:p>
            <w:pPr>
              <w:jc w:val="right"/>
              <w:ind w:right="90"/>
              <w:spacing w:after="0" w:line="139" w:lineRule="exact"/>
              <w:rPr>
                <w:sz w:val="20"/>
                <w:szCs w:val="20"/>
                <w:color w:val="auto"/>
              </w:rPr>
            </w:pPr>
            <w:r>
              <w:rPr>
                <w:rFonts w:ascii="Arial" w:cs="Arial" w:eastAsia="Arial" w:hAnsi="Arial"/>
                <w:sz w:val="14"/>
                <w:szCs w:val="14"/>
                <w:color w:val="auto"/>
              </w:rPr>
              <w:t>2,007,768</w:t>
            </w:r>
          </w:p>
        </w:tc>
        <w:tc>
          <w:tcPr>
            <w:tcW w:w="1020" w:type="dxa"/>
            <w:vAlign w:val="bottom"/>
            <w:tcBorders>
              <w:bottom w:val="single" w:sz="8" w:color="F0F7E7"/>
            </w:tcBorders>
            <w:shd w:val="clear" w:color="auto" w:fill="F0F7E7"/>
          </w:tcPr>
          <w:p>
            <w:pPr>
              <w:jc w:val="right"/>
              <w:ind w:right="70"/>
              <w:spacing w:after="0" w:line="139" w:lineRule="exact"/>
              <w:rPr>
                <w:sz w:val="20"/>
                <w:szCs w:val="20"/>
                <w:color w:val="auto"/>
              </w:rPr>
            </w:pPr>
            <w:r>
              <w:rPr>
                <w:rFonts w:ascii="Arial" w:cs="Arial" w:eastAsia="Arial" w:hAnsi="Arial"/>
                <w:sz w:val="14"/>
                <w:szCs w:val="14"/>
                <w:color w:val="auto"/>
              </w:rPr>
              <w:t>892,550</w:t>
            </w:r>
          </w:p>
        </w:tc>
        <w:tc>
          <w:tcPr>
            <w:tcW w:w="260" w:type="dxa"/>
            <w:vAlign w:val="bottom"/>
            <w:tcBorders>
              <w:bottom w:val="single" w:sz="8" w:color="F0F7E7"/>
            </w:tcBorders>
            <w:shd w:val="clear" w:color="auto" w:fill="F0F7E7"/>
          </w:tcPr>
          <w:p>
            <w:pPr>
              <w:spacing w:after="0"/>
              <w:rPr>
                <w:sz w:val="14"/>
                <w:szCs w:val="14"/>
                <w:color w:val="auto"/>
              </w:rPr>
            </w:pPr>
          </w:p>
        </w:tc>
        <w:tc>
          <w:tcPr>
            <w:tcW w:w="1140" w:type="dxa"/>
            <w:vAlign w:val="bottom"/>
            <w:tcBorders>
              <w:bottom w:val="single" w:sz="8" w:color="F0F7E7"/>
            </w:tcBorders>
            <w:shd w:val="clear" w:color="auto" w:fill="F0F7E7"/>
          </w:tcPr>
          <w:p>
            <w:pPr>
              <w:jc w:val="right"/>
              <w:ind w:right="70"/>
              <w:spacing w:after="0" w:line="139" w:lineRule="exact"/>
              <w:rPr>
                <w:sz w:val="20"/>
                <w:szCs w:val="20"/>
                <w:color w:val="auto"/>
              </w:rPr>
            </w:pPr>
            <w:r>
              <w:rPr>
                <w:rFonts w:ascii="Arial" w:cs="Arial" w:eastAsia="Arial" w:hAnsi="Arial"/>
                <w:sz w:val="14"/>
                <w:szCs w:val="14"/>
                <w:color w:val="auto"/>
              </w:rPr>
              <w:t>260,678</w:t>
            </w:r>
          </w:p>
        </w:tc>
        <w:tc>
          <w:tcPr>
            <w:tcW w:w="440" w:type="dxa"/>
            <w:vAlign w:val="bottom"/>
            <w:tcBorders>
              <w:bottom w:val="single" w:sz="8" w:color="F0F7E7"/>
            </w:tcBorders>
            <w:shd w:val="clear" w:color="auto" w:fill="F0F7E7"/>
          </w:tcPr>
          <w:p>
            <w:pPr>
              <w:spacing w:after="0"/>
              <w:rPr>
                <w:sz w:val="14"/>
                <w:szCs w:val="14"/>
                <w:color w:val="auto"/>
              </w:rPr>
            </w:pPr>
          </w:p>
        </w:tc>
        <w:tc>
          <w:tcPr>
            <w:tcW w:w="980" w:type="dxa"/>
            <w:vAlign w:val="bottom"/>
            <w:tcBorders>
              <w:bottom w:val="single" w:sz="8" w:color="F0F7E7"/>
            </w:tcBorders>
            <w:shd w:val="clear" w:color="auto" w:fill="F0F7E7"/>
          </w:tcPr>
          <w:p>
            <w:pPr>
              <w:jc w:val="right"/>
              <w:ind w:right="70"/>
              <w:spacing w:after="0" w:line="139" w:lineRule="exact"/>
              <w:rPr>
                <w:sz w:val="20"/>
                <w:szCs w:val="20"/>
                <w:color w:val="auto"/>
              </w:rPr>
            </w:pPr>
            <w:r>
              <w:rPr>
                <w:rFonts w:ascii="Arial" w:cs="Arial" w:eastAsia="Arial" w:hAnsi="Arial"/>
                <w:sz w:val="14"/>
                <w:szCs w:val="14"/>
                <w:color w:val="auto"/>
              </w:rPr>
              <w:t>12,200</w:t>
            </w:r>
          </w:p>
        </w:tc>
        <w:tc>
          <w:tcPr>
            <w:tcW w:w="1060" w:type="dxa"/>
            <w:vAlign w:val="bottom"/>
            <w:tcBorders>
              <w:bottom w:val="single" w:sz="8" w:color="F0F7E7"/>
            </w:tcBorders>
            <w:shd w:val="clear" w:color="auto" w:fill="F0F7E7"/>
          </w:tcPr>
          <w:p>
            <w:pPr>
              <w:jc w:val="right"/>
              <w:ind w:right="30"/>
              <w:spacing w:after="0" w:line="139" w:lineRule="exact"/>
              <w:rPr>
                <w:sz w:val="20"/>
                <w:szCs w:val="20"/>
                <w:color w:val="auto"/>
              </w:rPr>
            </w:pPr>
            <w:r>
              <w:rPr>
                <w:rFonts w:ascii="Arial" w:cs="Arial" w:eastAsia="Arial" w:hAnsi="Arial"/>
                <w:sz w:val="14"/>
                <w:szCs w:val="14"/>
                <w:color w:val="auto"/>
              </w:rPr>
              <w:t>3,706,511</w:t>
            </w:r>
          </w:p>
        </w:tc>
        <w:tc>
          <w:tcPr>
            <w:tcW w:w="0" w:type="dxa"/>
            <w:vAlign w:val="bottom"/>
          </w:tcPr>
          <w:p>
            <w:pPr>
              <w:spacing w:after="0"/>
              <w:rPr>
                <w:sz w:val="1"/>
                <w:szCs w:val="1"/>
                <w:color w:val="auto"/>
              </w:rPr>
            </w:pPr>
          </w:p>
        </w:tc>
      </w:tr>
      <w:tr>
        <w:trPr>
          <w:trHeight w:val="25"/>
        </w:trPr>
        <w:tc>
          <w:tcPr>
            <w:tcW w:w="2800" w:type="dxa"/>
            <w:vAlign w:val="bottom"/>
            <w:shd w:val="clear" w:color="auto" w:fill="7CBD3F"/>
          </w:tcPr>
          <w:p>
            <w:pPr>
              <w:spacing w:after="0"/>
              <w:rPr>
                <w:sz w:val="2"/>
                <w:szCs w:val="2"/>
                <w:color w:val="auto"/>
              </w:rPr>
            </w:pPr>
          </w:p>
        </w:tc>
        <w:tc>
          <w:tcPr>
            <w:tcW w:w="700" w:type="dxa"/>
            <w:vAlign w:val="bottom"/>
            <w:shd w:val="clear" w:color="auto" w:fill="7CBD3F"/>
          </w:tcPr>
          <w:p>
            <w:pPr>
              <w:spacing w:after="0"/>
              <w:rPr>
                <w:sz w:val="2"/>
                <w:szCs w:val="2"/>
                <w:color w:val="auto"/>
              </w:rPr>
            </w:pPr>
          </w:p>
        </w:tc>
        <w:tc>
          <w:tcPr>
            <w:tcW w:w="920" w:type="dxa"/>
            <w:vAlign w:val="bottom"/>
            <w:shd w:val="clear" w:color="auto" w:fill="7CBD3F"/>
          </w:tcPr>
          <w:p>
            <w:pPr>
              <w:spacing w:after="0"/>
              <w:rPr>
                <w:sz w:val="2"/>
                <w:szCs w:val="2"/>
                <w:color w:val="auto"/>
              </w:rPr>
            </w:pPr>
          </w:p>
        </w:tc>
        <w:tc>
          <w:tcPr>
            <w:tcW w:w="280" w:type="dxa"/>
            <w:vAlign w:val="bottom"/>
            <w:shd w:val="clear" w:color="auto" w:fill="7CBD3F"/>
          </w:tcPr>
          <w:p>
            <w:pPr>
              <w:spacing w:after="0"/>
              <w:rPr>
                <w:sz w:val="2"/>
                <w:szCs w:val="2"/>
                <w:color w:val="auto"/>
              </w:rPr>
            </w:pPr>
          </w:p>
        </w:tc>
        <w:tc>
          <w:tcPr>
            <w:tcW w:w="620" w:type="dxa"/>
            <w:vAlign w:val="bottom"/>
            <w:shd w:val="clear" w:color="auto" w:fill="7CBD3F"/>
          </w:tcPr>
          <w:p>
            <w:pPr>
              <w:spacing w:after="0"/>
              <w:rPr>
                <w:sz w:val="2"/>
                <w:szCs w:val="2"/>
                <w:color w:val="auto"/>
              </w:rPr>
            </w:pPr>
          </w:p>
        </w:tc>
        <w:tc>
          <w:tcPr>
            <w:tcW w:w="1040" w:type="dxa"/>
            <w:vAlign w:val="bottom"/>
            <w:shd w:val="clear" w:color="auto" w:fill="7CBD3F"/>
          </w:tcPr>
          <w:p>
            <w:pPr>
              <w:spacing w:after="0"/>
              <w:rPr>
                <w:sz w:val="2"/>
                <w:szCs w:val="2"/>
                <w:color w:val="auto"/>
              </w:rPr>
            </w:pPr>
          </w:p>
        </w:tc>
        <w:tc>
          <w:tcPr>
            <w:tcW w:w="1020" w:type="dxa"/>
            <w:vAlign w:val="bottom"/>
            <w:shd w:val="clear" w:color="auto" w:fill="7CBD3F"/>
          </w:tcPr>
          <w:p>
            <w:pPr>
              <w:spacing w:after="0"/>
              <w:rPr>
                <w:sz w:val="2"/>
                <w:szCs w:val="2"/>
                <w:color w:val="auto"/>
              </w:rPr>
            </w:pPr>
          </w:p>
        </w:tc>
        <w:tc>
          <w:tcPr>
            <w:tcW w:w="260" w:type="dxa"/>
            <w:vAlign w:val="bottom"/>
            <w:shd w:val="clear" w:color="auto" w:fill="7CBD3F"/>
          </w:tcPr>
          <w:p>
            <w:pPr>
              <w:spacing w:after="0"/>
              <w:rPr>
                <w:sz w:val="2"/>
                <w:szCs w:val="2"/>
                <w:color w:val="auto"/>
              </w:rPr>
            </w:pPr>
          </w:p>
        </w:tc>
        <w:tc>
          <w:tcPr>
            <w:tcW w:w="1140" w:type="dxa"/>
            <w:vAlign w:val="bottom"/>
            <w:shd w:val="clear" w:color="auto" w:fill="7CBD3F"/>
          </w:tcPr>
          <w:p>
            <w:pPr>
              <w:spacing w:after="0"/>
              <w:rPr>
                <w:sz w:val="2"/>
                <w:szCs w:val="2"/>
                <w:color w:val="auto"/>
              </w:rPr>
            </w:pPr>
          </w:p>
        </w:tc>
        <w:tc>
          <w:tcPr>
            <w:tcW w:w="440" w:type="dxa"/>
            <w:vAlign w:val="bottom"/>
            <w:shd w:val="clear" w:color="auto" w:fill="7CBD3F"/>
          </w:tcPr>
          <w:p>
            <w:pPr>
              <w:spacing w:after="0"/>
              <w:rPr>
                <w:sz w:val="2"/>
                <w:szCs w:val="2"/>
                <w:color w:val="auto"/>
              </w:rPr>
            </w:pPr>
          </w:p>
        </w:tc>
        <w:tc>
          <w:tcPr>
            <w:tcW w:w="980" w:type="dxa"/>
            <w:vAlign w:val="bottom"/>
            <w:shd w:val="clear" w:color="auto" w:fill="7CBD3F"/>
          </w:tcPr>
          <w:p>
            <w:pPr>
              <w:spacing w:after="0"/>
              <w:rPr>
                <w:sz w:val="2"/>
                <w:szCs w:val="2"/>
                <w:color w:val="auto"/>
              </w:rPr>
            </w:pPr>
          </w:p>
        </w:tc>
        <w:tc>
          <w:tcPr>
            <w:tcW w:w="1060" w:type="dxa"/>
            <w:vAlign w:val="bottom"/>
            <w:shd w:val="clear" w:color="auto" w:fill="7CBD3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9" w:lineRule="exact"/>
        <w:rPr>
          <w:sz w:val="20"/>
          <w:szCs w:val="20"/>
          <w:color w:val="auto"/>
        </w:rPr>
      </w:pPr>
    </w:p>
    <w:p>
      <w:pPr>
        <w:jc w:val="both"/>
        <w:ind w:left="287" w:hanging="287"/>
        <w:spacing w:after="0" w:line="252" w:lineRule="auto"/>
        <w:tabs>
          <w:tab w:leader="none" w:pos="287" w:val="left"/>
        </w:tabs>
        <w:numPr>
          <w:ilvl w:val="0"/>
          <w:numId w:val="32"/>
        </w:numPr>
        <w:rPr>
          <w:rFonts w:ascii="Arial" w:cs="Arial" w:eastAsia="Arial" w:hAnsi="Arial"/>
          <w:sz w:val="12"/>
          <w:szCs w:val="12"/>
          <w:color w:val="auto"/>
        </w:rPr>
      </w:pPr>
      <w:r>
        <w:rPr>
          <w:rFonts w:ascii="Arial" w:cs="Arial" w:eastAsia="Arial" w:hAnsi="Arial"/>
          <w:sz w:val="12"/>
          <w:szCs w:val="12"/>
          <w:color w:val="auto"/>
        </w:rPr>
        <w:t>The amounts reported in this column for a fiscal year represent the grant date fair value of the RSUs and PSUs granted to our named executive officers during the fiscal year, as computed in accordance with ASC Topic 718, not including any estimates of forfeitures, and, with respect to the PSUs, assuming the most probable outcome of the performance conditions as of the grant date. The assumptions used in calculating the grant date fair value of the RSUs and PSUs reported in this column are set forth in the notes to our financial statements included in our Annual Report. The amounts reported in this column reflect the accounting cost for these RSUs and PSUs and do not correspond to the actual economic value that may be realized by the named executive officers from the RSUs and the PSUs. The value of the PSUs reported in this column for 2024, assuming achievement of the maximum performance level, was as follows: $14,622,623 for Dr. Kakkis, $2,460,715 for each of Mr. Horn, Dr. Crombez and Mr. Harris and $2,257,733 for Mr. Pinion.</w:t>
      </w:r>
    </w:p>
    <w:p>
      <w:pPr>
        <w:spacing w:after="0" w:line="16" w:lineRule="exact"/>
        <w:rPr>
          <w:rFonts w:ascii="Arial" w:cs="Arial" w:eastAsia="Arial" w:hAnsi="Arial"/>
          <w:sz w:val="12"/>
          <w:szCs w:val="12"/>
          <w:color w:val="auto"/>
        </w:rPr>
      </w:pPr>
    </w:p>
    <w:p>
      <w:pPr>
        <w:jc w:val="both"/>
        <w:ind w:left="287" w:hanging="287"/>
        <w:spacing w:after="0" w:line="252" w:lineRule="auto"/>
        <w:tabs>
          <w:tab w:leader="none" w:pos="287" w:val="left"/>
        </w:tabs>
        <w:numPr>
          <w:ilvl w:val="0"/>
          <w:numId w:val="32"/>
        </w:numPr>
        <w:rPr>
          <w:rFonts w:ascii="Arial" w:cs="Arial" w:eastAsia="Arial" w:hAnsi="Arial"/>
          <w:sz w:val="12"/>
          <w:szCs w:val="12"/>
          <w:color w:val="auto"/>
        </w:rPr>
      </w:pPr>
      <w:r>
        <w:rPr>
          <w:rFonts w:ascii="Arial" w:cs="Arial" w:eastAsia="Arial" w:hAnsi="Arial"/>
          <w:sz w:val="12"/>
          <w:szCs w:val="12"/>
          <w:color w:val="auto"/>
        </w:rPr>
        <w:t>The amounts reported in this column for a fiscal year represent the grant date fair value of the stock options granted to our named executive officers during the fiscal year, as computed in accordance with ASC Topic 718, not including any estimates of forfeitures. Amounts included in this column for Dr. Kakkis, Mr. Horn and Mr. Pinion also include the grant date fair value of the PSOs granted from Amlogenyx, a privately-held subsidiary of Ultragenyx in which Ultragenyx currently holds a majority interest, as described above under “ —</w:t>
      </w:r>
      <w:r>
        <w:rPr>
          <w:rFonts w:ascii="Arial" w:cs="Arial" w:eastAsia="Arial" w:hAnsi="Arial"/>
          <w:sz w:val="12"/>
          <w:szCs w:val="12"/>
          <w:i w:val="1"/>
          <w:iCs w:val="1"/>
          <w:color w:val="auto"/>
        </w:rPr>
        <w:t>Annual Equity Grants in Fiscal 2024</w:t>
      </w:r>
      <w:r>
        <w:rPr>
          <w:rFonts w:ascii="Arial" w:cs="Arial" w:eastAsia="Arial" w:hAnsi="Arial"/>
          <w:sz w:val="12"/>
          <w:szCs w:val="12"/>
          <w:color w:val="auto"/>
        </w:rPr>
        <w:t>”. The grant date fair value of the Amlogenyx PSOs is as follows: $586,950 for Dr. Kakkis, $37,733 for Mr. Horn and $167,700 for Mr. Pinion. The assumptions used in calculating the grant date fair value of the Amlogenyx PSOs reported in this column were as follows: expected term of 5.75 years, risk free rate of 3.98%, volatility of 85% and exercise price of $2.31. The amounts reported in this column reflect the accounting cost for these stock options, and do not correspond to the actual economic value that may be received by the named executive officers from the options.</w:t>
      </w:r>
    </w:p>
    <w:p>
      <w:pPr>
        <w:spacing w:after="0" w:line="16" w:lineRule="exact"/>
        <w:rPr>
          <w:rFonts w:ascii="Arial" w:cs="Arial" w:eastAsia="Arial" w:hAnsi="Arial"/>
          <w:sz w:val="12"/>
          <w:szCs w:val="12"/>
          <w:color w:val="auto"/>
        </w:rPr>
      </w:pPr>
    </w:p>
    <w:p>
      <w:pPr>
        <w:ind w:left="287" w:right="20" w:hanging="287"/>
        <w:spacing w:after="0" w:line="283" w:lineRule="auto"/>
        <w:tabs>
          <w:tab w:leader="none" w:pos="287" w:val="left"/>
        </w:tabs>
        <w:numPr>
          <w:ilvl w:val="0"/>
          <w:numId w:val="32"/>
        </w:numPr>
        <w:rPr>
          <w:rFonts w:ascii="Arial" w:cs="Arial" w:eastAsia="Arial" w:hAnsi="Arial"/>
          <w:sz w:val="12"/>
          <w:szCs w:val="12"/>
          <w:color w:val="auto"/>
        </w:rPr>
      </w:pPr>
      <w:r>
        <w:rPr>
          <w:rFonts w:ascii="Arial" w:cs="Arial" w:eastAsia="Arial" w:hAnsi="Arial"/>
          <w:sz w:val="12"/>
          <w:szCs w:val="12"/>
          <w:color w:val="auto"/>
        </w:rPr>
        <w:t>Amounts for a fiscal year represent annual cash bonuses earned in that fiscal year and paid in the subsequent fiscal year based on achievement of performance goals and other factors deemed relevant by our Compensation Committee under our annual incentive program.</w:t>
      </w:r>
    </w:p>
    <w:p>
      <w:pPr>
        <w:ind w:left="287" w:hanging="287"/>
        <w:spacing w:after="0"/>
        <w:tabs>
          <w:tab w:leader="none" w:pos="287" w:val="left"/>
        </w:tabs>
        <w:numPr>
          <w:ilvl w:val="0"/>
          <w:numId w:val="32"/>
        </w:numPr>
        <w:rPr>
          <w:rFonts w:ascii="Arial" w:cs="Arial" w:eastAsia="Arial" w:hAnsi="Arial"/>
          <w:sz w:val="12"/>
          <w:szCs w:val="12"/>
          <w:color w:val="auto"/>
        </w:rPr>
      </w:pPr>
      <w:r>
        <w:rPr>
          <w:rFonts w:ascii="Arial" w:cs="Arial" w:eastAsia="Arial" w:hAnsi="Arial"/>
          <w:sz w:val="12"/>
          <w:szCs w:val="12"/>
          <w:color w:val="auto"/>
        </w:rPr>
        <w:t>Amounts reported in this column for the 2024 fiscal year reflects 401(k) matching contributions.</w:t>
      </w:r>
    </w:p>
    <w:p>
      <w:pPr>
        <w:spacing w:after="0" w:line="313" w:lineRule="exact"/>
        <w:rPr>
          <w:sz w:val="20"/>
          <w:szCs w:val="20"/>
          <w:color w:val="auto"/>
        </w:rPr>
      </w:pPr>
    </w:p>
    <w:p>
      <w:pPr>
        <w:ind w:left="7"/>
        <w:spacing w:after="0"/>
        <w:rPr>
          <w:sz w:val="20"/>
          <w:szCs w:val="20"/>
          <w:color w:val="auto"/>
        </w:rPr>
      </w:pPr>
      <w:r>
        <w:rPr>
          <w:rFonts w:ascii="Arial" w:cs="Arial" w:eastAsia="Arial" w:hAnsi="Arial"/>
          <w:sz w:val="19"/>
          <w:szCs w:val="19"/>
          <w:b w:val="1"/>
          <w:bCs w:val="1"/>
          <w:color w:val="7CBD3F"/>
        </w:rPr>
        <w:t>Narrative Disclosure to Summary Compensation Table</w:t>
      </w:r>
    </w:p>
    <w:p>
      <w:pPr>
        <w:spacing w:after="0" w:line="325"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Employment Arrangements with Our Named Executive Officers</w:t>
      </w:r>
    </w:p>
    <w:p>
      <w:pPr>
        <w:spacing w:after="0" w:line="158" w:lineRule="exact"/>
        <w:rPr>
          <w:sz w:val="20"/>
          <w:szCs w:val="20"/>
          <w:color w:val="auto"/>
        </w:rPr>
      </w:pPr>
    </w:p>
    <w:p>
      <w:pPr>
        <w:jc w:val="both"/>
        <w:ind w:left="7"/>
        <w:spacing w:after="0" w:line="260" w:lineRule="auto"/>
        <w:rPr>
          <w:sz w:val="20"/>
          <w:szCs w:val="20"/>
          <w:color w:val="auto"/>
        </w:rPr>
      </w:pPr>
      <w:r>
        <w:rPr>
          <w:rFonts w:ascii="Arial" w:cs="Arial" w:eastAsia="Arial" w:hAnsi="Arial"/>
          <w:sz w:val="14"/>
          <w:szCs w:val="14"/>
          <w:color w:val="auto"/>
        </w:rPr>
        <w:t>Dr. Kakkis, our Chief Executive Officer, is party to an employment agreement with us that provides for base salary and participation in our employee benefit plans, subject to the terms of those plans. Pursuant to the terms of the employment agreement, the employment of Dr. Kakkis is at will; we may terminate his employment at any time, without advance notice, for any reason or for no reason at all, and Dr. Kakkis may terminate his employment at any time, upon four weeks’ prior written notice, for any reason or for no reason at all.</w:t>
      </w:r>
    </w:p>
    <w:p>
      <w:pPr>
        <w:spacing w:after="0" w:line="130" w:lineRule="exact"/>
        <w:rPr>
          <w:sz w:val="20"/>
          <w:szCs w:val="20"/>
          <w:color w:val="auto"/>
        </w:rPr>
      </w:pPr>
    </w:p>
    <w:p>
      <w:pPr>
        <w:jc w:val="both"/>
        <w:ind w:left="7" w:right="20"/>
        <w:spacing w:after="0" w:line="256" w:lineRule="auto"/>
        <w:rPr>
          <w:sz w:val="20"/>
          <w:szCs w:val="20"/>
          <w:color w:val="auto"/>
        </w:rPr>
      </w:pPr>
      <w:r>
        <w:rPr>
          <w:rFonts w:ascii="Arial" w:cs="Arial" w:eastAsia="Arial" w:hAnsi="Arial"/>
          <w:sz w:val="14"/>
          <w:szCs w:val="14"/>
          <w:color w:val="auto"/>
        </w:rPr>
        <w:t>Each of our other named executive officers is party to an offer letter with us that provides for base salary, an annual bonus opportunity, and an initial grant of equity. They are eligible to participate in our employee benefit plans, subject to the terms of those plans. Pursuant to the terms of the offer letters, their employment is at will and may be terminated either by us or by them, with or without advance notice, for any reason or for no reason at all. Pursuant to Mr. Horn’s offer letter, he received a $60,000 sign-on bonus in 2023, which was subject to repayment in the event his employment is terminated for “cause” (as defined below) or as a result of his resignation that is not a “constructive termination” (as defined below) within 12 months of his start date, which obligation lapsed in 2024.</w:t>
      </w:r>
    </w:p>
    <w:p>
      <w:pPr>
        <w:spacing w:after="0" w:line="144" w:lineRule="exact"/>
        <w:rPr>
          <w:sz w:val="20"/>
          <w:szCs w:val="20"/>
          <w:color w:val="auto"/>
        </w:rPr>
      </w:pPr>
    </w:p>
    <w:p>
      <w:pPr>
        <w:jc w:val="both"/>
        <w:ind w:left="7"/>
        <w:spacing w:after="0" w:line="260" w:lineRule="auto"/>
        <w:rPr>
          <w:sz w:val="20"/>
          <w:szCs w:val="20"/>
          <w:color w:val="auto"/>
        </w:rPr>
      </w:pPr>
      <w:r>
        <w:rPr>
          <w:rFonts w:ascii="Arial" w:cs="Arial" w:eastAsia="Arial" w:hAnsi="Arial"/>
          <w:sz w:val="14"/>
          <w:szCs w:val="14"/>
          <w:color w:val="auto"/>
        </w:rPr>
        <w:t>Each of these employment arrangements and offer letters, as amended, also contain provisions that provide for certain payments and benefits in the event of an involuntary termination of employment. In addition, the named executive officers may be entitled to accelerated vesting of their outstanding and unvested awards in certain circumstances. The information below describes certain compensation that may become due and payable as a result of certain events as reflected in the amended arrangements.</w:t>
      </w:r>
    </w:p>
    <w:p>
      <w:pPr>
        <w:spacing w:after="0" w:line="130"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221E1F"/>
        </w:rPr>
        <w:t xml:space="preserve">ULTRAGENYX PHARMACEUTICAL INC. </w:t>
      </w:r>
      <w:r>
        <w:rPr>
          <w:rFonts w:ascii="Arial" w:cs="Arial" w:eastAsia="Arial" w:hAnsi="Arial"/>
          <w:sz w:val="14"/>
          <w:szCs w:val="14"/>
          <w:color w:val="7BBD3E"/>
        </w:rPr>
        <w:t>•</w:t>
      </w:r>
      <w:r>
        <w:rPr>
          <w:rFonts w:ascii="Arial" w:cs="Arial" w:eastAsia="Arial" w:hAnsi="Arial"/>
          <w:sz w:val="14"/>
          <w:szCs w:val="14"/>
          <w:b w:val="1"/>
          <w:bCs w:val="1"/>
          <w:color w:val="221E1F"/>
        </w:rPr>
        <w:t xml:space="preserve"> </w:t>
      </w:r>
      <w:r>
        <w:rPr>
          <w:rFonts w:ascii="Arial" w:cs="Arial" w:eastAsia="Arial" w:hAnsi="Arial"/>
          <w:sz w:val="14"/>
          <w:szCs w:val="14"/>
          <w:color w:val="221E1F"/>
        </w:rPr>
        <w:t>2025 Proxy Statement</w:t>
      </w:r>
      <w:r>
        <w:rPr>
          <w:rFonts w:ascii="Arial" w:cs="Arial" w:eastAsia="Arial" w:hAnsi="Arial"/>
          <w:sz w:val="14"/>
          <w:szCs w:val="14"/>
          <w:b w:val="1"/>
          <w:bCs w:val="1"/>
          <w:color w:val="221E1F"/>
        </w:rPr>
        <w:tab/>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150735"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0735" cy="29845"/>
                    </a:xfrm>
                    <a:prstGeom prst="rect">
                      <a:avLst/>
                    </a:prstGeom>
                    <a:noFill/>
                  </pic:spPr>
                </pic:pic>
              </a:graphicData>
            </a:graphic>
          </wp:anchor>
        </w:drawing>
      </w:r>
    </w:p>
    <w:p>
      <w:pPr>
        <w:sectPr>
          <w:pgSz w:w="11900" w:h="16838" w:orient="portrait"/>
          <w:cols w:equalWidth="0" w:num="1">
            <w:col w:w="11267"/>
          </w:cols>
          <w:pgMar w:left="313" w:top="225" w:right="319" w:bottom="1440" w:gutter="0" w:footer="0" w:header="0"/>
        </w:sectPr>
      </w:pPr>
    </w:p>
    <w:bookmarkStart w:id="54" w:name="page55"/>
    <w:bookmarkEnd w:id="54"/>
    <w:p>
      <w:pPr>
        <w:ind w:left="7"/>
        <w:spacing w:after="0"/>
        <w:rPr>
          <w:sz w:val="20"/>
          <w:szCs w:val="20"/>
          <w:color w:val="auto"/>
        </w:rPr>
      </w:pPr>
      <w:r>
        <w:rPr>
          <w:rFonts w:ascii="Arial" w:cs="Arial" w:eastAsia="Arial" w:hAnsi="Arial"/>
          <w:sz w:val="12"/>
          <w:szCs w:val="12"/>
          <w:b w:val="1"/>
          <w:bCs w:val="1"/>
          <w:u w:val="single" w:color="auto"/>
          <w:color w:val="0000EE"/>
        </w:rPr>
        <w:t>Back to Contents</w:t>
      </w:r>
    </w:p>
    <w:p>
      <w:pPr>
        <w:spacing w:after="0" w:line="145"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Involuntary Termination of Employment</w:t>
      </w:r>
    </w:p>
    <w:p>
      <w:pPr>
        <w:spacing w:after="0" w:line="158" w:lineRule="exact"/>
        <w:rPr>
          <w:sz w:val="20"/>
          <w:szCs w:val="20"/>
          <w:color w:val="auto"/>
        </w:rPr>
      </w:pPr>
    </w:p>
    <w:p>
      <w:pPr>
        <w:jc w:val="both"/>
        <w:ind w:left="7"/>
        <w:spacing w:after="0" w:line="252" w:lineRule="auto"/>
        <w:rPr>
          <w:sz w:val="20"/>
          <w:szCs w:val="20"/>
          <w:color w:val="auto"/>
        </w:rPr>
      </w:pPr>
      <w:r>
        <w:rPr>
          <w:rFonts w:ascii="Arial" w:cs="Arial" w:eastAsia="Arial" w:hAnsi="Arial"/>
          <w:sz w:val="14"/>
          <w:szCs w:val="14"/>
          <w:color w:val="auto"/>
        </w:rPr>
        <w:t>Pursuant to their employment arrangements or offer letters, each named executive officer is eligible to receive certain payments and benefits in the event of certain qualifying terminations, including termination of his or her employment by us without “cause” (as defined below) or resignation of his or her employment with “good reason” or because of a “constructive termination” (each, as defined below). Certain benefits are enhanced in the event the qualifying termination occurs within a specified period of time (12 months for Dr. Kakkis, and 18 months for Mr. Horn, Mr. Harris, Dr. Crombez and Mr. Pinion) after the consummation of a “covered transaction” (as defined below), which we refer to as the covered transaction protection period. Upon the timely execution of a general release of claims, each named executive officer is eligible to receive the following payments and benefits:</w:t>
      </w:r>
    </w:p>
    <w:p>
      <w:pPr>
        <w:spacing w:after="0" w:line="134" w:lineRule="exact"/>
        <w:rPr>
          <w:sz w:val="20"/>
          <w:szCs w:val="20"/>
          <w:color w:val="auto"/>
        </w:rPr>
      </w:pPr>
    </w:p>
    <w:p>
      <w:pPr>
        <w:jc w:val="both"/>
        <w:ind w:left="147" w:hanging="147"/>
        <w:spacing w:after="0" w:line="255" w:lineRule="auto"/>
        <w:tabs>
          <w:tab w:leader="none" w:pos="147" w:val="left"/>
        </w:tabs>
        <w:numPr>
          <w:ilvl w:val="0"/>
          <w:numId w:val="33"/>
        </w:numPr>
        <w:rPr>
          <w:rFonts w:ascii="Arial" w:cs="Arial" w:eastAsia="Arial" w:hAnsi="Arial"/>
          <w:sz w:val="14"/>
          <w:szCs w:val="14"/>
          <w:color w:val="7CBD3F"/>
        </w:rPr>
      </w:pPr>
      <w:r>
        <w:rPr>
          <w:rFonts w:ascii="Arial" w:cs="Arial" w:eastAsia="Arial" w:hAnsi="Arial"/>
          <w:sz w:val="14"/>
          <w:szCs w:val="14"/>
          <w:color w:val="auto"/>
        </w:rPr>
        <w:t>if Dr. Kakkis is terminated by us other than for cause (and not as a result of death or disability) or he resigns for good reason, he will be entitled to receive (i) the sum of 24 months of his base salary and his target bonus for the year in which the termination occurs (or, if such termination occurs within the covered transaction protection period, the sum of 24 months of his base salary and 2x his target bonus), (ii) reimbursement for monthly COBRA premiums for the 24-month period following his termination, (iii) if such termination occurs within the covered transaction protection period, accelerated vesting of any unvested equity-based compensation; and</w:t>
      </w:r>
    </w:p>
    <w:p>
      <w:pPr>
        <w:spacing w:after="0" w:line="38" w:lineRule="exact"/>
        <w:rPr>
          <w:rFonts w:ascii="Arial" w:cs="Arial" w:eastAsia="Arial" w:hAnsi="Arial"/>
          <w:sz w:val="14"/>
          <w:szCs w:val="14"/>
          <w:color w:val="7CBD3F"/>
        </w:rPr>
      </w:pPr>
    </w:p>
    <w:p>
      <w:pPr>
        <w:jc w:val="both"/>
        <w:ind w:left="147" w:hanging="147"/>
        <w:spacing w:after="0" w:line="247" w:lineRule="auto"/>
        <w:tabs>
          <w:tab w:leader="none" w:pos="147" w:val="left"/>
        </w:tabs>
        <w:numPr>
          <w:ilvl w:val="0"/>
          <w:numId w:val="33"/>
        </w:numPr>
        <w:rPr>
          <w:rFonts w:ascii="Arial" w:cs="Arial" w:eastAsia="Arial" w:hAnsi="Arial"/>
          <w:sz w:val="14"/>
          <w:szCs w:val="14"/>
          <w:color w:val="7CBD3F"/>
        </w:rPr>
      </w:pPr>
      <w:r>
        <w:rPr>
          <w:rFonts w:ascii="Arial" w:cs="Arial" w:eastAsia="Arial" w:hAnsi="Arial"/>
          <w:sz w:val="14"/>
          <w:szCs w:val="14"/>
          <w:color w:val="auto"/>
        </w:rPr>
        <w:t>if Mr. Horn, Mr. Harris, Dr. Crombez or Mr. Pinion is terminated by us without cause (and not as a result of death or disability) or upon a resignation due to a constructive termination, the executive will be entitled to the following severance benefits: (i) extension of the exercise period applicable to any options to purchase our stock held by the executive at the time of termination until 12 months from the date of such termination (or, if earlier, until the expiration of the term of the option set forth in the applicable option award agreement), (ii) the sum of 12 months of the executive’s base salary and the executive’s target bonus for the year in which the termination occurs (or, if such termination occurs within the covered transaction period, the sum of 18 months of the executive’s base salary and 1.5x the executive’s target bonus), (iii) reimbursement for monthly COBRA premiums for the 12-month period following the executive’s termination (or, if such termination occurs within the covered transaction protection period, for the 18-month period following the executive’s termination), (iv) if such termination occurs within the covered transaction period, accelerated vesting of any unvested equity-based compensation, and (v) if such termination occurs within the covered transaction period, extension of the exercise period applicable to any outstanding options held by the executive until 12 months from the date of such termination (or, if earlier, until the expiration of the term of the option set forth in the applicable option award agreement).</w:t>
      </w:r>
    </w:p>
    <w:p>
      <w:pPr>
        <w:spacing w:after="0" w:line="141"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221E1F"/>
        </w:rPr>
        <w:t xml:space="preserve">ULTRAGENYX PHARMACEUTICAL INC. </w:t>
      </w:r>
      <w:r>
        <w:rPr>
          <w:rFonts w:ascii="Arial" w:cs="Arial" w:eastAsia="Arial" w:hAnsi="Arial"/>
          <w:sz w:val="14"/>
          <w:szCs w:val="14"/>
          <w:color w:val="7BBD3E"/>
        </w:rPr>
        <w:t>•</w:t>
      </w:r>
      <w:r>
        <w:rPr>
          <w:rFonts w:ascii="Arial" w:cs="Arial" w:eastAsia="Arial" w:hAnsi="Arial"/>
          <w:sz w:val="14"/>
          <w:szCs w:val="14"/>
          <w:b w:val="1"/>
          <w:bCs w:val="1"/>
          <w:color w:val="221E1F"/>
        </w:rPr>
        <w:t xml:space="preserve"> </w:t>
      </w:r>
      <w:r>
        <w:rPr>
          <w:rFonts w:ascii="Arial" w:cs="Arial" w:eastAsia="Arial" w:hAnsi="Arial"/>
          <w:sz w:val="14"/>
          <w:szCs w:val="14"/>
          <w:color w:val="221E1F"/>
        </w:rPr>
        <w:t>2025 Proxy Statement</w:t>
      </w:r>
      <w:r>
        <w:rPr>
          <w:rFonts w:ascii="Arial" w:cs="Arial" w:eastAsia="Arial" w:hAnsi="Arial"/>
          <w:sz w:val="14"/>
          <w:szCs w:val="14"/>
          <w:b w:val="1"/>
          <w:bCs w:val="1"/>
          <w:color w:val="221E1F"/>
        </w:rPr>
        <w:tab/>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150735"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0735" cy="29845"/>
                    </a:xfrm>
                    <a:prstGeom prst="rect">
                      <a:avLst/>
                    </a:prstGeom>
                    <a:noFill/>
                  </pic:spPr>
                </pic:pic>
              </a:graphicData>
            </a:graphic>
          </wp:anchor>
        </w:drawing>
      </w:r>
    </w:p>
    <w:p>
      <w:pPr>
        <w:sectPr>
          <w:pgSz w:w="11900" w:h="16838" w:orient="portrait"/>
          <w:cols w:equalWidth="0" w:num="1">
            <w:col w:w="11267"/>
          </w:cols>
          <w:pgMar w:left="313" w:top="225" w:right="319" w:bottom="1440" w:gutter="0" w:footer="0" w:header="0"/>
        </w:sectPr>
      </w:pPr>
    </w:p>
    <w:bookmarkStart w:id="55" w:name="page56"/>
    <w:bookmarkEnd w:id="55"/>
    <w:p>
      <w:pPr>
        <w:ind w:left="7"/>
        <w:spacing w:after="0"/>
        <w:rPr>
          <w:sz w:val="20"/>
          <w:szCs w:val="20"/>
          <w:color w:val="auto"/>
        </w:rPr>
      </w:pPr>
      <w:r>
        <w:rPr>
          <w:rFonts w:ascii="Arial" w:cs="Arial" w:eastAsia="Arial" w:hAnsi="Arial"/>
          <w:sz w:val="12"/>
          <w:szCs w:val="12"/>
          <w:b w:val="1"/>
          <w:bCs w:val="1"/>
          <w:u w:val="single" w:color="auto"/>
          <w:color w:val="0000EE"/>
        </w:rPr>
        <w:t>Back to Contents</w:t>
      </w:r>
    </w:p>
    <w:p>
      <w:pPr>
        <w:spacing w:after="0" w:line="145"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Definitions</w:t>
      </w:r>
    </w:p>
    <w:p>
      <w:pPr>
        <w:spacing w:after="0" w:line="158" w:lineRule="exact"/>
        <w:rPr>
          <w:sz w:val="20"/>
          <w:szCs w:val="20"/>
          <w:color w:val="auto"/>
        </w:rPr>
      </w:pPr>
    </w:p>
    <w:p>
      <w:pPr>
        <w:ind w:left="7"/>
        <w:spacing w:after="0"/>
        <w:rPr>
          <w:sz w:val="20"/>
          <w:szCs w:val="20"/>
          <w:color w:val="auto"/>
        </w:rPr>
      </w:pPr>
      <w:r>
        <w:rPr>
          <w:rFonts w:ascii="Arial" w:cs="Arial" w:eastAsia="Arial" w:hAnsi="Arial"/>
          <w:sz w:val="14"/>
          <w:szCs w:val="14"/>
          <w:color w:val="auto"/>
        </w:rPr>
        <w:t>For purposes of Dr.Kakkis’ employment agreement, “cause” means his:</w:t>
      </w:r>
    </w:p>
    <w:p>
      <w:pPr>
        <w:spacing w:after="0" w:line="165" w:lineRule="exact"/>
        <w:rPr>
          <w:sz w:val="20"/>
          <w:szCs w:val="20"/>
          <w:color w:val="auto"/>
        </w:rPr>
      </w:pPr>
    </w:p>
    <w:p>
      <w:pPr>
        <w:ind w:left="147" w:hanging="147"/>
        <w:spacing w:after="0"/>
        <w:tabs>
          <w:tab w:leader="none" w:pos="147" w:val="left"/>
        </w:tabs>
        <w:numPr>
          <w:ilvl w:val="0"/>
          <w:numId w:val="34"/>
        </w:numPr>
        <w:rPr>
          <w:rFonts w:ascii="Arial" w:cs="Arial" w:eastAsia="Arial" w:hAnsi="Arial"/>
          <w:sz w:val="14"/>
          <w:szCs w:val="14"/>
          <w:color w:val="7CBD3F"/>
        </w:rPr>
      </w:pPr>
      <w:r>
        <w:rPr>
          <w:rFonts w:ascii="Arial" w:cs="Arial" w:eastAsia="Arial" w:hAnsi="Arial"/>
          <w:sz w:val="14"/>
          <w:szCs w:val="14"/>
          <w:color w:val="auto"/>
        </w:rPr>
        <w:t>commission of a felony or any crime involving dishonesty, breach of trust, or physical harm to any person;</w:t>
      </w:r>
    </w:p>
    <w:p>
      <w:pPr>
        <w:spacing w:after="0" w:line="72" w:lineRule="exact"/>
        <w:rPr>
          <w:rFonts w:ascii="Arial" w:cs="Arial" w:eastAsia="Arial" w:hAnsi="Arial"/>
          <w:sz w:val="14"/>
          <w:szCs w:val="14"/>
          <w:color w:val="7CBD3F"/>
        </w:rPr>
      </w:pPr>
    </w:p>
    <w:p>
      <w:pPr>
        <w:ind w:left="147" w:hanging="147"/>
        <w:spacing w:after="0"/>
        <w:tabs>
          <w:tab w:leader="none" w:pos="147" w:val="left"/>
        </w:tabs>
        <w:numPr>
          <w:ilvl w:val="0"/>
          <w:numId w:val="34"/>
        </w:numPr>
        <w:rPr>
          <w:rFonts w:ascii="Arial" w:cs="Arial" w:eastAsia="Arial" w:hAnsi="Arial"/>
          <w:sz w:val="14"/>
          <w:szCs w:val="14"/>
          <w:color w:val="7CBD3F"/>
        </w:rPr>
      </w:pPr>
      <w:r>
        <w:rPr>
          <w:rFonts w:ascii="Arial" w:cs="Arial" w:eastAsia="Arial" w:hAnsi="Arial"/>
          <w:sz w:val="14"/>
          <w:szCs w:val="14"/>
          <w:color w:val="auto"/>
        </w:rPr>
        <w:t>willful engagement in conduct that is in bad faith and materially injurious to us, including but not limited to misappropriation of trade secrets, fraud, or embezzlement;</w:t>
      </w:r>
    </w:p>
    <w:p>
      <w:pPr>
        <w:spacing w:after="0" w:line="72" w:lineRule="exact"/>
        <w:rPr>
          <w:rFonts w:ascii="Arial" w:cs="Arial" w:eastAsia="Arial" w:hAnsi="Arial"/>
          <w:sz w:val="14"/>
          <w:szCs w:val="14"/>
          <w:color w:val="7CBD3F"/>
        </w:rPr>
      </w:pPr>
    </w:p>
    <w:p>
      <w:pPr>
        <w:ind w:left="147" w:hanging="147"/>
        <w:spacing w:after="0"/>
        <w:tabs>
          <w:tab w:leader="none" w:pos="147" w:val="left"/>
        </w:tabs>
        <w:numPr>
          <w:ilvl w:val="0"/>
          <w:numId w:val="34"/>
        </w:numPr>
        <w:rPr>
          <w:rFonts w:ascii="Arial" w:cs="Arial" w:eastAsia="Arial" w:hAnsi="Arial"/>
          <w:sz w:val="14"/>
          <w:szCs w:val="14"/>
          <w:color w:val="7CBD3F"/>
        </w:rPr>
      </w:pPr>
      <w:r>
        <w:rPr>
          <w:rFonts w:ascii="Arial" w:cs="Arial" w:eastAsia="Arial" w:hAnsi="Arial"/>
          <w:sz w:val="14"/>
          <w:szCs w:val="14"/>
          <w:color w:val="auto"/>
        </w:rPr>
        <w:t>material breach of his employment agreement that is not cured within 10 days after written notice to him from us; or</w:t>
      </w:r>
    </w:p>
    <w:p>
      <w:pPr>
        <w:spacing w:after="0" w:line="72" w:lineRule="exact"/>
        <w:rPr>
          <w:rFonts w:ascii="Arial" w:cs="Arial" w:eastAsia="Arial" w:hAnsi="Arial"/>
          <w:sz w:val="14"/>
          <w:szCs w:val="14"/>
          <w:color w:val="7CBD3F"/>
        </w:rPr>
      </w:pPr>
    </w:p>
    <w:p>
      <w:pPr>
        <w:ind w:left="147" w:hanging="147"/>
        <w:spacing w:after="0"/>
        <w:tabs>
          <w:tab w:leader="none" w:pos="147" w:val="left"/>
        </w:tabs>
        <w:numPr>
          <w:ilvl w:val="0"/>
          <w:numId w:val="34"/>
        </w:numPr>
        <w:rPr>
          <w:rFonts w:ascii="Arial" w:cs="Arial" w:eastAsia="Arial" w:hAnsi="Arial"/>
          <w:sz w:val="14"/>
          <w:szCs w:val="14"/>
          <w:color w:val="7CBD3F"/>
        </w:rPr>
      </w:pPr>
      <w:r>
        <w:rPr>
          <w:rFonts w:ascii="Arial" w:cs="Arial" w:eastAsia="Arial" w:hAnsi="Arial"/>
          <w:sz w:val="14"/>
          <w:szCs w:val="14"/>
          <w:color w:val="auto"/>
        </w:rPr>
        <w:t>willful refusal to implement or follow a lawful policy or directive of ours, which breach is not cured within 10 days after written notice to him from us.</w:t>
      </w:r>
    </w:p>
    <w:p>
      <w:pPr>
        <w:spacing w:after="0" w:line="165" w:lineRule="exact"/>
        <w:rPr>
          <w:sz w:val="20"/>
          <w:szCs w:val="20"/>
          <w:color w:val="auto"/>
        </w:rPr>
      </w:pPr>
    </w:p>
    <w:p>
      <w:pPr>
        <w:ind w:left="7"/>
        <w:spacing w:after="0"/>
        <w:rPr>
          <w:sz w:val="20"/>
          <w:szCs w:val="20"/>
          <w:color w:val="auto"/>
        </w:rPr>
      </w:pPr>
      <w:r>
        <w:rPr>
          <w:rFonts w:ascii="Arial" w:cs="Arial" w:eastAsia="Arial" w:hAnsi="Arial"/>
          <w:sz w:val="14"/>
          <w:szCs w:val="14"/>
          <w:color w:val="auto"/>
        </w:rPr>
        <w:t>For purposes of each of the offer letters with Mr. Horn, Mr. Harris, Dr.Crombez and Mr.Pinion “cause” means the named executive officer’s:</w:t>
      </w:r>
    </w:p>
    <w:p>
      <w:pPr>
        <w:spacing w:after="0" w:line="165" w:lineRule="exact"/>
        <w:rPr>
          <w:sz w:val="20"/>
          <w:szCs w:val="20"/>
          <w:color w:val="auto"/>
        </w:rPr>
      </w:pPr>
    </w:p>
    <w:p>
      <w:pPr>
        <w:ind w:left="147" w:right="20" w:hanging="147"/>
        <w:spacing w:after="0" w:line="278" w:lineRule="auto"/>
        <w:tabs>
          <w:tab w:leader="none" w:pos="147" w:val="left"/>
        </w:tabs>
        <w:numPr>
          <w:ilvl w:val="0"/>
          <w:numId w:val="35"/>
        </w:numPr>
        <w:rPr>
          <w:rFonts w:ascii="Arial" w:cs="Arial" w:eastAsia="Arial" w:hAnsi="Arial"/>
          <w:sz w:val="14"/>
          <w:szCs w:val="14"/>
          <w:color w:val="7CBD3F"/>
        </w:rPr>
      </w:pPr>
      <w:r>
        <w:rPr>
          <w:rFonts w:ascii="Arial" w:cs="Arial" w:eastAsia="Arial" w:hAnsi="Arial"/>
          <w:sz w:val="14"/>
          <w:szCs w:val="14"/>
          <w:color w:val="auto"/>
        </w:rPr>
        <w:t>willful engagement in conduct that is materially injurious to the Company (for Mr. Harris) or gross negligence in carrying out, or material failure to carry out, his or her duties for us (including, without limitation, failure to cooperate in any Company investigation), after notice from the Board and a reasonable opportunity to cure (if deemed curable);</w:t>
      </w:r>
    </w:p>
    <w:p>
      <w:pPr>
        <w:spacing w:after="0" w:line="23" w:lineRule="exact"/>
        <w:rPr>
          <w:rFonts w:ascii="Arial" w:cs="Arial" w:eastAsia="Arial" w:hAnsi="Arial"/>
          <w:sz w:val="14"/>
          <w:szCs w:val="14"/>
          <w:color w:val="7CBD3F"/>
        </w:rPr>
      </w:pPr>
    </w:p>
    <w:p>
      <w:pPr>
        <w:ind w:left="147" w:hanging="147"/>
        <w:spacing w:after="0"/>
        <w:tabs>
          <w:tab w:leader="none" w:pos="147" w:val="left"/>
        </w:tabs>
        <w:numPr>
          <w:ilvl w:val="0"/>
          <w:numId w:val="35"/>
        </w:numPr>
        <w:rPr>
          <w:rFonts w:ascii="Arial" w:cs="Arial" w:eastAsia="Arial" w:hAnsi="Arial"/>
          <w:sz w:val="14"/>
          <w:szCs w:val="14"/>
          <w:color w:val="7CBD3F"/>
        </w:rPr>
      </w:pPr>
      <w:r>
        <w:rPr>
          <w:rFonts w:ascii="Arial" w:cs="Arial" w:eastAsia="Arial" w:hAnsi="Arial"/>
          <w:sz w:val="14"/>
          <w:szCs w:val="14"/>
          <w:color w:val="auto"/>
        </w:rPr>
        <w:t>breach of his or her fiduciary duties to us, after notice from the Board and a reasonable opportunity to cure (if deemed curable);</w:t>
      </w:r>
    </w:p>
    <w:p>
      <w:pPr>
        <w:spacing w:after="0" w:line="72" w:lineRule="exact"/>
        <w:rPr>
          <w:rFonts w:ascii="Arial" w:cs="Arial" w:eastAsia="Arial" w:hAnsi="Arial"/>
          <w:sz w:val="14"/>
          <w:szCs w:val="14"/>
          <w:color w:val="7CBD3F"/>
        </w:rPr>
      </w:pPr>
    </w:p>
    <w:p>
      <w:pPr>
        <w:ind w:left="147" w:hanging="147"/>
        <w:spacing w:after="0"/>
        <w:tabs>
          <w:tab w:leader="none" w:pos="147" w:val="left"/>
        </w:tabs>
        <w:numPr>
          <w:ilvl w:val="0"/>
          <w:numId w:val="35"/>
        </w:numPr>
        <w:rPr>
          <w:rFonts w:ascii="Arial" w:cs="Arial" w:eastAsia="Arial" w:hAnsi="Arial"/>
          <w:sz w:val="14"/>
          <w:szCs w:val="14"/>
          <w:color w:val="7CBD3F"/>
        </w:rPr>
      </w:pPr>
      <w:r>
        <w:rPr>
          <w:rFonts w:ascii="Arial" w:cs="Arial" w:eastAsia="Arial" w:hAnsi="Arial"/>
          <w:sz w:val="14"/>
          <w:szCs w:val="14"/>
          <w:color w:val="auto"/>
        </w:rPr>
        <w:t>conviction of, or plea of guilty or no contest to, any felony;</w:t>
      </w:r>
    </w:p>
    <w:p>
      <w:pPr>
        <w:spacing w:after="0" w:line="72" w:lineRule="exact"/>
        <w:rPr>
          <w:rFonts w:ascii="Arial" w:cs="Arial" w:eastAsia="Arial" w:hAnsi="Arial"/>
          <w:sz w:val="14"/>
          <w:szCs w:val="14"/>
          <w:color w:val="7CBD3F"/>
        </w:rPr>
      </w:pPr>
    </w:p>
    <w:p>
      <w:pPr>
        <w:ind w:left="147" w:hanging="147"/>
        <w:spacing w:after="0"/>
        <w:tabs>
          <w:tab w:leader="none" w:pos="147" w:val="left"/>
        </w:tabs>
        <w:numPr>
          <w:ilvl w:val="0"/>
          <w:numId w:val="35"/>
        </w:numPr>
        <w:rPr>
          <w:rFonts w:ascii="Arial" w:cs="Arial" w:eastAsia="Arial" w:hAnsi="Arial"/>
          <w:sz w:val="14"/>
          <w:szCs w:val="14"/>
          <w:color w:val="7CBD3F"/>
        </w:rPr>
      </w:pPr>
      <w:r>
        <w:rPr>
          <w:rFonts w:ascii="Arial" w:cs="Arial" w:eastAsia="Arial" w:hAnsi="Arial"/>
          <w:sz w:val="14"/>
          <w:szCs w:val="14"/>
          <w:color w:val="auto"/>
        </w:rPr>
        <w:t>act of fraud or embezzlement with respect to his or her obligations to us or otherwise relating to our business;</w:t>
      </w:r>
    </w:p>
    <w:p>
      <w:pPr>
        <w:spacing w:after="0" w:line="72" w:lineRule="exact"/>
        <w:rPr>
          <w:rFonts w:ascii="Arial" w:cs="Arial" w:eastAsia="Arial" w:hAnsi="Arial"/>
          <w:sz w:val="14"/>
          <w:szCs w:val="14"/>
          <w:color w:val="7CBD3F"/>
        </w:rPr>
      </w:pPr>
    </w:p>
    <w:p>
      <w:pPr>
        <w:ind w:left="147" w:right="20" w:hanging="147"/>
        <w:spacing w:after="0" w:line="278" w:lineRule="auto"/>
        <w:tabs>
          <w:tab w:leader="none" w:pos="147" w:val="left"/>
        </w:tabs>
        <w:numPr>
          <w:ilvl w:val="0"/>
          <w:numId w:val="35"/>
        </w:numPr>
        <w:rPr>
          <w:rFonts w:ascii="Arial" w:cs="Arial" w:eastAsia="Arial" w:hAnsi="Arial"/>
          <w:sz w:val="14"/>
          <w:szCs w:val="14"/>
          <w:color w:val="7CBD3F"/>
        </w:rPr>
      </w:pPr>
      <w:r>
        <w:rPr>
          <w:rFonts w:ascii="Arial" w:cs="Arial" w:eastAsia="Arial" w:hAnsi="Arial"/>
          <w:sz w:val="14"/>
          <w:szCs w:val="14"/>
          <w:color w:val="auto"/>
        </w:rPr>
        <w:t>willful refusal to implement or follow a material policy or directive (for Mr. Horn, Dr. Crombez and Mr. Harris) or a material violation of any of our policies (for Mr. Pinion), in each case other than for Mr. Pinion and Dr. Crombez after notice from the Board and a reasonable opportunity to cure (if deemed curable);</w:t>
      </w:r>
    </w:p>
    <w:p>
      <w:pPr>
        <w:spacing w:after="0" w:line="23" w:lineRule="exact"/>
        <w:rPr>
          <w:rFonts w:ascii="Arial" w:cs="Arial" w:eastAsia="Arial" w:hAnsi="Arial"/>
          <w:sz w:val="14"/>
          <w:szCs w:val="14"/>
          <w:color w:val="7CBD3F"/>
        </w:rPr>
      </w:pPr>
    </w:p>
    <w:p>
      <w:pPr>
        <w:ind w:left="147" w:hanging="147"/>
        <w:spacing w:after="0"/>
        <w:tabs>
          <w:tab w:leader="none" w:pos="147" w:val="left"/>
        </w:tabs>
        <w:numPr>
          <w:ilvl w:val="0"/>
          <w:numId w:val="35"/>
        </w:numPr>
        <w:rPr>
          <w:rFonts w:ascii="Arial" w:cs="Arial" w:eastAsia="Arial" w:hAnsi="Arial"/>
          <w:sz w:val="14"/>
          <w:szCs w:val="14"/>
          <w:color w:val="7CBD3F"/>
        </w:rPr>
      </w:pPr>
      <w:r>
        <w:rPr>
          <w:rFonts w:ascii="Arial" w:cs="Arial" w:eastAsia="Arial" w:hAnsi="Arial"/>
          <w:sz w:val="14"/>
          <w:szCs w:val="14"/>
          <w:color w:val="auto"/>
        </w:rPr>
        <w:t>material breach of any agreement entered into with us (subject to notice from the Board and a reasonable opportunity to cure (if deemed curable) for Mr. Horn); or</w:t>
      </w:r>
    </w:p>
    <w:p>
      <w:pPr>
        <w:spacing w:after="0" w:line="72" w:lineRule="exact"/>
        <w:rPr>
          <w:rFonts w:ascii="Arial" w:cs="Arial" w:eastAsia="Arial" w:hAnsi="Arial"/>
          <w:sz w:val="14"/>
          <w:szCs w:val="14"/>
          <w:color w:val="7CBD3F"/>
        </w:rPr>
      </w:pPr>
    </w:p>
    <w:p>
      <w:pPr>
        <w:ind w:left="147" w:right="20" w:hanging="147"/>
        <w:spacing w:after="0" w:line="278" w:lineRule="auto"/>
        <w:tabs>
          <w:tab w:leader="none" w:pos="147" w:val="left"/>
        </w:tabs>
        <w:numPr>
          <w:ilvl w:val="0"/>
          <w:numId w:val="35"/>
        </w:numPr>
        <w:rPr>
          <w:rFonts w:ascii="Arial" w:cs="Arial" w:eastAsia="Arial" w:hAnsi="Arial"/>
          <w:sz w:val="14"/>
          <w:szCs w:val="14"/>
          <w:color w:val="7CBD3F"/>
        </w:rPr>
      </w:pPr>
      <w:r>
        <w:rPr>
          <w:rFonts w:ascii="Arial" w:cs="Arial" w:eastAsia="Arial" w:hAnsi="Arial"/>
          <w:sz w:val="14"/>
          <w:szCs w:val="14"/>
          <w:color w:val="auto"/>
        </w:rPr>
        <w:t>unauthorized use or disclosure of confidential information or trade secrets of ours or of our affiliates (subject to notice from the Board and a reasonable opportunity to cure (if deemed curable) for Mr. Horn).</w:t>
      </w:r>
    </w:p>
    <w:p>
      <w:pPr>
        <w:spacing w:after="0" w:line="117" w:lineRule="exact"/>
        <w:rPr>
          <w:sz w:val="20"/>
          <w:szCs w:val="20"/>
          <w:color w:val="auto"/>
        </w:rPr>
      </w:pPr>
    </w:p>
    <w:p>
      <w:pPr>
        <w:ind w:left="7"/>
        <w:spacing w:after="0"/>
        <w:rPr>
          <w:sz w:val="20"/>
          <w:szCs w:val="20"/>
          <w:color w:val="auto"/>
        </w:rPr>
      </w:pPr>
      <w:r>
        <w:rPr>
          <w:rFonts w:ascii="Arial" w:cs="Arial" w:eastAsia="Arial" w:hAnsi="Arial"/>
          <w:sz w:val="14"/>
          <w:szCs w:val="14"/>
          <w:color w:val="auto"/>
        </w:rPr>
        <w:t>For purposes of Dr. Kakkis’ employment agreement, “good reason” means any of the following events without his consent, subject to standard notice and cure requirements:</w:t>
      </w:r>
    </w:p>
    <w:p>
      <w:pPr>
        <w:spacing w:after="0" w:line="165" w:lineRule="exact"/>
        <w:rPr>
          <w:sz w:val="20"/>
          <w:szCs w:val="20"/>
          <w:color w:val="auto"/>
        </w:rPr>
      </w:pPr>
    </w:p>
    <w:p>
      <w:pPr>
        <w:ind w:left="147" w:hanging="147"/>
        <w:spacing w:after="0"/>
        <w:tabs>
          <w:tab w:leader="none" w:pos="147" w:val="left"/>
        </w:tabs>
        <w:numPr>
          <w:ilvl w:val="0"/>
          <w:numId w:val="36"/>
        </w:numPr>
        <w:rPr>
          <w:rFonts w:ascii="Arial" w:cs="Arial" w:eastAsia="Arial" w:hAnsi="Arial"/>
          <w:sz w:val="14"/>
          <w:szCs w:val="14"/>
          <w:color w:val="7CBD3F"/>
        </w:rPr>
      </w:pPr>
      <w:r>
        <w:rPr>
          <w:rFonts w:ascii="Arial" w:cs="Arial" w:eastAsia="Arial" w:hAnsi="Arial"/>
          <w:sz w:val="14"/>
          <w:szCs w:val="14"/>
          <w:color w:val="auto"/>
        </w:rPr>
        <w:t>a change in his position with us that materially reduces his level of responsibility;</w:t>
      </w:r>
    </w:p>
    <w:p>
      <w:pPr>
        <w:spacing w:after="0" w:line="72" w:lineRule="exact"/>
        <w:rPr>
          <w:rFonts w:ascii="Arial" w:cs="Arial" w:eastAsia="Arial" w:hAnsi="Arial"/>
          <w:sz w:val="14"/>
          <w:szCs w:val="14"/>
          <w:color w:val="7CBD3F"/>
        </w:rPr>
      </w:pPr>
    </w:p>
    <w:p>
      <w:pPr>
        <w:ind w:left="147" w:hanging="147"/>
        <w:spacing w:after="0"/>
        <w:tabs>
          <w:tab w:leader="none" w:pos="147" w:val="left"/>
        </w:tabs>
        <w:numPr>
          <w:ilvl w:val="0"/>
          <w:numId w:val="36"/>
        </w:numPr>
        <w:rPr>
          <w:rFonts w:ascii="Arial" w:cs="Arial" w:eastAsia="Arial" w:hAnsi="Arial"/>
          <w:sz w:val="14"/>
          <w:szCs w:val="14"/>
          <w:color w:val="7CBD3F"/>
        </w:rPr>
      </w:pPr>
      <w:r>
        <w:rPr>
          <w:rFonts w:ascii="Arial" w:cs="Arial" w:eastAsia="Arial" w:hAnsi="Arial"/>
          <w:sz w:val="14"/>
          <w:szCs w:val="14"/>
          <w:color w:val="auto"/>
        </w:rPr>
        <w:t>a material reduction in his base salary, except for reductions that are comparable to reductions generally applicable to similarly situated executives of ours; or</w:t>
      </w:r>
    </w:p>
    <w:p>
      <w:pPr>
        <w:spacing w:after="0" w:line="72" w:lineRule="exact"/>
        <w:rPr>
          <w:rFonts w:ascii="Arial" w:cs="Arial" w:eastAsia="Arial" w:hAnsi="Arial"/>
          <w:sz w:val="14"/>
          <w:szCs w:val="14"/>
          <w:color w:val="7CBD3F"/>
        </w:rPr>
      </w:pPr>
    </w:p>
    <w:p>
      <w:pPr>
        <w:ind w:left="147" w:hanging="147"/>
        <w:spacing w:after="0"/>
        <w:tabs>
          <w:tab w:leader="none" w:pos="147" w:val="left"/>
        </w:tabs>
        <w:numPr>
          <w:ilvl w:val="0"/>
          <w:numId w:val="36"/>
        </w:numPr>
        <w:rPr>
          <w:rFonts w:ascii="Arial" w:cs="Arial" w:eastAsia="Arial" w:hAnsi="Arial"/>
          <w:sz w:val="14"/>
          <w:szCs w:val="14"/>
          <w:color w:val="7CBD3F"/>
        </w:rPr>
      </w:pPr>
      <w:r>
        <w:rPr>
          <w:rFonts w:ascii="Arial" w:cs="Arial" w:eastAsia="Arial" w:hAnsi="Arial"/>
          <w:sz w:val="14"/>
          <w:szCs w:val="14"/>
          <w:color w:val="auto"/>
        </w:rPr>
        <w:t>a relocation of his principal place of employment by more than 50 miles.</w:t>
      </w:r>
    </w:p>
    <w:p>
      <w:pPr>
        <w:spacing w:after="0" w:line="165" w:lineRule="exact"/>
        <w:rPr>
          <w:sz w:val="20"/>
          <w:szCs w:val="20"/>
          <w:color w:val="auto"/>
        </w:rPr>
      </w:pPr>
    </w:p>
    <w:p>
      <w:pPr>
        <w:ind w:left="7" w:right="20"/>
        <w:spacing w:after="0" w:line="278" w:lineRule="auto"/>
        <w:rPr>
          <w:sz w:val="20"/>
          <w:szCs w:val="20"/>
          <w:color w:val="auto"/>
        </w:rPr>
      </w:pPr>
      <w:r>
        <w:rPr>
          <w:rFonts w:ascii="Arial" w:cs="Arial" w:eastAsia="Arial" w:hAnsi="Arial"/>
          <w:sz w:val="14"/>
          <w:szCs w:val="14"/>
          <w:color w:val="auto"/>
        </w:rPr>
        <w:t>For purposes of each of the offer letters with Mr. Horn, Mr. Harris, Dr. Crombez and Mr. Pinion, “constructive termination” means the occurrence of any of the following events without the named executive officer’s consent, subject to standard notice and cure requirements:</w:t>
      </w:r>
    </w:p>
    <w:p>
      <w:pPr>
        <w:spacing w:after="0" w:line="117" w:lineRule="exact"/>
        <w:rPr>
          <w:sz w:val="20"/>
          <w:szCs w:val="20"/>
          <w:color w:val="auto"/>
        </w:rPr>
      </w:pPr>
    </w:p>
    <w:p>
      <w:pPr>
        <w:ind w:left="147" w:hanging="147"/>
        <w:spacing w:after="0" w:line="278" w:lineRule="auto"/>
        <w:tabs>
          <w:tab w:leader="none" w:pos="147" w:val="left"/>
        </w:tabs>
        <w:numPr>
          <w:ilvl w:val="0"/>
          <w:numId w:val="37"/>
        </w:numPr>
        <w:rPr>
          <w:rFonts w:ascii="Arial" w:cs="Arial" w:eastAsia="Arial" w:hAnsi="Arial"/>
          <w:sz w:val="14"/>
          <w:szCs w:val="14"/>
          <w:color w:val="7CBD3F"/>
        </w:rPr>
      </w:pPr>
      <w:r>
        <w:rPr>
          <w:rFonts w:ascii="Arial" w:cs="Arial" w:eastAsia="Arial" w:hAnsi="Arial"/>
          <w:sz w:val="14"/>
          <w:szCs w:val="14"/>
          <w:color w:val="auto"/>
        </w:rPr>
        <w:t>a material reduction or change in the executive’s job duties, responsibilities and requirements from the executive’s job duties, responsibilities and requirements immediately prior to such reduction or change, taking into account the differences in job title and duties that are normally occasioned by reason of an acquisition of one company by another;</w:t>
      </w:r>
    </w:p>
    <w:p>
      <w:pPr>
        <w:spacing w:after="0" w:line="23" w:lineRule="exact"/>
        <w:rPr>
          <w:rFonts w:ascii="Arial" w:cs="Arial" w:eastAsia="Arial" w:hAnsi="Arial"/>
          <w:sz w:val="14"/>
          <w:szCs w:val="14"/>
          <w:color w:val="7CBD3F"/>
        </w:rPr>
      </w:pPr>
    </w:p>
    <w:p>
      <w:pPr>
        <w:ind w:left="147" w:hanging="147"/>
        <w:spacing w:after="0" w:line="278" w:lineRule="auto"/>
        <w:tabs>
          <w:tab w:leader="none" w:pos="147" w:val="left"/>
        </w:tabs>
        <w:numPr>
          <w:ilvl w:val="0"/>
          <w:numId w:val="37"/>
        </w:numPr>
        <w:rPr>
          <w:rFonts w:ascii="Arial" w:cs="Arial" w:eastAsia="Arial" w:hAnsi="Arial"/>
          <w:sz w:val="14"/>
          <w:szCs w:val="14"/>
          <w:color w:val="7CBD3F"/>
        </w:rPr>
      </w:pPr>
      <w:r>
        <w:rPr>
          <w:rFonts w:ascii="Arial" w:cs="Arial" w:eastAsia="Arial" w:hAnsi="Arial"/>
          <w:sz w:val="14"/>
          <w:szCs w:val="14"/>
          <w:color w:val="auto"/>
        </w:rPr>
        <w:t>a material reduction of the executive’s base salary (other than an equal, across-the-board reduction in the compensation of all similarly-situated employees of ours or the surviving entity that is approved by the Board); or</w:t>
      </w:r>
    </w:p>
    <w:p>
      <w:pPr>
        <w:spacing w:after="0" w:line="23" w:lineRule="exact"/>
        <w:rPr>
          <w:rFonts w:ascii="Arial" w:cs="Arial" w:eastAsia="Arial" w:hAnsi="Arial"/>
          <w:sz w:val="14"/>
          <w:szCs w:val="14"/>
          <w:color w:val="7CBD3F"/>
        </w:rPr>
      </w:pPr>
    </w:p>
    <w:p>
      <w:pPr>
        <w:ind w:left="147" w:right="20" w:hanging="147"/>
        <w:spacing w:after="0" w:line="278" w:lineRule="auto"/>
        <w:tabs>
          <w:tab w:leader="none" w:pos="147" w:val="left"/>
        </w:tabs>
        <w:numPr>
          <w:ilvl w:val="0"/>
          <w:numId w:val="37"/>
        </w:numPr>
        <w:rPr>
          <w:rFonts w:ascii="Arial" w:cs="Arial" w:eastAsia="Arial" w:hAnsi="Arial"/>
          <w:sz w:val="14"/>
          <w:szCs w:val="14"/>
          <w:color w:val="7CBD3F"/>
        </w:rPr>
      </w:pPr>
      <w:r>
        <w:rPr>
          <w:rFonts w:ascii="Arial" w:cs="Arial" w:eastAsia="Arial" w:hAnsi="Arial"/>
          <w:sz w:val="14"/>
          <w:szCs w:val="14"/>
          <w:color w:val="auto"/>
        </w:rPr>
        <w:t>a requirement that the executive relocate to a principal office that increases his or her one-way commute by more than 50 miles relative to the executive’s immediately preceding principal office.</w:t>
      </w:r>
    </w:p>
    <w:p>
      <w:pPr>
        <w:spacing w:after="0" w:line="128"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221E1F"/>
        </w:rPr>
        <w:t xml:space="preserve">ULTRAGENYX PHARMACEUTICAL INC. </w:t>
      </w:r>
      <w:r>
        <w:rPr>
          <w:rFonts w:ascii="Arial" w:cs="Arial" w:eastAsia="Arial" w:hAnsi="Arial"/>
          <w:sz w:val="14"/>
          <w:szCs w:val="14"/>
          <w:color w:val="7BBD3E"/>
        </w:rPr>
        <w:t>•</w:t>
      </w:r>
      <w:r>
        <w:rPr>
          <w:rFonts w:ascii="Arial" w:cs="Arial" w:eastAsia="Arial" w:hAnsi="Arial"/>
          <w:sz w:val="14"/>
          <w:szCs w:val="14"/>
          <w:b w:val="1"/>
          <w:bCs w:val="1"/>
          <w:color w:val="221E1F"/>
        </w:rPr>
        <w:t xml:space="preserve"> </w:t>
      </w:r>
      <w:r>
        <w:rPr>
          <w:rFonts w:ascii="Arial" w:cs="Arial" w:eastAsia="Arial" w:hAnsi="Arial"/>
          <w:sz w:val="14"/>
          <w:szCs w:val="14"/>
          <w:color w:val="221E1F"/>
        </w:rPr>
        <w:t>2025 Proxy Statement</w:t>
      </w:r>
      <w:r>
        <w:rPr>
          <w:rFonts w:ascii="Arial" w:cs="Arial" w:eastAsia="Arial" w:hAnsi="Arial"/>
          <w:sz w:val="14"/>
          <w:szCs w:val="14"/>
          <w:b w:val="1"/>
          <w:bCs w:val="1"/>
          <w:color w:val="221E1F"/>
        </w:rPr>
        <w:tab/>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150735"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0735" cy="29845"/>
                    </a:xfrm>
                    <a:prstGeom prst="rect">
                      <a:avLst/>
                    </a:prstGeom>
                    <a:noFill/>
                  </pic:spPr>
                </pic:pic>
              </a:graphicData>
            </a:graphic>
          </wp:anchor>
        </w:drawing>
      </w:r>
    </w:p>
    <w:p>
      <w:pPr>
        <w:sectPr>
          <w:pgSz w:w="11900" w:h="16838" w:orient="portrait"/>
          <w:cols w:equalWidth="0" w:num="1">
            <w:col w:w="11267"/>
          </w:cols>
          <w:pgMar w:left="313" w:top="225" w:right="319" w:bottom="1440" w:gutter="0" w:footer="0" w:header="0"/>
        </w:sectPr>
      </w:pPr>
    </w:p>
    <w:bookmarkStart w:id="56" w:name="page57"/>
    <w:bookmarkEnd w:id="56"/>
    <w:p>
      <w:pPr>
        <w:ind w:left="7"/>
        <w:spacing w:after="0"/>
        <w:rPr>
          <w:sz w:val="20"/>
          <w:szCs w:val="20"/>
          <w:color w:val="auto"/>
        </w:rPr>
      </w:pPr>
      <w:r>
        <w:rPr>
          <w:rFonts w:ascii="Arial" w:cs="Arial" w:eastAsia="Arial" w:hAnsi="Arial"/>
          <w:sz w:val="12"/>
          <w:szCs w:val="12"/>
          <w:b w:val="1"/>
          <w:bCs w:val="1"/>
          <w:u w:val="single" w:color="auto"/>
          <w:color w:val="0000EE"/>
        </w:rPr>
        <w:t>Back to Contents</w:t>
      </w:r>
    </w:p>
    <w:p>
      <w:pPr>
        <w:spacing w:after="0" w:line="141" w:lineRule="exact"/>
        <w:rPr>
          <w:sz w:val="20"/>
          <w:szCs w:val="20"/>
          <w:color w:val="auto"/>
        </w:rPr>
      </w:pPr>
    </w:p>
    <w:p>
      <w:pPr>
        <w:ind w:left="7"/>
        <w:spacing w:after="0"/>
        <w:rPr>
          <w:sz w:val="20"/>
          <w:szCs w:val="20"/>
          <w:color w:val="auto"/>
        </w:rPr>
      </w:pPr>
      <w:r>
        <w:rPr>
          <w:rFonts w:ascii="Arial" w:cs="Arial" w:eastAsia="Arial" w:hAnsi="Arial"/>
          <w:sz w:val="22"/>
          <w:szCs w:val="22"/>
          <w:b w:val="1"/>
          <w:bCs w:val="1"/>
          <w:color w:val="auto"/>
        </w:rPr>
        <w:t>Grants of Plan-Based Awards</w:t>
      </w:r>
    </w:p>
    <w:p>
      <w:pPr>
        <w:spacing w:after="0" w:line="222" w:lineRule="exact"/>
        <w:rPr>
          <w:sz w:val="20"/>
          <w:szCs w:val="20"/>
          <w:color w:val="auto"/>
        </w:rPr>
      </w:pPr>
    </w:p>
    <w:p>
      <w:pPr>
        <w:ind w:left="7"/>
        <w:spacing w:after="0"/>
        <w:rPr>
          <w:sz w:val="20"/>
          <w:szCs w:val="20"/>
          <w:color w:val="auto"/>
        </w:rPr>
      </w:pPr>
      <w:r>
        <w:rPr>
          <w:rFonts w:ascii="Arial" w:cs="Arial" w:eastAsia="Arial" w:hAnsi="Arial"/>
          <w:sz w:val="14"/>
          <w:szCs w:val="14"/>
          <w:color w:val="auto"/>
        </w:rPr>
        <w:t>The following table sets forth certain information regarding grants of plan-based awards to the named executive officers during fiscal 2024.</w:t>
      </w:r>
    </w:p>
    <w:p>
      <w:pPr>
        <w:spacing w:after="0" w:line="165" w:lineRule="exact"/>
        <w:rPr>
          <w:sz w:val="20"/>
          <w:szCs w:val="20"/>
          <w:color w:val="auto"/>
        </w:rPr>
      </w:pPr>
    </w:p>
    <w:tbl>
      <w:tblPr>
        <w:tblLayout w:type="fixed"/>
        <w:tblInd w:w="7" w:type="dxa"/>
        <w:tblCellMar>
          <w:top w:w="0" w:type="dxa"/>
          <w:left w:w="0" w:type="dxa"/>
          <w:bottom w:w="0" w:type="dxa"/>
          <w:right w:w="0" w:type="dxa"/>
        </w:tblCellMar>
      </w:tblPr>
      <w:tr>
        <w:trPr>
          <w:trHeight w:val="163"/>
        </w:trPr>
        <w:tc>
          <w:tcPr>
            <w:tcW w:w="1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50"/>
              <w:spacing w:after="0"/>
              <w:rPr>
                <w:sz w:val="20"/>
                <w:szCs w:val="20"/>
                <w:color w:val="auto"/>
              </w:rPr>
            </w:pPr>
            <w:r>
              <w:rPr>
                <w:rFonts w:ascii="Arial" w:cs="Arial" w:eastAsia="Arial" w:hAnsi="Arial"/>
                <w:sz w:val="14"/>
                <w:szCs w:val="14"/>
                <w:b w:val="1"/>
                <w:bCs w:val="1"/>
                <w:color w:val="auto"/>
              </w:rPr>
              <w:t>Stock</w:t>
            </w:r>
          </w:p>
        </w:tc>
        <w:tc>
          <w:tcPr>
            <w:tcW w:w="900" w:type="dxa"/>
            <w:vAlign w:val="bottom"/>
          </w:tcPr>
          <w:p>
            <w:pPr>
              <w:jc w:val="right"/>
              <w:ind w:right="50"/>
              <w:spacing w:after="0"/>
              <w:rPr>
                <w:sz w:val="20"/>
                <w:szCs w:val="20"/>
                <w:color w:val="auto"/>
              </w:rPr>
            </w:pPr>
            <w:r>
              <w:rPr>
                <w:rFonts w:ascii="Arial" w:cs="Arial" w:eastAsia="Arial" w:hAnsi="Arial"/>
                <w:sz w:val="14"/>
                <w:szCs w:val="14"/>
                <w:b w:val="1"/>
                <w:bCs w:val="1"/>
                <w:color w:val="auto"/>
              </w:rPr>
              <w:t>Option</w:t>
            </w: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50"/>
              <w:spacing w:after="0"/>
              <w:rPr>
                <w:sz w:val="20"/>
                <w:szCs w:val="20"/>
                <w:color w:val="auto"/>
              </w:rPr>
            </w:pPr>
            <w:r>
              <w:rPr>
                <w:rFonts w:ascii="Arial" w:cs="Arial" w:eastAsia="Arial" w:hAnsi="Arial"/>
                <w:sz w:val="14"/>
                <w:szCs w:val="14"/>
                <w:b w:val="1"/>
                <w:bCs w:val="1"/>
                <w:color w:val="auto"/>
              </w:rPr>
              <w:t>Awards:</w:t>
            </w:r>
          </w:p>
        </w:tc>
        <w:tc>
          <w:tcPr>
            <w:tcW w:w="900" w:type="dxa"/>
            <w:vAlign w:val="bottom"/>
          </w:tcPr>
          <w:p>
            <w:pPr>
              <w:jc w:val="right"/>
              <w:ind w:right="50"/>
              <w:spacing w:after="0"/>
              <w:rPr>
                <w:sz w:val="20"/>
                <w:szCs w:val="20"/>
                <w:color w:val="auto"/>
              </w:rPr>
            </w:pPr>
            <w:r>
              <w:rPr>
                <w:rFonts w:ascii="Arial" w:cs="Arial" w:eastAsia="Arial" w:hAnsi="Arial"/>
                <w:sz w:val="14"/>
                <w:szCs w:val="14"/>
                <w:b w:val="1"/>
                <w:bCs w:val="1"/>
                <w:color w:val="auto"/>
              </w:rPr>
              <w:t>Awards:</w:t>
            </w: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20" w:type="dxa"/>
            <w:vAlign w:val="bottom"/>
            <w:gridSpan w:val="4"/>
            <w:vMerge w:val="restart"/>
          </w:tcPr>
          <w:p>
            <w:pPr>
              <w:jc w:val="center"/>
              <w:ind w:right="220"/>
              <w:spacing w:after="0"/>
              <w:rPr>
                <w:sz w:val="20"/>
                <w:szCs w:val="20"/>
                <w:color w:val="auto"/>
              </w:rPr>
            </w:pPr>
            <w:r>
              <w:rPr>
                <w:rFonts w:ascii="Arial" w:cs="Arial" w:eastAsia="Arial" w:hAnsi="Arial"/>
                <w:sz w:val="14"/>
                <w:szCs w:val="14"/>
                <w:b w:val="1"/>
                <w:bCs w:val="1"/>
                <w:color w:val="auto"/>
                <w:w w:val="99"/>
              </w:rPr>
              <w:t>Estimated Future Payouts Under</w:t>
            </w:r>
          </w:p>
        </w:tc>
        <w:tc>
          <w:tcPr>
            <w:tcW w:w="2480" w:type="dxa"/>
            <w:vAlign w:val="bottom"/>
            <w:gridSpan w:val="4"/>
            <w:vMerge w:val="restart"/>
          </w:tcPr>
          <w:p>
            <w:pPr>
              <w:jc w:val="right"/>
              <w:ind w:right="220"/>
              <w:spacing w:after="0"/>
              <w:rPr>
                <w:sz w:val="20"/>
                <w:szCs w:val="20"/>
                <w:color w:val="auto"/>
              </w:rPr>
            </w:pPr>
            <w:r>
              <w:rPr>
                <w:rFonts w:ascii="Arial" w:cs="Arial" w:eastAsia="Arial" w:hAnsi="Arial"/>
                <w:sz w:val="14"/>
                <w:szCs w:val="14"/>
                <w:b w:val="1"/>
                <w:bCs w:val="1"/>
                <w:color w:val="auto"/>
              </w:rPr>
              <w:t>Estimated Future Payouts Under</w:t>
            </w:r>
          </w:p>
        </w:tc>
        <w:tc>
          <w:tcPr>
            <w:tcW w:w="840" w:type="dxa"/>
            <w:vAlign w:val="bottom"/>
          </w:tcPr>
          <w:p>
            <w:pPr>
              <w:jc w:val="right"/>
              <w:ind w:right="10"/>
              <w:spacing w:after="0"/>
              <w:rPr>
                <w:sz w:val="20"/>
                <w:szCs w:val="20"/>
                <w:color w:val="auto"/>
              </w:rPr>
            </w:pPr>
            <w:r>
              <w:rPr>
                <w:rFonts w:ascii="Arial" w:cs="Arial" w:eastAsia="Arial" w:hAnsi="Arial"/>
                <w:sz w:val="14"/>
                <w:szCs w:val="14"/>
                <w:b w:val="1"/>
                <w:bCs w:val="1"/>
                <w:color w:val="auto"/>
              </w:rPr>
              <w:t>Number</w:t>
            </w:r>
          </w:p>
        </w:tc>
        <w:tc>
          <w:tcPr>
            <w:tcW w:w="900" w:type="dxa"/>
            <w:vAlign w:val="bottom"/>
          </w:tcPr>
          <w:p>
            <w:pPr>
              <w:jc w:val="right"/>
              <w:ind w:right="50"/>
              <w:spacing w:after="0"/>
              <w:rPr>
                <w:sz w:val="20"/>
                <w:szCs w:val="20"/>
                <w:color w:val="auto"/>
              </w:rPr>
            </w:pPr>
            <w:r>
              <w:rPr>
                <w:rFonts w:ascii="Arial" w:cs="Arial" w:eastAsia="Arial" w:hAnsi="Arial"/>
                <w:sz w:val="14"/>
                <w:szCs w:val="14"/>
                <w:b w:val="1"/>
                <w:bCs w:val="1"/>
                <w:color w:val="auto"/>
              </w:rPr>
              <w:t>Number of</w:t>
            </w:r>
          </w:p>
        </w:tc>
        <w:tc>
          <w:tcPr>
            <w:tcW w:w="800" w:type="dxa"/>
            <w:vAlign w:val="bottom"/>
          </w:tcPr>
          <w:p>
            <w:pPr>
              <w:spacing w:after="0"/>
              <w:rPr>
                <w:sz w:val="14"/>
                <w:szCs w:val="14"/>
                <w:color w:val="auto"/>
              </w:rPr>
            </w:pPr>
          </w:p>
        </w:tc>
        <w:tc>
          <w:tcPr>
            <w:tcW w:w="880" w:type="dxa"/>
            <w:vAlign w:val="bottom"/>
          </w:tcPr>
          <w:p>
            <w:pPr>
              <w:jc w:val="right"/>
              <w:ind w:right="30"/>
              <w:spacing w:after="0"/>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41"/>
        </w:trPr>
        <w:tc>
          <w:tcPr>
            <w:tcW w:w="17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20" w:type="dxa"/>
            <w:vAlign w:val="bottom"/>
            <w:gridSpan w:val="4"/>
            <w:vMerge w:val="continue"/>
          </w:tcPr>
          <w:p>
            <w:pPr>
              <w:spacing w:after="0"/>
              <w:rPr>
                <w:sz w:val="12"/>
                <w:szCs w:val="12"/>
                <w:color w:val="auto"/>
              </w:rPr>
            </w:pPr>
          </w:p>
        </w:tc>
        <w:tc>
          <w:tcPr>
            <w:tcW w:w="2480" w:type="dxa"/>
            <w:vAlign w:val="bottom"/>
            <w:gridSpan w:val="4"/>
            <w:vMerge w:val="continue"/>
          </w:tcPr>
          <w:p>
            <w:pPr>
              <w:spacing w:after="0"/>
              <w:rPr>
                <w:sz w:val="12"/>
                <w:szCs w:val="12"/>
                <w:color w:val="auto"/>
              </w:rPr>
            </w:pPr>
          </w:p>
        </w:tc>
        <w:tc>
          <w:tcPr>
            <w:tcW w:w="840" w:type="dxa"/>
            <w:vAlign w:val="bottom"/>
          </w:tcPr>
          <w:p>
            <w:pPr>
              <w:jc w:val="right"/>
              <w:ind w:right="50"/>
              <w:spacing w:after="0" w:line="141" w:lineRule="exact"/>
              <w:rPr>
                <w:sz w:val="20"/>
                <w:szCs w:val="20"/>
                <w:color w:val="auto"/>
              </w:rPr>
            </w:pPr>
            <w:r>
              <w:rPr>
                <w:rFonts w:ascii="Arial" w:cs="Arial" w:eastAsia="Arial" w:hAnsi="Arial"/>
                <w:sz w:val="14"/>
                <w:szCs w:val="14"/>
                <w:b w:val="1"/>
                <w:bCs w:val="1"/>
                <w:color w:val="auto"/>
              </w:rPr>
              <w:t>of Shares</w:t>
            </w:r>
          </w:p>
        </w:tc>
        <w:tc>
          <w:tcPr>
            <w:tcW w:w="900" w:type="dxa"/>
            <w:vAlign w:val="bottom"/>
          </w:tcPr>
          <w:p>
            <w:pPr>
              <w:jc w:val="right"/>
              <w:ind w:right="50"/>
              <w:spacing w:after="0" w:line="141" w:lineRule="exact"/>
              <w:rPr>
                <w:sz w:val="20"/>
                <w:szCs w:val="20"/>
                <w:color w:val="auto"/>
              </w:rPr>
            </w:pPr>
            <w:r>
              <w:rPr>
                <w:rFonts w:ascii="Arial" w:cs="Arial" w:eastAsia="Arial" w:hAnsi="Arial"/>
                <w:sz w:val="14"/>
                <w:szCs w:val="14"/>
                <w:b w:val="1"/>
                <w:bCs w:val="1"/>
                <w:color w:val="auto"/>
              </w:rPr>
              <w:t>Securities</w:t>
            </w:r>
          </w:p>
        </w:tc>
        <w:tc>
          <w:tcPr>
            <w:tcW w:w="800" w:type="dxa"/>
            <w:vAlign w:val="bottom"/>
          </w:tcPr>
          <w:p>
            <w:pPr>
              <w:jc w:val="right"/>
              <w:ind w:right="70"/>
              <w:spacing w:after="0" w:line="141" w:lineRule="exact"/>
              <w:rPr>
                <w:sz w:val="20"/>
                <w:szCs w:val="20"/>
                <w:color w:val="auto"/>
              </w:rPr>
            </w:pPr>
            <w:r>
              <w:rPr>
                <w:rFonts w:ascii="Arial" w:cs="Arial" w:eastAsia="Arial" w:hAnsi="Arial"/>
                <w:sz w:val="14"/>
                <w:szCs w:val="14"/>
                <w:b w:val="1"/>
                <w:bCs w:val="1"/>
                <w:color w:val="auto"/>
              </w:rPr>
              <w:t>Exercise</w:t>
            </w:r>
          </w:p>
        </w:tc>
        <w:tc>
          <w:tcPr>
            <w:tcW w:w="880" w:type="dxa"/>
            <w:vAlign w:val="bottom"/>
          </w:tcPr>
          <w:p>
            <w:pPr>
              <w:jc w:val="right"/>
              <w:ind w:right="30"/>
              <w:spacing w:after="0" w:line="141" w:lineRule="exact"/>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0"/>
        </w:trPr>
        <w:tc>
          <w:tcPr>
            <w:tcW w:w="17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20" w:type="dxa"/>
            <w:vAlign w:val="bottom"/>
            <w:gridSpan w:val="4"/>
          </w:tcPr>
          <w:p>
            <w:pPr>
              <w:jc w:val="center"/>
              <w:ind w:right="180"/>
              <w:spacing w:after="0" w:line="187" w:lineRule="exact"/>
              <w:rPr>
                <w:sz w:val="20"/>
                <w:szCs w:val="20"/>
                <w:color w:val="auto"/>
              </w:rPr>
            </w:pPr>
            <w:r>
              <w:rPr>
                <w:rFonts w:ascii="Arial" w:cs="Arial" w:eastAsia="Arial" w:hAnsi="Arial"/>
                <w:sz w:val="13"/>
                <w:szCs w:val="13"/>
                <w:b w:val="1"/>
                <w:bCs w:val="1"/>
                <w:color w:val="auto"/>
              </w:rPr>
              <w:t>Non-Equity Incentive Plan Awards</w:t>
            </w:r>
            <w:r>
              <w:rPr>
                <w:rFonts w:ascii="Arial" w:cs="Arial" w:eastAsia="Arial" w:hAnsi="Arial"/>
                <w:sz w:val="21"/>
                <w:szCs w:val="21"/>
                <w:b w:val="1"/>
                <w:bCs w:val="1"/>
                <w:color w:val="auto"/>
                <w:vertAlign w:val="superscript"/>
              </w:rPr>
              <w:t>(1)</w:t>
            </w:r>
          </w:p>
        </w:tc>
        <w:tc>
          <w:tcPr>
            <w:tcW w:w="2480" w:type="dxa"/>
            <w:vAlign w:val="bottom"/>
            <w:gridSpan w:val="4"/>
          </w:tcPr>
          <w:p>
            <w:pPr>
              <w:jc w:val="right"/>
              <w:ind w:right="240"/>
              <w:spacing w:after="0" w:line="187" w:lineRule="exact"/>
              <w:rPr>
                <w:sz w:val="20"/>
                <w:szCs w:val="20"/>
                <w:color w:val="auto"/>
              </w:rPr>
            </w:pPr>
            <w:r>
              <w:rPr>
                <w:rFonts w:ascii="Arial" w:cs="Arial" w:eastAsia="Arial" w:hAnsi="Arial"/>
                <w:sz w:val="13"/>
                <w:szCs w:val="13"/>
                <w:b w:val="1"/>
                <w:bCs w:val="1"/>
                <w:color w:val="auto"/>
              </w:rPr>
              <w:t>Equity Incentive Plan Awards</w:t>
            </w:r>
            <w:r>
              <w:rPr>
                <w:rFonts w:ascii="Arial" w:cs="Arial" w:eastAsia="Arial" w:hAnsi="Arial"/>
                <w:sz w:val="21"/>
                <w:szCs w:val="21"/>
                <w:b w:val="1"/>
                <w:bCs w:val="1"/>
                <w:color w:val="auto"/>
                <w:vertAlign w:val="superscript"/>
              </w:rPr>
              <w:t>(2)</w:t>
            </w:r>
          </w:p>
        </w:tc>
        <w:tc>
          <w:tcPr>
            <w:tcW w:w="840" w:type="dxa"/>
            <w:vAlign w:val="bottom"/>
          </w:tcPr>
          <w:p>
            <w:pPr>
              <w:jc w:val="right"/>
              <w:ind w:right="10"/>
              <w:spacing w:after="0"/>
              <w:rPr>
                <w:sz w:val="20"/>
                <w:szCs w:val="20"/>
                <w:color w:val="auto"/>
              </w:rPr>
            </w:pPr>
            <w:r>
              <w:rPr>
                <w:rFonts w:ascii="Arial" w:cs="Arial" w:eastAsia="Arial" w:hAnsi="Arial"/>
                <w:sz w:val="14"/>
                <w:szCs w:val="14"/>
                <w:b w:val="1"/>
                <w:bCs w:val="1"/>
                <w:color w:val="auto"/>
              </w:rPr>
              <w:t>of Stock</w:t>
            </w:r>
          </w:p>
        </w:tc>
        <w:tc>
          <w:tcPr>
            <w:tcW w:w="900" w:type="dxa"/>
            <w:vAlign w:val="bottom"/>
          </w:tcPr>
          <w:p>
            <w:pPr>
              <w:jc w:val="right"/>
              <w:ind w:right="10"/>
              <w:spacing w:after="0"/>
              <w:rPr>
                <w:sz w:val="20"/>
                <w:szCs w:val="20"/>
                <w:color w:val="auto"/>
              </w:rPr>
            </w:pPr>
            <w:r>
              <w:rPr>
                <w:rFonts w:ascii="Arial" w:cs="Arial" w:eastAsia="Arial" w:hAnsi="Arial"/>
                <w:sz w:val="14"/>
                <w:szCs w:val="14"/>
                <w:b w:val="1"/>
                <w:bCs w:val="1"/>
                <w:color w:val="auto"/>
              </w:rPr>
              <w:t>Underlying</w:t>
            </w:r>
          </w:p>
        </w:tc>
        <w:tc>
          <w:tcPr>
            <w:tcW w:w="800" w:type="dxa"/>
            <w:vAlign w:val="bottom"/>
          </w:tcPr>
          <w:p>
            <w:pPr>
              <w:jc w:val="right"/>
              <w:ind w:right="30"/>
              <w:spacing w:after="0"/>
              <w:rPr>
                <w:sz w:val="20"/>
                <w:szCs w:val="20"/>
                <w:color w:val="auto"/>
              </w:rPr>
            </w:pPr>
            <w:r>
              <w:rPr>
                <w:rFonts w:ascii="Arial" w:cs="Arial" w:eastAsia="Arial" w:hAnsi="Arial"/>
                <w:sz w:val="14"/>
                <w:szCs w:val="14"/>
                <w:b w:val="1"/>
                <w:bCs w:val="1"/>
                <w:color w:val="auto"/>
              </w:rPr>
              <w:t>Price of</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of Stock</w:t>
            </w:r>
          </w:p>
        </w:tc>
        <w:tc>
          <w:tcPr>
            <w:tcW w:w="0" w:type="dxa"/>
            <w:vAlign w:val="bottom"/>
          </w:tcPr>
          <w:p>
            <w:pPr>
              <w:spacing w:after="0"/>
              <w:rPr>
                <w:sz w:val="1"/>
                <w:szCs w:val="1"/>
                <w:color w:val="auto"/>
              </w:rPr>
            </w:pPr>
          </w:p>
        </w:tc>
      </w:tr>
      <w:tr>
        <w:trPr>
          <w:trHeight w:val="152"/>
        </w:trPr>
        <w:tc>
          <w:tcPr>
            <w:tcW w:w="17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60" w:type="dxa"/>
            <w:vAlign w:val="bottom"/>
            <w:tcBorders>
              <w:top w:val="single" w:sz="8" w:color="7CBD3F"/>
            </w:tcBorders>
          </w:tcPr>
          <w:p>
            <w:pPr>
              <w:spacing w:after="0"/>
              <w:rPr>
                <w:sz w:val="13"/>
                <w:szCs w:val="13"/>
                <w:color w:val="auto"/>
              </w:rPr>
            </w:pPr>
          </w:p>
        </w:tc>
        <w:tc>
          <w:tcPr>
            <w:tcW w:w="820" w:type="dxa"/>
            <w:vAlign w:val="bottom"/>
            <w:tcBorders>
              <w:top w:val="single" w:sz="8" w:color="7CBD3F"/>
            </w:tcBorders>
          </w:tcPr>
          <w:p>
            <w:pPr>
              <w:spacing w:after="0"/>
              <w:rPr>
                <w:sz w:val="13"/>
                <w:szCs w:val="13"/>
                <w:color w:val="auto"/>
              </w:rPr>
            </w:pPr>
          </w:p>
        </w:tc>
        <w:tc>
          <w:tcPr>
            <w:tcW w:w="780" w:type="dxa"/>
            <w:vAlign w:val="bottom"/>
            <w:tcBorders>
              <w:top w:val="single" w:sz="8" w:color="7CBD3F"/>
            </w:tcBorders>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Borders>
              <w:top w:val="single" w:sz="8" w:color="7CBD3F"/>
            </w:tcBorders>
          </w:tcPr>
          <w:p>
            <w:pPr>
              <w:spacing w:after="0"/>
              <w:rPr>
                <w:sz w:val="13"/>
                <w:szCs w:val="13"/>
                <w:color w:val="auto"/>
              </w:rPr>
            </w:pPr>
          </w:p>
        </w:tc>
        <w:tc>
          <w:tcPr>
            <w:tcW w:w="780" w:type="dxa"/>
            <w:vAlign w:val="bottom"/>
            <w:tcBorders>
              <w:top w:val="single" w:sz="8" w:color="7CBD3F"/>
            </w:tcBorders>
          </w:tcPr>
          <w:p>
            <w:pPr>
              <w:spacing w:after="0"/>
              <w:rPr>
                <w:sz w:val="13"/>
                <w:szCs w:val="13"/>
                <w:color w:val="auto"/>
              </w:rPr>
            </w:pPr>
          </w:p>
        </w:tc>
        <w:tc>
          <w:tcPr>
            <w:tcW w:w="760" w:type="dxa"/>
            <w:vAlign w:val="bottom"/>
            <w:tcBorders>
              <w:top w:val="single" w:sz="8" w:color="7CBD3F"/>
            </w:tcBorders>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ind w:right="50"/>
              <w:spacing w:after="0" w:line="151" w:lineRule="exact"/>
              <w:rPr>
                <w:sz w:val="20"/>
                <w:szCs w:val="20"/>
                <w:color w:val="auto"/>
              </w:rPr>
            </w:pPr>
            <w:r>
              <w:rPr>
                <w:rFonts w:ascii="Arial" w:cs="Arial" w:eastAsia="Arial" w:hAnsi="Arial"/>
                <w:sz w:val="14"/>
                <w:szCs w:val="14"/>
                <w:b w:val="1"/>
                <w:bCs w:val="1"/>
                <w:color w:val="auto"/>
              </w:rPr>
              <w:t>or Units</w:t>
            </w:r>
          </w:p>
        </w:tc>
        <w:tc>
          <w:tcPr>
            <w:tcW w:w="900" w:type="dxa"/>
            <w:vAlign w:val="bottom"/>
          </w:tcPr>
          <w:p>
            <w:pPr>
              <w:jc w:val="right"/>
              <w:ind w:right="50"/>
              <w:spacing w:after="0" w:line="151" w:lineRule="exact"/>
              <w:rPr>
                <w:sz w:val="20"/>
                <w:szCs w:val="20"/>
                <w:color w:val="auto"/>
              </w:rPr>
            </w:pPr>
            <w:r>
              <w:rPr>
                <w:rFonts w:ascii="Arial" w:cs="Arial" w:eastAsia="Arial" w:hAnsi="Arial"/>
                <w:sz w:val="14"/>
                <w:szCs w:val="14"/>
                <w:b w:val="1"/>
                <w:bCs w:val="1"/>
                <w:color w:val="auto"/>
              </w:rPr>
              <w:t>Options</w:t>
            </w:r>
          </w:p>
        </w:tc>
        <w:tc>
          <w:tcPr>
            <w:tcW w:w="800" w:type="dxa"/>
            <w:vAlign w:val="bottom"/>
          </w:tcPr>
          <w:p>
            <w:pPr>
              <w:jc w:val="right"/>
              <w:ind w:right="70"/>
              <w:spacing w:after="0" w:line="151" w:lineRule="exact"/>
              <w:rPr>
                <w:sz w:val="20"/>
                <w:szCs w:val="20"/>
                <w:color w:val="auto"/>
              </w:rPr>
            </w:pPr>
            <w:r>
              <w:rPr>
                <w:rFonts w:ascii="Arial" w:cs="Arial" w:eastAsia="Arial" w:hAnsi="Arial"/>
                <w:sz w:val="14"/>
                <w:szCs w:val="14"/>
                <w:b w:val="1"/>
                <w:bCs w:val="1"/>
                <w:color w:val="auto"/>
              </w:rPr>
              <w:t>Option</w:t>
            </w:r>
          </w:p>
        </w:tc>
        <w:tc>
          <w:tcPr>
            <w:tcW w:w="880" w:type="dxa"/>
            <w:vAlign w:val="bottom"/>
          </w:tcPr>
          <w:p>
            <w:pPr>
              <w:jc w:val="right"/>
              <w:spacing w:after="0" w:line="151" w:lineRule="exact"/>
              <w:rPr>
                <w:sz w:val="20"/>
                <w:szCs w:val="20"/>
                <w:color w:val="auto"/>
              </w:rPr>
            </w:pPr>
            <w:r>
              <w:rPr>
                <w:rFonts w:ascii="Arial" w:cs="Arial" w:eastAsia="Arial" w:hAnsi="Arial"/>
                <w:sz w:val="14"/>
                <w:szCs w:val="14"/>
                <w:b w:val="1"/>
                <w:bCs w:val="1"/>
                <w:color w:val="auto"/>
              </w:rPr>
              <w:t>and Option</w:t>
            </w:r>
          </w:p>
        </w:tc>
        <w:tc>
          <w:tcPr>
            <w:tcW w:w="0" w:type="dxa"/>
            <w:vAlign w:val="bottom"/>
          </w:tcPr>
          <w:p>
            <w:pPr>
              <w:spacing w:after="0"/>
              <w:rPr>
                <w:sz w:val="1"/>
                <w:szCs w:val="1"/>
                <w:color w:val="auto"/>
              </w:rPr>
            </w:pPr>
          </w:p>
        </w:tc>
      </w:tr>
      <w:tr>
        <w:trPr>
          <w:trHeight w:val="163"/>
        </w:trPr>
        <w:tc>
          <w:tcPr>
            <w:tcW w:w="1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60" w:type="dxa"/>
            <w:vAlign w:val="bottom"/>
          </w:tcPr>
          <w:p>
            <w:pPr>
              <w:jc w:val="right"/>
              <w:ind w:right="110"/>
              <w:spacing w:after="0"/>
              <w:rPr>
                <w:sz w:val="20"/>
                <w:szCs w:val="20"/>
                <w:color w:val="auto"/>
              </w:rPr>
            </w:pPr>
            <w:r>
              <w:rPr>
                <w:rFonts w:ascii="Arial" w:cs="Arial" w:eastAsia="Arial" w:hAnsi="Arial"/>
                <w:sz w:val="14"/>
                <w:szCs w:val="14"/>
                <w:b w:val="1"/>
                <w:bCs w:val="1"/>
                <w:color w:val="auto"/>
                <w:w w:val="97"/>
              </w:rPr>
              <w:t>Threshold</w:t>
            </w:r>
          </w:p>
        </w:tc>
        <w:tc>
          <w:tcPr>
            <w:tcW w:w="820" w:type="dxa"/>
            <w:vAlign w:val="bottom"/>
          </w:tcPr>
          <w:p>
            <w:pPr>
              <w:jc w:val="right"/>
              <w:ind w:right="90"/>
              <w:spacing w:after="0"/>
              <w:rPr>
                <w:sz w:val="20"/>
                <w:szCs w:val="20"/>
                <w:color w:val="auto"/>
              </w:rPr>
            </w:pPr>
            <w:r>
              <w:rPr>
                <w:rFonts w:ascii="Arial" w:cs="Arial" w:eastAsia="Arial" w:hAnsi="Arial"/>
                <w:sz w:val="14"/>
                <w:szCs w:val="14"/>
                <w:b w:val="1"/>
                <w:bCs w:val="1"/>
                <w:color w:val="auto"/>
              </w:rPr>
              <w:t>Target</w:t>
            </w:r>
          </w:p>
        </w:tc>
        <w:tc>
          <w:tcPr>
            <w:tcW w:w="940" w:type="dxa"/>
            <w:vAlign w:val="bottom"/>
            <w:gridSpan w:val="2"/>
          </w:tcPr>
          <w:p>
            <w:pPr>
              <w:ind w:left="120"/>
              <w:spacing w:after="0"/>
              <w:rPr>
                <w:sz w:val="20"/>
                <w:szCs w:val="20"/>
                <w:color w:val="auto"/>
              </w:rPr>
            </w:pPr>
            <w:r>
              <w:rPr>
                <w:rFonts w:ascii="Arial" w:cs="Arial" w:eastAsia="Arial" w:hAnsi="Arial"/>
                <w:sz w:val="14"/>
                <w:szCs w:val="14"/>
                <w:b w:val="1"/>
                <w:bCs w:val="1"/>
                <w:color w:val="auto"/>
              </w:rPr>
              <w:t>Maximum</w:t>
            </w:r>
          </w:p>
        </w:tc>
        <w:tc>
          <w:tcPr>
            <w:tcW w:w="840" w:type="dxa"/>
            <w:vAlign w:val="bottom"/>
          </w:tcPr>
          <w:p>
            <w:pPr>
              <w:jc w:val="right"/>
              <w:ind w:right="90"/>
              <w:spacing w:after="0"/>
              <w:rPr>
                <w:sz w:val="20"/>
                <w:szCs w:val="20"/>
                <w:color w:val="auto"/>
              </w:rPr>
            </w:pPr>
            <w:r>
              <w:rPr>
                <w:rFonts w:ascii="Arial" w:cs="Arial" w:eastAsia="Arial" w:hAnsi="Arial"/>
                <w:sz w:val="14"/>
                <w:szCs w:val="14"/>
                <w:b w:val="1"/>
                <w:bCs w:val="1"/>
                <w:color w:val="auto"/>
                <w:w w:val="97"/>
              </w:rPr>
              <w:t>Threshold</w:t>
            </w:r>
          </w:p>
        </w:tc>
        <w:tc>
          <w:tcPr>
            <w:tcW w:w="780" w:type="dxa"/>
            <w:vAlign w:val="bottom"/>
          </w:tcPr>
          <w:p>
            <w:pPr>
              <w:jc w:val="right"/>
              <w:ind w:right="90"/>
              <w:spacing w:after="0"/>
              <w:rPr>
                <w:sz w:val="20"/>
                <w:szCs w:val="20"/>
                <w:color w:val="auto"/>
              </w:rPr>
            </w:pPr>
            <w:r>
              <w:rPr>
                <w:rFonts w:ascii="Arial" w:cs="Arial" w:eastAsia="Arial" w:hAnsi="Arial"/>
                <w:sz w:val="14"/>
                <w:szCs w:val="14"/>
                <w:b w:val="1"/>
                <w:bCs w:val="1"/>
                <w:color w:val="auto"/>
              </w:rPr>
              <w:t>Target</w:t>
            </w:r>
          </w:p>
        </w:tc>
        <w:tc>
          <w:tcPr>
            <w:tcW w:w="8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Maximum</w:t>
            </w:r>
          </w:p>
        </w:tc>
        <w:tc>
          <w:tcPr>
            <w:tcW w:w="840" w:type="dxa"/>
            <w:vAlign w:val="bottom"/>
          </w:tcPr>
          <w:p>
            <w:pPr>
              <w:jc w:val="right"/>
              <w:ind w:right="50"/>
              <w:spacing w:after="0"/>
              <w:rPr>
                <w:sz w:val="20"/>
                <w:szCs w:val="20"/>
                <w:color w:val="auto"/>
              </w:rPr>
            </w:pPr>
            <w:r>
              <w:rPr>
                <w:rFonts w:ascii="Arial" w:cs="Arial" w:eastAsia="Arial" w:hAnsi="Arial"/>
                <w:sz w:val="14"/>
                <w:szCs w:val="14"/>
                <w:b w:val="1"/>
                <w:bCs w:val="1"/>
                <w:color w:val="auto"/>
              </w:rPr>
              <w:t>Granted</w:t>
            </w:r>
          </w:p>
        </w:tc>
        <w:tc>
          <w:tcPr>
            <w:tcW w:w="900" w:type="dxa"/>
            <w:vAlign w:val="bottom"/>
          </w:tcPr>
          <w:p>
            <w:pPr>
              <w:jc w:val="right"/>
              <w:ind w:right="50"/>
              <w:spacing w:after="0"/>
              <w:rPr>
                <w:sz w:val="20"/>
                <w:szCs w:val="20"/>
                <w:color w:val="auto"/>
              </w:rPr>
            </w:pPr>
            <w:r>
              <w:rPr>
                <w:rFonts w:ascii="Arial" w:cs="Arial" w:eastAsia="Arial" w:hAnsi="Arial"/>
                <w:sz w:val="14"/>
                <w:szCs w:val="14"/>
                <w:b w:val="1"/>
                <w:bCs w:val="1"/>
                <w:color w:val="auto"/>
              </w:rPr>
              <w:t>Granted</w:t>
            </w:r>
          </w:p>
        </w:tc>
        <w:tc>
          <w:tcPr>
            <w:tcW w:w="800" w:type="dxa"/>
            <w:vAlign w:val="bottom"/>
          </w:tcPr>
          <w:p>
            <w:pPr>
              <w:jc w:val="right"/>
              <w:ind w:right="70"/>
              <w:spacing w:after="0"/>
              <w:rPr>
                <w:sz w:val="20"/>
                <w:szCs w:val="20"/>
                <w:color w:val="auto"/>
              </w:rPr>
            </w:pPr>
            <w:r>
              <w:rPr>
                <w:rFonts w:ascii="Arial" w:cs="Arial" w:eastAsia="Arial" w:hAnsi="Arial"/>
                <w:sz w:val="14"/>
                <w:szCs w:val="14"/>
                <w:b w:val="1"/>
                <w:bCs w:val="1"/>
                <w:color w:val="auto"/>
              </w:rPr>
              <w:t>Awards</w:t>
            </w:r>
          </w:p>
        </w:tc>
        <w:tc>
          <w:tcPr>
            <w:tcW w:w="880" w:type="dxa"/>
            <w:vAlign w:val="bottom"/>
          </w:tcPr>
          <w:p>
            <w:pPr>
              <w:jc w:val="right"/>
              <w:ind w:right="30"/>
              <w:spacing w:after="0"/>
              <w:rPr>
                <w:sz w:val="20"/>
                <w:szCs w:val="20"/>
                <w:color w:val="auto"/>
              </w:rPr>
            </w:pPr>
            <w:r>
              <w:rPr>
                <w:rFonts w:ascii="Arial" w:cs="Arial" w:eastAsia="Arial" w:hAnsi="Arial"/>
                <w:sz w:val="14"/>
                <w:szCs w:val="14"/>
                <w:b w:val="1"/>
                <w:bCs w:val="1"/>
                <w:color w:val="auto"/>
              </w:rPr>
              <w:t>Awards</w:t>
            </w:r>
          </w:p>
        </w:tc>
        <w:tc>
          <w:tcPr>
            <w:tcW w:w="0" w:type="dxa"/>
            <w:vAlign w:val="bottom"/>
          </w:tcPr>
          <w:p>
            <w:pPr>
              <w:spacing w:after="0"/>
              <w:rPr>
                <w:sz w:val="1"/>
                <w:szCs w:val="1"/>
                <w:color w:val="auto"/>
              </w:rPr>
            </w:pPr>
          </w:p>
        </w:tc>
      </w:tr>
      <w:tr>
        <w:trPr>
          <w:trHeight w:val="201"/>
        </w:trPr>
        <w:tc>
          <w:tcPr>
            <w:tcW w:w="1740" w:type="dxa"/>
            <w:vAlign w:val="bottom"/>
            <w:tcBorders>
              <w:bottom w:val="single" w:sz="8" w:color="7CBD3F"/>
            </w:tcBorders>
          </w:tcPr>
          <w:p>
            <w:pPr>
              <w:ind w:left="40"/>
              <w:spacing w:after="0"/>
              <w:rPr>
                <w:sz w:val="20"/>
                <w:szCs w:val="20"/>
                <w:color w:val="auto"/>
              </w:rPr>
            </w:pPr>
            <w:r>
              <w:rPr>
                <w:rFonts w:ascii="Arial" w:cs="Arial" w:eastAsia="Arial" w:hAnsi="Arial"/>
                <w:sz w:val="14"/>
                <w:szCs w:val="14"/>
                <w:b w:val="1"/>
                <w:bCs w:val="1"/>
                <w:color w:val="auto"/>
              </w:rPr>
              <w:t>Name</w:t>
            </w:r>
          </w:p>
        </w:tc>
        <w:tc>
          <w:tcPr>
            <w:tcW w:w="1000" w:type="dxa"/>
            <w:vAlign w:val="bottom"/>
            <w:tcBorders>
              <w:bottom w:val="single" w:sz="8" w:color="7CBD3F"/>
            </w:tcBorders>
          </w:tcPr>
          <w:p>
            <w:pPr>
              <w:jc w:val="right"/>
              <w:ind w:right="210"/>
              <w:spacing w:after="0"/>
              <w:rPr>
                <w:sz w:val="20"/>
                <w:szCs w:val="20"/>
                <w:color w:val="auto"/>
              </w:rPr>
            </w:pPr>
            <w:r>
              <w:rPr>
                <w:rFonts w:ascii="Arial" w:cs="Arial" w:eastAsia="Arial" w:hAnsi="Arial"/>
                <w:sz w:val="14"/>
                <w:szCs w:val="14"/>
                <w:b w:val="1"/>
                <w:bCs w:val="1"/>
                <w:color w:val="auto"/>
                <w:w w:val="97"/>
              </w:rPr>
              <w:t>Grant Date</w:t>
            </w:r>
          </w:p>
        </w:tc>
        <w:tc>
          <w:tcPr>
            <w:tcW w:w="860" w:type="dxa"/>
            <w:vAlign w:val="bottom"/>
            <w:tcBorders>
              <w:bottom w:val="single" w:sz="8" w:color="7CBD3F"/>
            </w:tcBorders>
          </w:tcPr>
          <w:p>
            <w:pPr>
              <w:jc w:val="right"/>
              <w:ind w:right="110"/>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7CBD3F"/>
            </w:tcBorders>
          </w:tcPr>
          <w:p>
            <w:pPr>
              <w:jc w:val="right"/>
              <w:ind w:right="50"/>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7CBD3F"/>
            </w:tcBorders>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7CBD3F"/>
            </w:tcBorders>
          </w:tcPr>
          <w:p>
            <w:pPr>
              <w:jc w:val="right"/>
              <w:ind w:right="90"/>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7CBD3F"/>
            </w:tcBorders>
          </w:tcPr>
          <w:p>
            <w:pPr>
              <w:jc w:val="right"/>
              <w:ind w:right="50"/>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7CBD3F"/>
            </w:tcBorders>
            <w:gridSpan w:val="2"/>
          </w:tcPr>
          <w:p>
            <w:pPr>
              <w:jc w:val="right"/>
              <w:ind w:right="100"/>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7CBD3F"/>
            </w:tcBorders>
          </w:tcPr>
          <w:p>
            <w:pPr>
              <w:jc w:val="right"/>
              <w:ind w:right="10"/>
              <w:spacing w:after="0" w:line="199"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22"/>
                <w:szCs w:val="22"/>
                <w:b w:val="1"/>
                <w:bCs w:val="1"/>
                <w:color w:val="auto"/>
                <w:vertAlign w:val="superscript"/>
              </w:rPr>
              <w:t>(3)</w:t>
            </w:r>
          </w:p>
        </w:tc>
        <w:tc>
          <w:tcPr>
            <w:tcW w:w="900" w:type="dxa"/>
            <w:vAlign w:val="bottom"/>
            <w:tcBorders>
              <w:bottom w:val="single" w:sz="8" w:color="7CBD3F"/>
            </w:tcBorders>
          </w:tcPr>
          <w:p>
            <w:pPr>
              <w:jc w:val="right"/>
              <w:ind w:right="10"/>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7CBD3F"/>
            </w:tcBorders>
          </w:tcPr>
          <w:p>
            <w:pPr>
              <w:jc w:val="right"/>
              <w:ind w:right="30"/>
              <w:spacing w:after="0"/>
              <w:rPr>
                <w:sz w:val="20"/>
                <w:szCs w:val="20"/>
                <w:color w:val="auto"/>
              </w:rPr>
            </w:pPr>
            <w:r>
              <w:rPr>
                <w:rFonts w:ascii="Arial" w:cs="Arial" w:eastAsia="Arial" w:hAnsi="Arial"/>
                <w:sz w:val="14"/>
                <w:szCs w:val="14"/>
                <w:b w:val="1"/>
                <w:bCs w:val="1"/>
                <w:color w:val="auto"/>
              </w:rPr>
              <w:t>($/Share)</w:t>
            </w:r>
          </w:p>
        </w:tc>
        <w:tc>
          <w:tcPr>
            <w:tcW w:w="880" w:type="dxa"/>
            <w:vAlign w:val="bottom"/>
            <w:tcBorders>
              <w:bottom w:val="single" w:sz="8" w:color="7CBD3F"/>
            </w:tcBorders>
          </w:tcPr>
          <w:p>
            <w:pPr>
              <w:jc w:val="right"/>
              <w:spacing w:after="0" w:line="199"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22"/>
                <w:szCs w:val="22"/>
                <w:b w:val="1"/>
                <w:bCs w:val="1"/>
                <w:color w:val="auto"/>
                <w:vertAlign w:val="superscript"/>
              </w:rPr>
              <w:t>(4)</w:t>
            </w:r>
          </w:p>
        </w:tc>
        <w:tc>
          <w:tcPr>
            <w:tcW w:w="0" w:type="dxa"/>
            <w:vAlign w:val="bottom"/>
          </w:tcPr>
          <w:p>
            <w:pPr>
              <w:spacing w:after="0"/>
              <w:rPr>
                <w:sz w:val="1"/>
                <w:szCs w:val="1"/>
                <w:color w:val="auto"/>
              </w:rPr>
            </w:pPr>
          </w:p>
        </w:tc>
      </w:tr>
      <w:tr>
        <w:trPr>
          <w:trHeight w:val="163"/>
        </w:trPr>
        <w:tc>
          <w:tcPr>
            <w:tcW w:w="1740" w:type="dxa"/>
            <w:vAlign w:val="bottom"/>
          </w:tcPr>
          <w:p>
            <w:pPr>
              <w:ind w:left="40"/>
              <w:spacing w:after="0"/>
              <w:rPr>
                <w:sz w:val="20"/>
                <w:szCs w:val="20"/>
                <w:color w:val="auto"/>
              </w:rPr>
            </w:pPr>
            <w:r>
              <w:rPr>
                <w:rFonts w:ascii="Arial" w:cs="Arial" w:eastAsia="Arial" w:hAnsi="Arial"/>
                <w:sz w:val="14"/>
                <w:szCs w:val="14"/>
                <w:b w:val="1"/>
                <w:bCs w:val="1"/>
                <w:color w:val="auto"/>
              </w:rPr>
              <w:t>Emil D. Kakkis,</w:t>
            </w:r>
          </w:p>
        </w:tc>
        <w:tc>
          <w:tcPr>
            <w:tcW w:w="1000" w:type="dxa"/>
            <w:vAlign w:val="bottom"/>
          </w:tcPr>
          <w:p>
            <w:pPr>
              <w:spacing w:after="0"/>
              <w:rPr>
                <w:sz w:val="14"/>
                <w:szCs w:val="14"/>
                <w:color w:val="auto"/>
              </w:rPr>
            </w:pPr>
          </w:p>
        </w:tc>
        <w:tc>
          <w:tcPr>
            <w:tcW w:w="860" w:type="dxa"/>
            <w:vAlign w:val="bottom"/>
          </w:tcPr>
          <w:p>
            <w:pPr>
              <w:jc w:val="right"/>
              <w:ind w:right="110"/>
              <w:spacing w:after="0"/>
              <w:rPr>
                <w:sz w:val="20"/>
                <w:szCs w:val="20"/>
                <w:color w:val="auto"/>
              </w:rPr>
            </w:pPr>
            <w:r>
              <w:rPr>
                <w:rFonts w:ascii="Arial" w:cs="Arial" w:eastAsia="Arial" w:hAnsi="Arial"/>
                <w:sz w:val="14"/>
                <w:szCs w:val="14"/>
                <w:color w:val="auto"/>
              </w:rPr>
              <w:t>344,400</w:t>
            </w:r>
          </w:p>
        </w:tc>
        <w:tc>
          <w:tcPr>
            <w:tcW w:w="820" w:type="dxa"/>
            <w:vAlign w:val="bottom"/>
          </w:tcPr>
          <w:p>
            <w:pPr>
              <w:jc w:val="right"/>
              <w:ind w:right="50"/>
              <w:spacing w:after="0"/>
              <w:rPr>
                <w:sz w:val="20"/>
                <w:szCs w:val="20"/>
                <w:color w:val="auto"/>
              </w:rPr>
            </w:pPr>
            <w:r>
              <w:rPr>
                <w:rFonts w:ascii="Arial" w:cs="Arial" w:eastAsia="Arial" w:hAnsi="Arial"/>
                <w:sz w:val="14"/>
                <w:szCs w:val="14"/>
                <w:color w:val="auto"/>
              </w:rPr>
              <w:t>688,800</w:t>
            </w:r>
          </w:p>
        </w:tc>
        <w:tc>
          <w:tcPr>
            <w:tcW w:w="780" w:type="dxa"/>
            <w:vAlign w:val="bottom"/>
          </w:tcPr>
          <w:p>
            <w:pPr>
              <w:jc w:val="right"/>
              <w:spacing w:after="0"/>
              <w:rPr>
                <w:sz w:val="20"/>
                <w:szCs w:val="20"/>
                <w:color w:val="auto"/>
              </w:rPr>
            </w:pPr>
            <w:r>
              <w:rPr>
                <w:rFonts w:ascii="Arial" w:cs="Arial" w:eastAsia="Arial" w:hAnsi="Arial"/>
                <w:sz w:val="14"/>
                <w:szCs w:val="14"/>
                <w:color w:val="auto"/>
              </w:rPr>
              <w:t>1,033,200</w:t>
            </w:r>
          </w:p>
        </w:tc>
        <w:tc>
          <w:tcPr>
            <w:tcW w:w="160" w:type="dxa"/>
            <w:vAlign w:val="bottom"/>
          </w:tcPr>
          <w:p>
            <w:pPr>
              <w:spacing w:after="0"/>
              <w:rPr>
                <w:sz w:val="14"/>
                <w:szCs w:val="14"/>
                <w:color w:val="auto"/>
              </w:rPr>
            </w:pPr>
          </w:p>
        </w:tc>
        <w:tc>
          <w:tcPr>
            <w:tcW w:w="84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1740" w:type="dxa"/>
            <w:vAlign w:val="bottom"/>
          </w:tcPr>
          <w:p>
            <w:pPr>
              <w:ind w:left="40"/>
              <w:spacing w:after="0"/>
              <w:rPr>
                <w:sz w:val="20"/>
                <w:szCs w:val="20"/>
                <w:color w:val="auto"/>
              </w:rPr>
            </w:pPr>
            <w:r>
              <w:rPr>
                <w:rFonts w:ascii="Arial" w:cs="Arial" w:eastAsia="Arial" w:hAnsi="Arial"/>
                <w:sz w:val="14"/>
                <w:szCs w:val="14"/>
                <w:b w:val="1"/>
                <w:bCs w:val="1"/>
                <w:color w:val="auto"/>
              </w:rPr>
              <w:t>M.D., Ph.D.</w:t>
            </w:r>
          </w:p>
        </w:tc>
        <w:tc>
          <w:tcPr>
            <w:tcW w:w="1000" w:type="dxa"/>
            <w:vAlign w:val="bottom"/>
            <w:shd w:val="clear" w:color="auto" w:fill="F0F7E7"/>
          </w:tcPr>
          <w:p>
            <w:pPr>
              <w:jc w:val="right"/>
              <w:ind w:right="210"/>
              <w:spacing w:after="0"/>
              <w:rPr>
                <w:sz w:val="20"/>
                <w:szCs w:val="20"/>
                <w:color w:val="auto"/>
              </w:rPr>
            </w:pPr>
            <w:r>
              <w:rPr>
                <w:rFonts w:ascii="Arial" w:cs="Arial" w:eastAsia="Arial" w:hAnsi="Arial"/>
                <w:sz w:val="14"/>
                <w:szCs w:val="14"/>
                <w:color w:val="auto"/>
              </w:rPr>
              <w:t>3/1/2024</w:t>
            </w:r>
          </w:p>
        </w:tc>
        <w:tc>
          <w:tcPr>
            <w:tcW w:w="860" w:type="dxa"/>
            <w:vAlign w:val="bottom"/>
            <w:shd w:val="clear" w:color="auto" w:fill="F0F7E7"/>
          </w:tcPr>
          <w:p>
            <w:pPr>
              <w:jc w:val="right"/>
              <w:ind w:right="110"/>
              <w:spacing w:after="0"/>
              <w:rPr>
                <w:sz w:val="20"/>
                <w:szCs w:val="20"/>
                <w:color w:val="auto"/>
              </w:rPr>
            </w:pPr>
            <w:r>
              <w:rPr>
                <w:rFonts w:ascii="Arial" w:cs="Arial" w:eastAsia="Arial" w:hAnsi="Arial"/>
                <w:sz w:val="14"/>
                <w:szCs w:val="14"/>
                <w:color w:val="auto"/>
              </w:rPr>
              <w:t>—</w:t>
            </w:r>
          </w:p>
        </w:tc>
        <w:tc>
          <w:tcPr>
            <w:tcW w:w="820" w:type="dxa"/>
            <w:vAlign w:val="bottom"/>
            <w:shd w:val="clear" w:color="auto" w:fill="F0F7E7"/>
          </w:tcPr>
          <w:p>
            <w:pPr>
              <w:jc w:val="right"/>
              <w:ind w:right="5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F0F7E7"/>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shd w:val="clear" w:color="auto" w:fill="F0F7E7"/>
          </w:tcPr>
          <w:p>
            <w:pPr>
              <w:jc w:val="right"/>
              <w:ind w:right="90"/>
              <w:spacing w:after="0"/>
              <w:rPr>
                <w:sz w:val="20"/>
                <w:szCs w:val="20"/>
                <w:color w:val="auto"/>
              </w:rPr>
            </w:pPr>
            <w:r>
              <w:rPr>
                <w:rFonts w:ascii="Arial" w:cs="Arial" w:eastAsia="Arial" w:hAnsi="Arial"/>
                <w:sz w:val="14"/>
                <w:szCs w:val="14"/>
                <w:color w:val="auto"/>
              </w:rPr>
              <w:t>—</w:t>
            </w:r>
          </w:p>
        </w:tc>
        <w:tc>
          <w:tcPr>
            <w:tcW w:w="780" w:type="dxa"/>
            <w:vAlign w:val="bottom"/>
            <w:shd w:val="clear" w:color="auto" w:fill="F0F7E7"/>
          </w:tcPr>
          <w:p>
            <w:pPr>
              <w:jc w:val="right"/>
              <w:ind w:right="5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F0F7E7"/>
          </w:tcPr>
          <w:p>
            <w:pPr>
              <w:jc w:val="right"/>
              <w:ind w:right="100"/>
              <w:spacing w:after="0"/>
              <w:rPr>
                <w:sz w:val="20"/>
                <w:szCs w:val="20"/>
                <w:color w:val="auto"/>
              </w:rPr>
            </w:pPr>
            <w:r>
              <w:rPr>
                <w:rFonts w:ascii="Arial" w:cs="Arial" w:eastAsia="Arial" w:hAnsi="Arial"/>
                <w:sz w:val="14"/>
                <w:szCs w:val="14"/>
                <w:color w:val="auto"/>
              </w:rPr>
              <w:t>—</w:t>
            </w:r>
          </w:p>
        </w:tc>
        <w:tc>
          <w:tcPr>
            <w:tcW w:w="840" w:type="dxa"/>
            <w:vAlign w:val="bottom"/>
            <w:shd w:val="clear" w:color="auto" w:fill="F0F7E7"/>
          </w:tcPr>
          <w:p>
            <w:pPr>
              <w:jc w:val="right"/>
              <w:ind w:right="10"/>
              <w:spacing w:after="0"/>
              <w:rPr>
                <w:sz w:val="20"/>
                <w:szCs w:val="20"/>
                <w:color w:val="auto"/>
              </w:rPr>
            </w:pPr>
            <w:r>
              <w:rPr>
                <w:rFonts w:ascii="Arial" w:cs="Arial" w:eastAsia="Arial" w:hAnsi="Arial"/>
                <w:sz w:val="14"/>
                <w:szCs w:val="14"/>
                <w:color w:val="auto"/>
              </w:rPr>
              <w:t>—</w:t>
            </w:r>
          </w:p>
        </w:tc>
        <w:tc>
          <w:tcPr>
            <w:tcW w:w="900" w:type="dxa"/>
            <w:vAlign w:val="bottom"/>
            <w:shd w:val="clear" w:color="auto" w:fill="F0F7E7"/>
          </w:tcPr>
          <w:p>
            <w:pPr>
              <w:jc w:val="right"/>
              <w:ind w:right="10"/>
              <w:spacing w:after="0"/>
              <w:rPr>
                <w:sz w:val="20"/>
                <w:szCs w:val="20"/>
                <w:color w:val="auto"/>
              </w:rPr>
            </w:pPr>
            <w:r>
              <w:rPr>
                <w:rFonts w:ascii="Arial" w:cs="Arial" w:eastAsia="Arial" w:hAnsi="Arial"/>
                <w:sz w:val="14"/>
                <w:szCs w:val="14"/>
                <w:color w:val="auto"/>
              </w:rPr>
              <w:t>70,094</w:t>
            </w:r>
          </w:p>
        </w:tc>
        <w:tc>
          <w:tcPr>
            <w:tcW w:w="800" w:type="dxa"/>
            <w:vAlign w:val="bottom"/>
            <w:shd w:val="clear" w:color="auto" w:fill="F0F7E7"/>
          </w:tcPr>
          <w:p>
            <w:pPr>
              <w:jc w:val="right"/>
              <w:ind w:right="30"/>
              <w:spacing w:after="0"/>
              <w:rPr>
                <w:sz w:val="20"/>
                <w:szCs w:val="20"/>
                <w:color w:val="auto"/>
              </w:rPr>
            </w:pPr>
            <w:r>
              <w:rPr>
                <w:rFonts w:ascii="Arial" w:cs="Arial" w:eastAsia="Arial" w:hAnsi="Arial"/>
                <w:sz w:val="14"/>
                <w:szCs w:val="14"/>
                <w:color w:val="auto"/>
              </w:rPr>
              <w:t>53.69</w:t>
            </w:r>
          </w:p>
        </w:tc>
        <w:tc>
          <w:tcPr>
            <w:tcW w:w="880" w:type="dxa"/>
            <w:vAlign w:val="bottom"/>
            <w:shd w:val="clear" w:color="auto" w:fill="F0F7E7"/>
          </w:tcPr>
          <w:p>
            <w:pPr>
              <w:jc w:val="right"/>
              <w:spacing w:after="0"/>
              <w:rPr>
                <w:sz w:val="20"/>
                <w:szCs w:val="20"/>
                <w:color w:val="auto"/>
              </w:rPr>
            </w:pPr>
            <w:r>
              <w:rPr>
                <w:rFonts w:ascii="Arial" w:cs="Arial" w:eastAsia="Arial" w:hAnsi="Arial"/>
                <w:sz w:val="14"/>
                <w:szCs w:val="14"/>
                <w:color w:val="auto"/>
              </w:rPr>
              <w:t>2,128,650</w:t>
            </w:r>
          </w:p>
        </w:tc>
        <w:tc>
          <w:tcPr>
            <w:tcW w:w="0" w:type="dxa"/>
            <w:vAlign w:val="bottom"/>
          </w:tcPr>
          <w:p>
            <w:pPr>
              <w:spacing w:after="0"/>
              <w:rPr>
                <w:sz w:val="1"/>
                <w:szCs w:val="1"/>
                <w:color w:val="auto"/>
              </w:rPr>
            </w:pPr>
          </w:p>
        </w:tc>
      </w:tr>
      <w:tr>
        <w:trPr>
          <w:trHeight w:val="163"/>
        </w:trPr>
        <w:tc>
          <w:tcPr>
            <w:tcW w:w="1740" w:type="dxa"/>
            <w:vAlign w:val="bottom"/>
          </w:tcPr>
          <w:p>
            <w:pPr>
              <w:spacing w:after="0"/>
              <w:rPr>
                <w:sz w:val="14"/>
                <w:szCs w:val="14"/>
                <w:color w:val="auto"/>
              </w:rPr>
            </w:pPr>
          </w:p>
        </w:tc>
        <w:tc>
          <w:tcPr>
            <w:tcW w:w="1000" w:type="dxa"/>
            <w:vAlign w:val="bottom"/>
          </w:tcPr>
          <w:p>
            <w:pPr>
              <w:jc w:val="right"/>
              <w:ind w:right="210"/>
              <w:spacing w:after="0"/>
              <w:rPr>
                <w:sz w:val="20"/>
                <w:szCs w:val="20"/>
                <w:color w:val="auto"/>
              </w:rPr>
            </w:pPr>
            <w:r>
              <w:rPr>
                <w:rFonts w:ascii="Arial" w:cs="Arial" w:eastAsia="Arial" w:hAnsi="Arial"/>
                <w:sz w:val="14"/>
                <w:szCs w:val="14"/>
                <w:color w:val="auto"/>
              </w:rPr>
              <w:t>3/1/2024</w:t>
            </w:r>
          </w:p>
        </w:tc>
        <w:tc>
          <w:tcPr>
            <w:tcW w:w="86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
              <w:spacing w:after="0"/>
              <w:rPr>
                <w:sz w:val="20"/>
                <w:szCs w:val="20"/>
                <w:color w:val="auto"/>
              </w:rPr>
            </w:pPr>
            <w:r>
              <w:rPr>
                <w:rFonts w:ascii="Arial" w:cs="Arial" w:eastAsia="Arial" w:hAnsi="Arial"/>
                <w:sz w:val="14"/>
                <w:szCs w:val="14"/>
                <w:color w:val="auto"/>
              </w:rPr>
              <w:t>38,428</w:t>
            </w:r>
          </w:p>
        </w:tc>
        <w:tc>
          <w:tcPr>
            <w:tcW w:w="90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2,063,199</w:t>
            </w:r>
          </w:p>
        </w:tc>
        <w:tc>
          <w:tcPr>
            <w:tcW w:w="0" w:type="dxa"/>
            <w:vAlign w:val="bottom"/>
          </w:tcPr>
          <w:p>
            <w:pPr>
              <w:spacing w:after="0"/>
              <w:rPr>
                <w:sz w:val="1"/>
                <w:szCs w:val="1"/>
                <w:color w:val="auto"/>
              </w:rPr>
            </w:pPr>
          </w:p>
        </w:tc>
      </w:tr>
      <w:tr>
        <w:trPr>
          <w:trHeight w:val="163"/>
        </w:trPr>
        <w:tc>
          <w:tcPr>
            <w:tcW w:w="1740" w:type="dxa"/>
            <w:vAlign w:val="bottom"/>
          </w:tcPr>
          <w:p>
            <w:pPr>
              <w:spacing w:after="0"/>
              <w:rPr>
                <w:sz w:val="14"/>
                <w:szCs w:val="14"/>
                <w:color w:val="auto"/>
              </w:rPr>
            </w:pPr>
          </w:p>
        </w:tc>
        <w:tc>
          <w:tcPr>
            <w:tcW w:w="1000" w:type="dxa"/>
            <w:vAlign w:val="bottom"/>
            <w:shd w:val="clear" w:color="auto" w:fill="F0F7E7"/>
          </w:tcPr>
          <w:p>
            <w:pPr>
              <w:jc w:val="right"/>
              <w:ind w:right="210"/>
              <w:spacing w:after="0"/>
              <w:rPr>
                <w:sz w:val="20"/>
                <w:szCs w:val="20"/>
                <w:color w:val="auto"/>
              </w:rPr>
            </w:pPr>
            <w:r>
              <w:rPr>
                <w:rFonts w:ascii="Arial" w:cs="Arial" w:eastAsia="Arial" w:hAnsi="Arial"/>
                <w:sz w:val="14"/>
                <w:szCs w:val="14"/>
                <w:color w:val="auto"/>
              </w:rPr>
              <w:t>3/1/2024</w:t>
            </w:r>
          </w:p>
        </w:tc>
        <w:tc>
          <w:tcPr>
            <w:tcW w:w="860" w:type="dxa"/>
            <w:vAlign w:val="bottom"/>
            <w:shd w:val="clear" w:color="auto" w:fill="F0F7E7"/>
          </w:tcPr>
          <w:p>
            <w:pPr>
              <w:jc w:val="right"/>
              <w:ind w:right="110"/>
              <w:spacing w:after="0"/>
              <w:rPr>
                <w:sz w:val="20"/>
                <w:szCs w:val="20"/>
                <w:color w:val="auto"/>
              </w:rPr>
            </w:pPr>
            <w:r>
              <w:rPr>
                <w:rFonts w:ascii="Arial" w:cs="Arial" w:eastAsia="Arial" w:hAnsi="Arial"/>
                <w:sz w:val="14"/>
                <w:szCs w:val="14"/>
                <w:color w:val="auto"/>
              </w:rPr>
              <w:t>—</w:t>
            </w:r>
          </w:p>
        </w:tc>
        <w:tc>
          <w:tcPr>
            <w:tcW w:w="820" w:type="dxa"/>
            <w:vAlign w:val="bottom"/>
            <w:shd w:val="clear" w:color="auto" w:fill="F0F7E7"/>
          </w:tcPr>
          <w:p>
            <w:pPr>
              <w:jc w:val="right"/>
              <w:ind w:right="5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F0F7E7"/>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shd w:val="clear" w:color="auto" w:fill="F0F7E7"/>
          </w:tcPr>
          <w:p>
            <w:pPr>
              <w:jc w:val="right"/>
              <w:ind w:right="90"/>
              <w:spacing w:after="0"/>
              <w:rPr>
                <w:sz w:val="20"/>
                <w:szCs w:val="20"/>
                <w:color w:val="auto"/>
              </w:rPr>
            </w:pPr>
            <w:r>
              <w:rPr>
                <w:rFonts w:ascii="Arial" w:cs="Arial" w:eastAsia="Arial" w:hAnsi="Arial"/>
                <w:sz w:val="14"/>
                <w:szCs w:val="14"/>
                <w:color w:val="auto"/>
              </w:rPr>
              <w:t>48,045</w:t>
            </w:r>
          </w:p>
        </w:tc>
        <w:tc>
          <w:tcPr>
            <w:tcW w:w="780" w:type="dxa"/>
            <w:vAlign w:val="bottom"/>
            <w:shd w:val="clear" w:color="auto" w:fill="F0F7E7"/>
          </w:tcPr>
          <w:p>
            <w:pPr>
              <w:jc w:val="right"/>
              <w:ind w:right="50"/>
              <w:spacing w:after="0"/>
              <w:rPr>
                <w:sz w:val="20"/>
                <w:szCs w:val="20"/>
                <w:color w:val="auto"/>
              </w:rPr>
            </w:pPr>
            <w:r>
              <w:rPr>
                <w:rFonts w:ascii="Arial" w:cs="Arial" w:eastAsia="Arial" w:hAnsi="Arial"/>
                <w:sz w:val="14"/>
                <w:szCs w:val="14"/>
                <w:color w:val="auto"/>
              </w:rPr>
              <w:t>115,284</w:t>
            </w:r>
          </w:p>
        </w:tc>
        <w:tc>
          <w:tcPr>
            <w:tcW w:w="760" w:type="dxa"/>
            <w:vAlign w:val="bottom"/>
            <w:shd w:val="clear" w:color="auto" w:fill="F0F7E7"/>
          </w:tcPr>
          <w:p>
            <w:pPr>
              <w:jc w:val="right"/>
              <w:spacing w:after="0"/>
              <w:rPr>
                <w:sz w:val="20"/>
                <w:szCs w:val="20"/>
                <w:color w:val="auto"/>
              </w:rPr>
            </w:pPr>
            <w:r>
              <w:rPr>
                <w:rFonts w:ascii="Arial" w:cs="Arial" w:eastAsia="Arial" w:hAnsi="Arial"/>
                <w:sz w:val="14"/>
                <w:szCs w:val="14"/>
                <w:color w:val="auto"/>
              </w:rPr>
              <w:t>230,568</w:t>
            </w:r>
          </w:p>
        </w:tc>
        <w:tc>
          <w:tcPr>
            <w:tcW w:w="100" w:type="dxa"/>
            <w:vAlign w:val="bottom"/>
            <w:shd w:val="clear" w:color="auto" w:fill="F0F7E7"/>
          </w:tcPr>
          <w:p>
            <w:pPr>
              <w:spacing w:after="0"/>
              <w:rPr>
                <w:sz w:val="14"/>
                <w:szCs w:val="14"/>
                <w:color w:val="auto"/>
              </w:rPr>
            </w:pPr>
          </w:p>
        </w:tc>
        <w:tc>
          <w:tcPr>
            <w:tcW w:w="840" w:type="dxa"/>
            <w:vAlign w:val="bottom"/>
            <w:shd w:val="clear" w:color="auto" w:fill="F0F7E7"/>
          </w:tcPr>
          <w:p>
            <w:pPr>
              <w:jc w:val="right"/>
              <w:ind w:right="10"/>
              <w:spacing w:after="0"/>
              <w:rPr>
                <w:sz w:val="20"/>
                <w:szCs w:val="20"/>
                <w:color w:val="auto"/>
              </w:rPr>
            </w:pPr>
            <w:r>
              <w:rPr>
                <w:rFonts w:ascii="Arial" w:cs="Arial" w:eastAsia="Arial" w:hAnsi="Arial"/>
                <w:sz w:val="14"/>
                <w:szCs w:val="14"/>
                <w:color w:val="auto"/>
              </w:rPr>
              <w:t>—</w:t>
            </w:r>
          </w:p>
        </w:tc>
        <w:tc>
          <w:tcPr>
            <w:tcW w:w="900" w:type="dxa"/>
            <w:vAlign w:val="bottom"/>
            <w:shd w:val="clear" w:color="auto" w:fill="F0F7E7"/>
          </w:tcPr>
          <w:p>
            <w:pPr>
              <w:jc w:val="right"/>
              <w:ind w:right="10"/>
              <w:spacing w:after="0"/>
              <w:rPr>
                <w:sz w:val="20"/>
                <w:szCs w:val="20"/>
                <w:color w:val="auto"/>
              </w:rPr>
            </w:pPr>
            <w:r>
              <w:rPr>
                <w:rFonts w:ascii="Arial" w:cs="Arial" w:eastAsia="Arial" w:hAnsi="Arial"/>
                <w:sz w:val="14"/>
                <w:szCs w:val="14"/>
                <w:color w:val="auto"/>
              </w:rPr>
              <w:t>—</w:t>
            </w:r>
          </w:p>
        </w:tc>
        <w:tc>
          <w:tcPr>
            <w:tcW w:w="800" w:type="dxa"/>
            <w:vAlign w:val="bottom"/>
            <w:shd w:val="clear" w:color="auto" w:fill="F0F7E7"/>
          </w:tcPr>
          <w:p>
            <w:pPr>
              <w:jc w:val="right"/>
              <w:ind w:right="30"/>
              <w:spacing w:after="0"/>
              <w:rPr>
                <w:sz w:val="20"/>
                <w:szCs w:val="20"/>
                <w:color w:val="auto"/>
              </w:rPr>
            </w:pPr>
            <w:r>
              <w:rPr>
                <w:rFonts w:ascii="Arial" w:cs="Arial" w:eastAsia="Arial" w:hAnsi="Arial"/>
                <w:sz w:val="14"/>
                <w:szCs w:val="14"/>
                <w:color w:val="auto"/>
              </w:rPr>
              <w:t>—</w:t>
            </w:r>
          </w:p>
        </w:tc>
        <w:tc>
          <w:tcPr>
            <w:tcW w:w="880" w:type="dxa"/>
            <w:vAlign w:val="bottom"/>
            <w:shd w:val="clear" w:color="auto" w:fill="F0F7E7"/>
          </w:tcPr>
          <w:p>
            <w:pPr>
              <w:jc w:val="right"/>
              <w:spacing w:after="0"/>
              <w:rPr>
                <w:sz w:val="20"/>
                <w:szCs w:val="20"/>
                <w:color w:val="auto"/>
              </w:rPr>
            </w:pPr>
            <w:r>
              <w:rPr>
                <w:rFonts w:ascii="Arial" w:cs="Arial" w:eastAsia="Arial" w:hAnsi="Arial"/>
                <w:sz w:val="14"/>
                <w:szCs w:val="14"/>
                <w:color w:val="auto"/>
              </w:rPr>
              <w:t>7,311,311</w:t>
            </w:r>
          </w:p>
        </w:tc>
        <w:tc>
          <w:tcPr>
            <w:tcW w:w="0" w:type="dxa"/>
            <w:vAlign w:val="bottom"/>
          </w:tcPr>
          <w:p>
            <w:pPr>
              <w:spacing w:after="0"/>
              <w:rPr>
                <w:sz w:val="1"/>
                <w:szCs w:val="1"/>
                <w:color w:val="auto"/>
              </w:rPr>
            </w:pPr>
          </w:p>
        </w:tc>
      </w:tr>
      <w:tr>
        <w:trPr>
          <w:trHeight w:val="198"/>
        </w:trPr>
        <w:tc>
          <w:tcPr>
            <w:tcW w:w="1740" w:type="dxa"/>
            <w:vAlign w:val="bottom"/>
            <w:tcBorders>
              <w:bottom w:val="single" w:sz="8" w:color="7CBD3F"/>
            </w:tcBorders>
          </w:tcPr>
          <w:p>
            <w:pPr>
              <w:spacing w:after="0"/>
              <w:rPr>
                <w:sz w:val="17"/>
                <w:szCs w:val="17"/>
                <w:color w:val="auto"/>
              </w:rPr>
            </w:pPr>
          </w:p>
        </w:tc>
        <w:tc>
          <w:tcPr>
            <w:tcW w:w="1000" w:type="dxa"/>
            <w:vAlign w:val="bottom"/>
            <w:tcBorders>
              <w:bottom w:val="single" w:sz="8" w:color="7CBD3F"/>
            </w:tcBorders>
          </w:tcPr>
          <w:p>
            <w:pPr>
              <w:jc w:val="right"/>
              <w:ind w:right="70"/>
              <w:spacing w:after="0" w:line="199" w:lineRule="exact"/>
              <w:rPr>
                <w:sz w:val="20"/>
                <w:szCs w:val="20"/>
                <w:color w:val="auto"/>
              </w:rPr>
            </w:pPr>
            <w:r>
              <w:rPr>
                <w:rFonts w:ascii="Arial" w:cs="Arial" w:eastAsia="Arial" w:hAnsi="Arial"/>
                <w:sz w:val="13"/>
                <w:szCs w:val="13"/>
                <w:color w:val="auto"/>
              </w:rPr>
              <w:t>10/21/2024</w:t>
            </w:r>
            <w:r>
              <w:rPr>
                <w:rFonts w:ascii="Arial" w:cs="Arial" w:eastAsia="Arial" w:hAnsi="Arial"/>
                <w:sz w:val="22"/>
                <w:szCs w:val="22"/>
                <w:color w:val="auto"/>
                <w:vertAlign w:val="superscript"/>
              </w:rPr>
              <w:t>(5)</w:t>
            </w:r>
          </w:p>
        </w:tc>
        <w:tc>
          <w:tcPr>
            <w:tcW w:w="860" w:type="dxa"/>
            <w:vAlign w:val="bottom"/>
            <w:tcBorders>
              <w:bottom w:val="single" w:sz="8" w:color="7CBD3F"/>
            </w:tcBorders>
          </w:tcPr>
          <w:p>
            <w:pPr>
              <w:jc w:val="right"/>
              <w:ind w:right="11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7CBD3F"/>
            </w:tcBorders>
          </w:tcPr>
          <w:p>
            <w:pPr>
              <w:jc w:val="right"/>
              <w:ind w:right="5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7CBD3F"/>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7CBD3F"/>
            </w:tcBorders>
          </w:tcPr>
          <w:p>
            <w:pPr>
              <w:jc w:val="right"/>
              <w:ind w:right="9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7CBD3F"/>
            </w:tcBorders>
          </w:tcPr>
          <w:p>
            <w:pPr>
              <w:jc w:val="right"/>
              <w:ind w:right="50"/>
              <w:spacing w:after="0"/>
              <w:rPr>
                <w:sz w:val="20"/>
                <w:szCs w:val="20"/>
                <w:color w:val="auto"/>
              </w:rPr>
            </w:pPr>
            <w:r>
              <w:rPr>
                <w:rFonts w:ascii="Arial" w:cs="Arial" w:eastAsia="Arial" w:hAnsi="Arial"/>
                <w:sz w:val="14"/>
                <w:szCs w:val="14"/>
                <w:color w:val="auto"/>
              </w:rPr>
              <w:t>350,000</w:t>
            </w:r>
          </w:p>
        </w:tc>
        <w:tc>
          <w:tcPr>
            <w:tcW w:w="860" w:type="dxa"/>
            <w:vAlign w:val="bottom"/>
            <w:tcBorders>
              <w:bottom w:val="single" w:sz="8" w:color="7CBD3F"/>
            </w:tcBorders>
            <w:gridSpan w:val="2"/>
          </w:tcPr>
          <w:p>
            <w:pPr>
              <w:jc w:val="right"/>
              <w:ind w:right="10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7CBD3F"/>
            </w:tcBorders>
          </w:tcPr>
          <w:p>
            <w:pPr>
              <w:jc w:val="right"/>
              <w:ind w:right="1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7CBD3F"/>
            </w:tcBorders>
          </w:tcPr>
          <w:p>
            <w:pPr>
              <w:jc w:val="right"/>
              <w:ind w:right="1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7CBD3F"/>
            </w:tcBorders>
          </w:tcPr>
          <w:p>
            <w:pPr>
              <w:jc w:val="right"/>
              <w:ind w:right="30"/>
              <w:spacing w:after="0"/>
              <w:rPr>
                <w:sz w:val="20"/>
                <w:szCs w:val="20"/>
                <w:color w:val="auto"/>
              </w:rPr>
            </w:pPr>
            <w:r>
              <w:rPr>
                <w:rFonts w:ascii="Arial" w:cs="Arial" w:eastAsia="Arial" w:hAnsi="Arial"/>
                <w:sz w:val="14"/>
                <w:szCs w:val="14"/>
                <w:color w:val="auto"/>
              </w:rPr>
              <w:t>2.31</w:t>
            </w:r>
          </w:p>
        </w:tc>
        <w:tc>
          <w:tcPr>
            <w:tcW w:w="880" w:type="dxa"/>
            <w:vAlign w:val="bottom"/>
            <w:tcBorders>
              <w:bottom w:val="single" w:sz="8" w:color="7CBD3F"/>
            </w:tcBorders>
          </w:tcPr>
          <w:p>
            <w:pPr>
              <w:jc w:val="right"/>
              <w:spacing w:after="0"/>
              <w:rPr>
                <w:sz w:val="20"/>
                <w:szCs w:val="20"/>
                <w:color w:val="auto"/>
              </w:rPr>
            </w:pPr>
            <w:r>
              <w:rPr>
                <w:rFonts w:ascii="Arial" w:cs="Arial" w:eastAsia="Arial" w:hAnsi="Arial"/>
                <w:sz w:val="14"/>
                <w:szCs w:val="14"/>
                <w:color w:val="auto"/>
              </w:rPr>
              <w:t>586,950</w:t>
            </w:r>
          </w:p>
        </w:tc>
        <w:tc>
          <w:tcPr>
            <w:tcW w:w="0" w:type="dxa"/>
            <w:vAlign w:val="bottom"/>
          </w:tcPr>
          <w:p>
            <w:pPr>
              <w:spacing w:after="0"/>
              <w:rPr>
                <w:sz w:val="1"/>
                <w:szCs w:val="1"/>
                <w:color w:val="auto"/>
              </w:rPr>
            </w:pPr>
          </w:p>
        </w:tc>
      </w:tr>
      <w:tr>
        <w:trPr>
          <w:trHeight w:val="155"/>
        </w:trPr>
        <w:tc>
          <w:tcPr>
            <w:tcW w:w="1740" w:type="dxa"/>
            <w:vAlign w:val="bottom"/>
          </w:tcPr>
          <w:p>
            <w:pPr>
              <w:ind w:left="40"/>
              <w:spacing w:after="0" w:line="155" w:lineRule="exact"/>
              <w:rPr>
                <w:sz w:val="20"/>
                <w:szCs w:val="20"/>
                <w:color w:val="auto"/>
              </w:rPr>
            </w:pPr>
            <w:r>
              <w:rPr>
                <w:rFonts w:ascii="Arial" w:cs="Arial" w:eastAsia="Arial" w:hAnsi="Arial"/>
                <w:sz w:val="14"/>
                <w:szCs w:val="14"/>
                <w:b w:val="1"/>
                <w:bCs w:val="1"/>
                <w:color w:val="auto"/>
              </w:rPr>
              <w:t>Howard Horn</w:t>
            </w:r>
          </w:p>
        </w:tc>
        <w:tc>
          <w:tcPr>
            <w:tcW w:w="1000" w:type="dxa"/>
            <w:vAlign w:val="bottom"/>
            <w:shd w:val="clear" w:color="auto" w:fill="F0F7E7"/>
          </w:tcPr>
          <w:p>
            <w:pPr>
              <w:spacing w:after="0"/>
              <w:rPr>
                <w:sz w:val="13"/>
                <w:szCs w:val="13"/>
                <w:color w:val="auto"/>
              </w:rPr>
            </w:pPr>
          </w:p>
        </w:tc>
        <w:tc>
          <w:tcPr>
            <w:tcW w:w="860" w:type="dxa"/>
            <w:vAlign w:val="bottom"/>
            <w:shd w:val="clear" w:color="auto" w:fill="F0F7E7"/>
          </w:tcPr>
          <w:p>
            <w:pPr>
              <w:jc w:val="right"/>
              <w:ind w:right="110"/>
              <w:spacing w:after="0" w:line="155" w:lineRule="exact"/>
              <w:rPr>
                <w:sz w:val="20"/>
                <w:szCs w:val="20"/>
                <w:color w:val="auto"/>
              </w:rPr>
            </w:pPr>
            <w:r>
              <w:rPr>
                <w:rFonts w:ascii="Arial" w:cs="Arial" w:eastAsia="Arial" w:hAnsi="Arial"/>
                <w:sz w:val="14"/>
                <w:szCs w:val="14"/>
                <w:color w:val="auto"/>
              </w:rPr>
              <w:t>—</w:t>
            </w:r>
          </w:p>
        </w:tc>
        <w:tc>
          <w:tcPr>
            <w:tcW w:w="820" w:type="dxa"/>
            <w:vAlign w:val="bottom"/>
            <w:shd w:val="clear" w:color="auto" w:fill="F0F7E7"/>
          </w:tcPr>
          <w:p>
            <w:pPr>
              <w:jc w:val="right"/>
              <w:ind w:right="50"/>
              <w:spacing w:after="0" w:line="155" w:lineRule="exact"/>
              <w:rPr>
                <w:sz w:val="20"/>
                <w:szCs w:val="20"/>
                <w:color w:val="auto"/>
              </w:rPr>
            </w:pPr>
            <w:r>
              <w:rPr>
                <w:rFonts w:ascii="Arial" w:cs="Arial" w:eastAsia="Arial" w:hAnsi="Arial"/>
                <w:sz w:val="14"/>
                <w:szCs w:val="14"/>
                <w:color w:val="auto"/>
              </w:rPr>
              <w:t>295,000</w:t>
            </w:r>
          </w:p>
        </w:tc>
        <w:tc>
          <w:tcPr>
            <w:tcW w:w="780" w:type="dxa"/>
            <w:vAlign w:val="bottom"/>
            <w:shd w:val="clear" w:color="auto" w:fill="F0F7E7"/>
          </w:tcPr>
          <w:p>
            <w:pPr>
              <w:jc w:val="right"/>
              <w:spacing w:after="0" w:line="155" w:lineRule="exact"/>
              <w:rPr>
                <w:sz w:val="20"/>
                <w:szCs w:val="20"/>
                <w:color w:val="auto"/>
              </w:rPr>
            </w:pPr>
            <w:r>
              <w:rPr>
                <w:rFonts w:ascii="Arial" w:cs="Arial" w:eastAsia="Arial" w:hAnsi="Arial"/>
                <w:sz w:val="14"/>
                <w:szCs w:val="14"/>
                <w:color w:val="auto"/>
              </w:rPr>
              <w:t>588,525</w:t>
            </w:r>
          </w:p>
        </w:tc>
        <w:tc>
          <w:tcPr>
            <w:tcW w:w="160" w:type="dxa"/>
            <w:vAlign w:val="bottom"/>
            <w:shd w:val="clear" w:color="auto" w:fill="F0F7E7"/>
          </w:tcPr>
          <w:p>
            <w:pPr>
              <w:spacing w:after="0"/>
              <w:rPr>
                <w:sz w:val="13"/>
                <w:szCs w:val="13"/>
                <w:color w:val="auto"/>
              </w:rPr>
            </w:pPr>
          </w:p>
        </w:tc>
        <w:tc>
          <w:tcPr>
            <w:tcW w:w="840" w:type="dxa"/>
            <w:vAlign w:val="bottom"/>
            <w:shd w:val="clear" w:color="auto" w:fill="F0F7E7"/>
          </w:tcPr>
          <w:p>
            <w:pPr>
              <w:jc w:val="right"/>
              <w:ind w:right="90"/>
              <w:spacing w:after="0" w:line="155" w:lineRule="exact"/>
              <w:rPr>
                <w:sz w:val="20"/>
                <w:szCs w:val="20"/>
                <w:color w:val="auto"/>
              </w:rPr>
            </w:pPr>
            <w:r>
              <w:rPr>
                <w:rFonts w:ascii="Arial" w:cs="Arial" w:eastAsia="Arial" w:hAnsi="Arial"/>
                <w:sz w:val="14"/>
                <w:szCs w:val="14"/>
                <w:color w:val="auto"/>
              </w:rPr>
              <w:t>—</w:t>
            </w:r>
          </w:p>
        </w:tc>
        <w:tc>
          <w:tcPr>
            <w:tcW w:w="780" w:type="dxa"/>
            <w:vAlign w:val="bottom"/>
            <w:shd w:val="clear" w:color="auto" w:fill="F0F7E7"/>
          </w:tcPr>
          <w:p>
            <w:pPr>
              <w:jc w:val="right"/>
              <w:ind w:right="50"/>
              <w:spacing w:after="0" w:line="155"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F0F7E7"/>
          </w:tcPr>
          <w:p>
            <w:pPr>
              <w:jc w:val="right"/>
              <w:ind w:right="100"/>
              <w:spacing w:after="0" w:line="155" w:lineRule="exact"/>
              <w:rPr>
                <w:sz w:val="20"/>
                <w:szCs w:val="20"/>
                <w:color w:val="auto"/>
              </w:rPr>
            </w:pPr>
            <w:r>
              <w:rPr>
                <w:rFonts w:ascii="Arial" w:cs="Arial" w:eastAsia="Arial" w:hAnsi="Arial"/>
                <w:sz w:val="14"/>
                <w:szCs w:val="14"/>
                <w:color w:val="auto"/>
              </w:rPr>
              <w:t>—</w:t>
            </w:r>
          </w:p>
        </w:tc>
        <w:tc>
          <w:tcPr>
            <w:tcW w:w="840" w:type="dxa"/>
            <w:vAlign w:val="bottom"/>
            <w:shd w:val="clear" w:color="auto" w:fill="F0F7E7"/>
          </w:tcPr>
          <w:p>
            <w:pPr>
              <w:jc w:val="right"/>
              <w:ind w:right="10"/>
              <w:spacing w:after="0" w:line="155" w:lineRule="exact"/>
              <w:rPr>
                <w:sz w:val="20"/>
                <w:szCs w:val="20"/>
                <w:color w:val="auto"/>
              </w:rPr>
            </w:pPr>
            <w:r>
              <w:rPr>
                <w:rFonts w:ascii="Arial" w:cs="Arial" w:eastAsia="Arial" w:hAnsi="Arial"/>
                <w:sz w:val="14"/>
                <w:szCs w:val="14"/>
                <w:color w:val="auto"/>
              </w:rPr>
              <w:t>—</w:t>
            </w:r>
          </w:p>
        </w:tc>
        <w:tc>
          <w:tcPr>
            <w:tcW w:w="900" w:type="dxa"/>
            <w:vAlign w:val="bottom"/>
            <w:shd w:val="clear" w:color="auto" w:fill="F0F7E7"/>
          </w:tcPr>
          <w:p>
            <w:pPr>
              <w:jc w:val="right"/>
              <w:ind w:right="10"/>
              <w:spacing w:after="0" w:line="155" w:lineRule="exact"/>
              <w:rPr>
                <w:sz w:val="20"/>
                <w:szCs w:val="20"/>
                <w:color w:val="auto"/>
              </w:rPr>
            </w:pPr>
            <w:r>
              <w:rPr>
                <w:rFonts w:ascii="Arial" w:cs="Arial" w:eastAsia="Arial" w:hAnsi="Arial"/>
                <w:sz w:val="14"/>
                <w:szCs w:val="14"/>
                <w:color w:val="auto"/>
              </w:rPr>
              <w:t>—</w:t>
            </w:r>
          </w:p>
        </w:tc>
        <w:tc>
          <w:tcPr>
            <w:tcW w:w="800" w:type="dxa"/>
            <w:vAlign w:val="bottom"/>
            <w:shd w:val="clear" w:color="auto" w:fill="F0F7E7"/>
          </w:tcPr>
          <w:p>
            <w:pPr>
              <w:jc w:val="right"/>
              <w:ind w:right="30"/>
              <w:spacing w:after="0" w:line="155" w:lineRule="exact"/>
              <w:rPr>
                <w:sz w:val="20"/>
                <w:szCs w:val="20"/>
                <w:color w:val="auto"/>
              </w:rPr>
            </w:pPr>
            <w:r>
              <w:rPr>
                <w:rFonts w:ascii="Arial" w:cs="Arial" w:eastAsia="Arial" w:hAnsi="Arial"/>
                <w:sz w:val="14"/>
                <w:szCs w:val="14"/>
                <w:color w:val="auto"/>
              </w:rPr>
              <w:t>—</w:t>
            </w:r>
          </w:p>
        </w:tc>
        <w:tc>
          <w:tcPr>
            <w:tcW w:w="880" w:type="dxa"/>
            <w:vAlign w:val="bottom"/>
            <w:shd w:val="clear" w:color="auto" w:fill="F0F7E7"/>
          </w:tcPr>
          <w:p>
            <w:pPr>
              <w:jc w:val="right"/>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1740" w:type="dxa"/>
            <w:vAlign w:val="bottom"/>
          </w:tcPr>
          <w:p>
            <w:pPr>
              <w:spacing w:after="0"/>
              <w:rPr>
                <w:sz w:val="14"/>
                <w:szCs w:val="14"/>
                <w:color w:val="auto"/>
              </w:rPr>
            </w:pPr>
          </w:p>
        </w:tc>
        <w:tc>
          <w:tcPr>
            <w:tcW w:w="1000" w:type="dxa"/>
            <w:vAlign w:val="bottom"/>
          </w:tcPr>
          <w:p>
            <w:pPr>
              <w:jc w:val="right"/>
              <w:ind w:right="210"/>
              <w:spacing w:after="0"/>
              <w:rPr>
                <w:sz w:val="20"/>
                <w:szCs w:val="20"/>
                <w:color w:val="auto"/>
              </w:rPr>
            </w:pPr>
            <w:r>
              <w:rPr>
                <w:rFonts w:ascii="Arial" w:cs="Arial" w:eastAsia="Arial" w:hAnsi="Arial"/>
                <w:sz w:val="14"/>
                <w:szCs w:val="14"/>
                <w:color w:val="auto"/>
              </w:rPr>
              <w:t>3/1/2024</w:t>
            </w:r>
          </w:p>
        </w:tc>
        <w:tc>
          <w:tcPr>
            <w:tcW w:w="86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0"/>
              <w:spacing w:after="0"/>
              <w:rPr>
                <w:sz w:val="20"/>
                <w:szCs w:val="20"/>
                <w:color w:val="auto"/>
              </w:rPr>
            </w:pPr>
            <w:r>
              <w:rPr>
                <w:rFonts w:ascii="Arial" w:cs="Arial" w:eastAsia="Arial" w:hAnsi="Arial"/>
                <w:sz w:val="14"/>
                <w:szCs w:val="14"/>
                <w:color w:val="auto"/>
              </w:rPr>
              <w:t>34,200</w:t>
            </w:r>
          </w:p>
        </w:tc>
        <w:tc>
          <w:tcPr>
            <w:tcW w:w="800" w:type="dxa"/>
            <w:vAlign w:val="bottom"/>
          </w:tcPr>
          <w:p>
            <w:pPr>
              <w:jc w:val="right"/>
              <w:ind w:right="30"/>
              <w:spacing w:after="0"/>
              <w:rPr>
                <w:sz w:val="20"/>
                <w:szCs w:val="20"/>
                <w:color w:val="auto"/>
              </w:rPr>
            </w:pPr>
            <w:r>
              <w:rPr>
                <w:rFonts w:ascii="Arial" w:cs="Arial" w:eastAsia="Arial" w:hAnsi="Arial"/>
                <w:sz w:val="14"/>
                <w:szCs w:val="14"/>
                <w:color w:val="auto"/>
              </w:rPr>
              <w:t>53.69</w:t>
            </w:r>
          </w:p>
        </w:tc>
        <w:tc>
          <w:tcPr>
            <w:tcW w:w="880" w:type="dxa"/>
            <w:vAlign w:val="bottom"/>
          </w:tcPr>
          <w:p>
            <w:pPr>
              <w:jc w:val="right"/>
              <w:spacing w:after="0"/>
              <w:rPr>
                <w:sz w:val="20"/>
                <w:szCs w:val="20"/>
                <w:color w:val="auto"/>
              </w:rPr>
            </w:pPr>
            <w:r>
              <w:rPr>
                <w:rFonts w:ascii="Arial" w:cs="Arial" w:eastAsia="Arial" w:hAnsi="Arial"/>
                <w:sz w:val="14"/>
                <w:szCs w:val="14"/>
                <w:color w:val="auto"/>
              </w:rPr>
              <w:t>1,038,603</w:t>
            </w:r>
          </w:p>
        </w:tc>
        <w:tc>
          <w:tcPr>
            <w:tcW w:w="0" w:type="dxa"/>
            <w:vAlign w:val="bottom"/>
          </w:tcPr>
          <w:p>
            <w:pPr>
              <w:spacing w:after="0"/>
              <w:rPr>
                <w:sz w:val="1"/>
                <w:szCs w:val="1"/>
                <w:color w:val="auto"/>
              </w:rPr>
            </w:pPr>
          </w:p>
        </w:tc>
      </w:tr>
      <w:tr>
        <w:trPr>
          <w:trHeight w:val="163"/>
        </w:trPr>
        <w:tc>
          <w:tcPr>
            <w:tcW w:w="1740" w:type="dxa"/>
            <w:vAlign w:val="bottom"/>
          </w:tcPr>
          <w:p>
            <w:pPr>
              <w:spacing w:after="0"/>
              <w:rPr>
                <w:sz w:val="14"/>
                <w:szCs w:val="14"/>
                <w:color w:val="auto"/>
              </w:rPr>
            </w:pPr>
          </w:p>
        </w:tc>
        <w:tc>
          <w:tcPr>
            <w:tcW w:w="1000" w:type="dxa"/>
            <w:vAlign w:val="bottom"/>
            <w:shd w:val="clear" w:color="auto" w:fill="F0F7E7"/>
          </w:tcPr>
          <w:p>
            <w:pPr>
              <w:jc w:val="right"/>
              <w:ind w:right="210"/>
              <w:spacing w:after="0"/>
              <w:rPr>
                <w:sz w:val="20"/>
                <w:szCs w:val="20"/>
                <w:color w:val="auto"/>
              </w:rPr>
            </w:pPr>
            <w:r>
              <w:rPr>
                <w:rFonts w:ascii="Arial" w:cs="Arial" w:eastAsia="Arial" w:hAnsi="Arial"/>
                <w:sz w:val="14"/>
                <w:szCs w:val="14"/>
                <w:color w:val="auto"/>
              </w:rPr>
              <w:t>3/1/2024</w:t>
            </w:r>
          </w:p>
        </w:tc>
        <w:tc>
          <w:tcPr>
            <w:tcW w:w="860" w:type="dxa"/>
            <w:vAlign w:val="bottom"/>
            <w:shd w:val="clear" w:color="auto" w:fill="F0F7E7"/>
          </w:tcPr>
          <w:p>
            <w:pPr>
              <w:jc w:val="right"/>
              <w:ind w:right="110"/>
              <w:spacing w:after="0"/>
              <w:rPr>
                <w:sz w:val="20"/>
                <w:szCs w:val="20"/>
                <w:color w:val="auto"/>
              </w:rPr>
            </w:pPr>
            <w:r>
              <w:rPr>
                <w:rFonts w:ascii="Arial" w:cs="Arial" w:eastAsia="Arial" w:hAnsi="Arial"/>
                <w:sz w:val="14"/>
                <w:szCs w:val="14"/>
                <w:color w:val="auto"/>
              </w:rPr>
              <w:t>—</w:t>
            </w:r>
          </w:p>
        </w:tc>
        <w:tc>
          <w:tcPr>
            <w:tcW w:w="820" w:type="dxa"/>
            <w:vAlign w:val="bottom"/>
            <w:shd w:val="clear" w:color="auto" w:fill="F0F7E7"/>
          </w:tcPr>
          <w:p>
            <w:pPr>
              <w:jc w:val="right"/>
              <w:ind w:right="5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F0F7E7"/>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shd w:val="clear" w:color="auto" w:fill="F0F7E7"/>
          </w:tcPr>
          <w:p>
            <w:pPr>
              <w:jc w:val="right"/>
              <w:ind w:right="90"/>
              <w:spacing w:after="0"/>
              <w:rPr>
                <w:sz w:val="20"/>
                <w:szCs w:val="20"/>
                <w:color w:val="auto"/>
              </w:rPr>
            </w:pPr>
            <w:r>
              <w:rPr>
                <w:rFonts w:ascii="Arial" w:cs="Arial" w:eastAsia="Arial" w:hAnsi="Arial"/>
                <w:sz w:val="14"/>
                <w:szCs w:val="14"/>
                <w:color w:val="auto"/>
              </w:rPr>
              <w:t>—</w:t>
            </w:r>
          </w:p>
        </w:tc>
        <w:tc>
          <w:tcPr>
            <w:tcW w:w="780" w:type="dxa"/>
            <w:vAlign w:val="bottom"/>
            <w:shd w:val="clear" w:color="auto" w:fill="F0F7E7"/>
          </w:tcPr>
          <w:p>
            <w:pPr>
              <w:jc w:val="right"/>
              <w:ind w:right="5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F0F7E7"/>
          </w:tcPr>
          <w:p>
            <w:pPr>
              <w:jc w:val="right"/>
              <w:ind w:right="100"/>
              <w:spacing w:after="0"/>
              <w:rPr>
                <w:sz w:val="20"/>
                <w:szCs w:val="20"/>
                <w:color w:val="auto"/>
              </w:rPr>
            </w:pPr>
            <w:r>
              <w:rPr>
                <w:rFonts w:ascii="Arial" w:cs="Arial" w:eastAsia="Arial" w:hAnsi="Arial"/>
                <w:sz w:val="14"/>
                <w:szCs w:val="14"/>
                <w:color w:val="auto"/>
              </w:rPr>
              <w:t>—</w:t>
            </w:r>
          </w:p>
        </w:tc>
        <w:tc>
          <w:tcPr>
            <w:tcW w:w="840" w:type="dxa"/>
            <w:vAlign w:val="bottom"/>
            <w:shd w:val="clear" w:color="auto" w:fill="F0F7E7"/>
          </w:tcPr>
          <w:p>
            <w:pPr>
              <w:jc w:val="right"/>
              <w:ind w:right="10"/>
              <w:spacing w:after="0"/>
              <w:rPr>
                <w:sz w:val="20"/>
                <w:szCs w:val="20"/>
                <w:color w:val="auto"/>
              </w:rPr>
            </w:pPr>
            <w:r>
              <w:rPr>
                <w:rFonts w:ascii="Arial" w:cs="Arial" w:eastAsia="Arial" w:hAnsi="Arial"/>
                <w:sz w:val="14"/>
                <w:szCs w:val="14"/>
                <w:color w:val="auto"/>
              </w:rPr>
              <w:t>19,400</w:t>
            </w:r>
          </w:p>
        </w:tc>
        <w:tc>
          <w:tcPr>
            <w:tcW w:w="900" w:type="dxa"/>
            <w:vAlign w:val="bottom"/>
            <w:shd w:val="clear" w:color="auto" w:fill="F0F7E7"/>
          </w:tcPr>
          <w:p>
            <w:pPr>
              <w:jc w:val="right"/>
              <w:ind w:right="10"/>
              <w:spacing w:after="0"/>
              <w:rPr>
                <w:sz w:val="20"/>
                <w:szCs w:val="20"/>
                <w:color w:val="auto"/>
              </w:rPr>
            </w:pPr>
            <w:r>
              <w:rPr>
                <w:rFonts w:ascii="Arial" w:cs="Arial" w:eastAsia="Arial" w:hAnsi="Arial"/>
                <w:sz w:val="14"/>
                <w:szCs w:val="14"/>
                <w:color w:val="auto"/>
              </w:rPr>
              <w:t>—</w:t>
            </w:r>
          </w:p>
        </w:tc>
        <w:tc>
          <w:tcPr>
            <w:tcW w:w="800" w:type="dxa"/>
            <w:vAlign w:val="bottom"/>
            <w:shd w:val="clear" w:color="auto" w:fill="F0F7E7"/>
          </w:tcPr>
          <w:p>
            <w:pPr>
              <w:jc w:val="right"/>
              <w:ind w:right="30"/>
              <w:spacing w:after="0"/>
              <w:rPr>
                <w:sz w:val="20"/>
                <w:szCs w:val="20"/>
                <w:color w:val="auto"/>
              </w:rPr>
            </w:pPr>
            <w:r>
              <w:rPr>
                <w:rFonts w:ascii="Arial" w:cs="Arial" w:eastAsia="Arial" w:hAnsi="Arial"/>
                <w:sz w:val="14"/>
                <w:szCs w:val="14"/>
                <w:color w:val="auto"/>
              </w:rPr>
              <w:t>—</w:t>
            </w:r>
          </w:p>
        </w:tc>
        <w:tc>
          <w:tcPr>
            <w:tcW w:w="880" w:type="dxa"/>
            <w:vAlign w:val="bottom"/>
            <w:shd w:val="clear" w:color="auto" w:fill="F0F7E7"/>
          </w:tcPr>
          <w:p>
            <w:pPr>
              <w:jc w:val="right"/>
              <w:spacing w:after="0"/>
              <w:rPr>
                <w:sz w:val="20"/>
                <w:szCs w:val="20"/>
                <w:color w:val="auto"/>
              </w:rPr>
            </w:pPr>
            <w:r>
              <w:rPr>
                <w:rFonts w:ascii="Arial" w:cs="Arial" w:eastAsia="Arial" w:hAnsi="Arial"/>
                <w:sz w:val="14"/>
                <w:szCs w:val="14"/>
                <w:color w:val="auto"/>
              </w:rPr>
              <w:t>1,041,586</w:t>
            </w:r>
          </w:p>
        </w:tc>
        <w:tc>
          <w:tcPr>
            <w:tcW w:w="0" w:type="dxa"/>
            <w:vAlign w:val="bottom"/>
          </w:tcPr>
          <w:p>
            <w:pPr>
              <w:spacing w:after="0"/>
              <w:rPr>
                <w:sz w:val="1"/>
                <w:szCs w:val="1"/>
                <w:color w:val="auto"/>
              </w:rPr>
            </w:pPr>
          </w:p>
        </w:tc>
      </w:tr>
      <w:tr>
        <w:trPr>
          <w:trHeight w:val="163"/>
        </w:trPr>
        <w:tc>
          <w:tcPr>
            <w:tcW w:w="1740" w:type="dxa"/>
            <w:vAlign w:val="bottom"/>
          </w:tcPr>
          <w:p>
            <w:pPr>
              <w:spacing w:after="0"/>
              <w:rPr>
                <w:sz w:val="14"/>
                <w:szCs w:val="14"/>
                <w:color w:val="auto"/>
              </w:rPr>
            </w:pPr>
          </w:p>
        </w:tc>
        <w:tc>
          <w:tcPr>
            <w:tcW w:w="1000" w:type="dxa"/>
            <w:vAlign w:val="bottom"/>
          </w:tcPr>
          <w:p>
            <w:pPr>
              <w:jc w:val="right"/>
              <w:ind w:right="210"/>
              <w:spacing w:after="0"/>
              <w:rPr>
                <w:sz w:val="20"/>
                <w:szCs w:val="20"/>
                <w:color w:val="auto"/>
              </w:rPr>
            </w:pPr>
            <w:r>
              <w:rPr>
                <w:rFonts w:ascii="Arial" w:cs="Arial" w:eastAsia="Arial" w:hAnsi="Arial"/>
                <w:sz w:val="14"/>
                <w:szCs w:val="14"/>
                <w:color w:val="auto"/>
              </w:rPr>
              <w:t>3/1/2024</w:t>
            </w:r>
          </w:p>
        </w:tc>
        <w:tc>
          <w:tcPr>
            <w:tcW w:w="86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90"/>
              <w:spacing w:after="0"/>
              <w:rPr>
                <w:sz w:val="20"/>
                <w:szCs w:val="20"/>
                <w:color w:val="auto"/>
              </w:rPr>
            </w:pPr>
            <w:r>
              <w:rPr>
                <w:rFonts w:ascii="Arial" w:cs="Arial" w:eastAsia="Arial" w:hAnsi="Arial"/>
                <w:sz w:val="14"/>
                <w:szCs w:val="14"/>
                <w:color w:val="auto"/>
              </w:rPr>
              <w:t>8,085</w:t>
            </w:r>
          </w:p>
        </w:tc>
        <w:tc>
          <w:tcPr>
            <w:tcW w:w="780" w:type="dxa"/>
            <w:vAlign w:val="bottom"/>
          </w:tcPr>
          <w:p>
            <w:pPr>
              <w:jc w:val="right"/>
              <w:ind w:right="50"/>
              <w:spacing w:after="0"/>
              <w:rPr>
                <w:sz w:val="20"/>
                <w:szCs w:val="20"/>
                <w:color w:val="auto"/>
              </w:rPr>
            </w:pPr>
            <w:r>
              <w:rPr>
                <w:rFonts w:ascii="Arial" w:cs="Arial" w:eastAsia="Arial" w:hAnsi="Arial"/>
                <w:sz w:val="14"/>
                <w:szCs w:val="14"/>
                <w:color w:val="auto"/>
              </w:rPr>
              <w:t>19,400</w:t>
            </w:r>
          </w:p>
        </w:tc>
        <w:tc>
          <w:tcPr>
            <w:tcW w:w="760" w:type="dxa"/>
            <w:vAlign w:val="bottom"/>
          </w:tcPr>
          <w:p>
            <w:pPr>
              <w:jc w:val="right"/>
              <w:spacing w:after="0"/>
              <w:rPr>
                <w:sz w:val="20"/>
                <w:szCs w:val="20"/>
                <w:color w:val="auto"/>
              </w:rPr>
            </w:pPr>
            <w:r>
              <w:rPr>
                <w:rFonts w:ascii="Arial" w:cs="Arial" w:eastAsia="Arial" w:hAnsi="Arial"/>
                <w:sz w:val="14"/>
                <w:szCs w:val="14"/>
                <w:color w:val="auto"/>
              </w:rPr>
              <w:t>38,800</w:t>
            </w:r>
          </w:p>
        </w:tc>
        <w:tc>
          <w:tcPr>
            <w:tcW w:w="100" w:type="dxa"/>
            <w:vAlign w:val="bottom"/>
          </w:tcPr>
          <w:p>
            <w:pPr>
              <w:spacing w:after="0"/>
              <w:rPr>
                <w:sz w:val="14"/>
                <w:szCs w:val="14"/>
                <w:color w:val="auto"/>
              </w:rPr>
            </w:pPr>
          </w:p>
        </w:tc>
        <w:tc>
          <w:tcPr>
            <w:tcW w:w="84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1,230,358</w:t>
            </w:r>
          </w:p>
        </w:tc>
        <w:tc>
          <w:tcPr>
            <w:tcW w:w="0" w:type="dxa"/>
            <w:vAlign w:val="bottom"/>
          </w:tcPr>
          <w:p>
            <w:pPr>
              <w:spacing w:after="0"/>
              <w:rPr>
                <w:sz w:val="1"/>
                <w:szCs w:val="1"/>
                <w:color w:val="auto"/>
              </w:rPr>
            </w:pPr>
          </w:p>
        </w:tc>
      </w:tr>
      <w:tr>
        <w:trPr>
          <w:trHeight w:val="198"/>
        </w:trPr>
        <w:tc>
          <w:tcPr>
            <w:tcW w:w="1740" w:type="dxa"/>
            <w:vAlign w:val="bottom"/>
            <w:tcBorders>
              <w:bottom w:val="single" w:sz="8" w:color="7CBD3F"/>
            </w:tcBorders>
          </w:tcPr>
          <w:p>
            <w:pPr>
              <w:spacing w:after="0"/>
              <w:rPr>
                <w:sz w:val="17"/>
                <w:szCs w:val="17"/>
                <w:color w:val="auto"/>
              </w:rPr>
            </w:pPr>
          </w:p>
        </w:tc>
        <w:tc>
          <w:tcPr>
            <w:tcW w:w="1000" w:type="dxa"/>
            <w:vAlign w:val="bottom"/>
            <w:tcBorders>
              <w:bottom w:val="single" w:sz="8" w:color="7CBD3F"/>
            </w:tcBorders>
            <w:shd w:val="clear" w:color="auto" w:fill="F0F7E7"/>
          </w:tcPr>
          <w:p>
            <w:pPr>
              <w:jc w:val="right"/>
              <w:ind w:right="70"/>
              <w:spacing w:after="0" w:line="199" w:lineRule="exact"/>
              <w:rPr>
                <w:sz w:val="20"/>
                <w:szCs w:val="20"/>
                <w:color w:val="auto"/>
              </w:rPr>
            </w:pPr>
            <w:r>
              <w:rPr>
                <w:rFonts w:ascii="Arial" w:cs="Arial" w:eastAsia="Arial" w:hAnsi="Arial"/>
                <w:sz w:val="13"/>
                <w:szCs w:val="13"/>
                <w:color w:val="auto"/>
              </w:rPr>
              <w:t>10/21/2024</w:t>
            </w:r>
            <w:r>
              <w:rPr>
                <w:rFonts w:ascii="Arial" w:cs="Arial" w:eastAsia="Arial" w:hAnsi="Arial"/>
                <w:sz w:val="22"/>
                <w:szCs w:val="22"/>
                <w:color w:val="auto"/>
                <w:vertAlign w:val="superscript"/>
              </w:rPr>
              <w:t>(5)</w:t>
            </w:r>
          </w:p>
        </w:tc>
        <w:tc>
          <w:tcPr>
            <w:tcW w:w="860" w:type="dxa"/>
            <w:vAlign w:val="bottom"/>
            <w:tcBorders>
              <w:bottom w:val="single" w:sz="8" w:color="7CBD3F"/>
            </w:tcBorders>
            <w:shd w:val="clear" w:color="auto" w:fill="F0F7E7"/>
          </w:tcPr>
          <w:p>
            <w:pPr>
              <w:jc w:val="right"/>
              <w:ind w:right="11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7CBD3F"/>
            </w:tcBorders>
            <w:shd w:val="clear" w:color="auto" w:fill="F0F7E7"/>
          </w:tcPr>
          <w:p>
            <w:pPr>
              <w:jc w:val="right"/>
              <w:ind w:right="5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7CBD3F"/>
            </w:tcBorders>
            <w:gridSpan w:val="2"/>
            <w:shd w:val="clear" w:color="auto" w:fill="F0F7E7"/>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7CBD3F"/>
            </w:tcBorders>
            <w:shd w:val="clear" w:color="auto" w:fill="F0F7E7"/>
          </w:tcPr>
          <w:p>
            <w:pPr>
              <w:jc w:val="right"/>
              <w:ind w:right="9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7CBD3F"/>
            </w:tcBorders>
            <w:shd w:val="clear" w:color="auto" w:fill="F0F7E7"/>
          </w:tcPr>
          <w:p>
            <w:pPr>
              <w:jc w:val="right"/>
              <w:ind w:right="50"/>
              <w:spacing w:after="0"/>
              <w:rPr>
                <w:sz w:val="20"/>
                <w:szCs w:val="20"/>
                <w:color w:val="auto"/>
              </w:rPr>
            </w:pPr>
            <w:r>
              <w:rPr>
                <w:rFonts w:ascii="Arial" w:cs="Arial" w:eastAsia="Arial" w:hAnsi="Arial"/>
                <w:sz w:val="14"/>
                <w:szCs w:val="14"/>
                <w:color w:val="auto"/>
              </w:rPr>
              <w:t>22,500</w:t>
            </w:r>
          </w:p>
        </w:tc>
        <w:tc>
          <w:tcPr>
            <w:tcW w:w="860" w:type="dxa"/>
            <w:vAlign w:val="bottom"/>
            <w:tcBorders>
              <w:bottom w:val="single" w:sz="8" w:color="7CBD3F"/>
            </w:tcBorders>
            <w:gridSpan w:val="2"/>
            <w:shd w:val="clear" w:color="auto" w:fill="F0F7E7"/>
          </w:tcPr>
          <w:p>
            <w:pPr>
              <w:jc w:val="right"/>
              <w:ind w:right="10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7CBD3F"/>
            </w:tcBorders>
            <w:shd w:val="clear" w:color="auto" w:fill="F0F7E7"/>
          </w:tcPr>
          <w:p>
            <w:pPr>
              <w:jc w:val="right"/>
              <w:ind w:right="1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7CBD3F"/>
            </w:tcBorders>
            <w:shd w:val="clear" w:color="auto" w:fill="F0F7E7"/>
          </w:tcPr>
          <w:p>
            <w:pPr>
              <w:jc w:val="right"/>
              <w:ind w:right="1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7CBD3F"/>
            </w:tcBorders>
            <w:shd w:val="clear" w:color="auto" w:fill="F0F7E7"/>
          </w:tcPr>
          <w:p>
            <w:pPr>
              <w:jc w:val="right"/>
              <w:ind w:right="30"/>
              <w:spacing w:after="0"/>
              <w:rPr>
                <w:sz w:val="20"/>
                <w:szCs w:val="20"/>
                <w:color w:val="auto"/>
              </w:rPr>
            </w:pPr>
            <w:r>
              <w:rPr>
                <w:rFonts w:ascii="Arial" w:cs="Arial" w:eastAsia="Arial" w:hAnsi="Arial"/>
                <w:sz w:val="14"/>
                <w:szCs w:val="14"/>
                <w:color w:val="auto"/>
              </w:rPr>
              <w:t>2.31</w:t>
            </w:r>
          </w:p>
        </w:tc>
        <w:tc>
          <w:tcPr>
            <w:tcW w:w="880" w:type="dxa"/>
            <w:vAlign w:val="bottom"/>
            <w:tcBorders>
              <w:bottom w:val="single" w:sz="8" w:color="7CBD3F"/>
            </w:tcBorders>
            <w:shd w:val="clear" w:color="auto" w:fill="F0F7E7"/>
          </w:tcPr>
          <w:p>
            <w:pPr>
              <w:jc w:val="right"/>
              <w:spacing w:after="0"/>
              <w:rPr>
                <w:sz w:val="20"/>
                <w:szCs w:val="20"/>
                <w:color w:val="auto"/>
              </w:rPr>
            </w:pPr>
            <w:r>
              <w:rPr>
                <w:rFonts w:ascii="Arial" w:cs="Arial" w:eastAsia="Arial" w:hAnsi="Arial"/>
                <w:sz w:val="14"/>
                <w:szCs w:val="14"/>
                <w:color w:val="auto"/>
              </w:rPr>
              <w:t>37,733</w:t>
            </w:r>
          </w:p>
        </w:tc>
        <w:tc>
          <w:tcPr>
            <w:tcW w:w="0" w:type="dxa"/>
            <w:vAlign w:val="bottom"/>
          </w:tcPr>
          <w:p>
            <w:pPr>
              <w:spacing w:after="0"/>
              <w:rPr>
                <w:sz w:val="1"/>
                <w:szCs w:val="1"/>
                <w:color w:val="auto"/>
              </w:rPr>
            </w:pPr>
          </w:p>
        </w:tc>
      </w:tr>
      <w:tr>
        <w:trPr>
          <w:trHeight w:val="155"/>
        </w:trPr>
        <w:tc>
          <w:tcPr>
            <w:tcW w:w="1740" w:type="dxa"/>
            <w:vAlign w:val="bottom"/>
          </w:tcPr>
          <w:p>
            <w:pPr>
              <w:ind w:left="40"/>
              <w:spacing w:after="0" w:line="155" w:lineRule="exact"/>
              <w:rPr>
                <w:sz w:val="20"/>
                <w:szCs w:val="20"/>
                <w:color w:val="auto"/>
              </w:rPr>
            </w:pPr>
            <w:r>
              <w:rPr>
                <w:rFonts w:ascii="Arial" w:cs="Arial" w:eastAsia="Arial" w:hAnsi="Arial"/>
                <w:sz w:val="14"/>
                <w:szCs w:val="14"/>
                <w:b w:val="1"/>
                <w:bCs w:val="1"/>
                <w:color w:val="auto"/>
              </w:rPr>
              <w:t>Erik Harris</w:t>
            </w:r>
          </w:p>
        </w:tc>
        <w:tc>
          <w:tcPr>
            <w:tcW w:w="1000" w:type="dxa"/>
            <w:vAlign w:val="bottom"/>
          </w:tcPr>
          <w:p>
            <w:pPr>
              <w:spacing w:after="0"/>
              <w:rPr>
                <w:sz w:val="13"/>
                <w:szCs w:val="13"/>
                <w:color w:val="auto"/>
              </w:rPr>
            </w:pPr>
          </w:p>
        </w:tc>
        <w:tc>
          <w:tcPr>
            <w:tcW w:w="860" w:type="dxa"/>
            <w:vAlign w:val="bottom"/>
          </w:tcPr>
          <w:p>
            <w:pPr>
              <w:jc w:val="right"/>
              <w:ind w:right="110"/>
              <w:spacing w:after="0" w:line="155" w:lineRule="exact"/>
              <w:rPr>
                <w:sz w:val="20"/>
                <w:szCs w:val="20"/>
                <w:color w:val="auto"/>
              </w:rPr>
            </w:pPr>
            <w:r>
              <w:rPr>
                <w:rFonts w:ascii="Arial" w:cs="Arial" w:eastAsia="Arial" w:hAnsi="Arial"/>
                <w:sz w:val="14"/>
                <w:szCs w:val="14"/>
                <w:color w:val="auto"/>
              </w:rPr>
              <w:t>—</w:t>
            </w:r>
          </w:p>
        </w:tc>
        <w:tc>
          <w:tcPr>
            <w:tcW w:w="820" w:type="dxa"/>
            <w:vAlign w:val="bottom"/>
          </w:tcPr>
          <w:p>
            <w:pPr>
              <w:jc w:val="right"/>
              <w:ind w:right="50"/>
              <w:spacing w:after="0" w:line="155" w:lineRule="exact"/>
              <w:rPr>
                <w:sz w:val="20"/>
                <w:szCs w:val="20"/>
                <w:color w:val="auto"/>
              </w:rPr>
            </w:pPr>
            <w:r>
              <w:rPr>
                <w:rFonts w:ascii="Arial" w:cs="Arial" w:eastAsia="Arial" w:hAnsi="Arial"/>
                <w:sz w:val="14"/>
                <w:szCs w:val="14"/>
                <w:color w:val="auto"/>
              </w:rPr>
              <w:t>303,500</w:t>
            </w: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605,483</w:t>
            </w:r>
          </w:p>
        </w:tc>
        <w:tc>
          <w:tcPr>
            <w:tcW w:w="160" w:type="dxa"/>
            <w:vAlign w:val="bottom"/>
          </w:tcPr>
          <w:p>
            <w:pPr>
              <w:spacing w:after="0"/>
              <w:rPr>
                <w:sz w:val="13"/>
                <w:szCs w:val="13"/>
                <w:color w:val="auto"/>
              </w:rPr>
            </w:pPr>
          </w:p>
        </w:tc>
        <w:tc>
          <w:tcPr>
            <w:tcW w:w="840" w:type="dxa"/>
            <w:vAlign w:val="bottom"/>
          </w:tcPr>
          <w:p>
            <w:pPr>
              <w:jc w:val="right"/>
              <w:ind w:right="90"/>
              <w:spacing w:after="0" w:line="155"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50"/>
              <w:spacing w:after="0" w:line="155"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10"/>
              <w:spacing w:after="0" w:line="155"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10"/>
              <w:spacing w:after="0" w:line="155"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30"/>
              <w:spacing w:after="0" w:line="155"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1740" w:type="dxa"/>
            <w:vAlign w:val="bottom"/>
          </w:tcPr>
          <w:p>
            <w:pPr>
              <w:spacing w:after="0"/>
              <w:rPr>
                <w:sz w:val="14"/>
                <w:szCs w:val="14"/>
                <w:color w:val="auto"/>
              </w:rPr>
            </w:pPr>
          </w:p>
        </w:tc>
        <w:tc>
          <w:tcPr>
            <w:tcW w:w="1000" w:type="dxa"/>
            <w:vAlign w:val="bottom"/>
            <w:shd w:val="clear" w:color="auto" w:fill="F0F7E7"/>
          </w:tcPr>
          <w:p>
            <w:pPr>
              <w:jc w:val="right"/>
              <w:ind w:right="210"/>
              <w:spacing w:after="0"/>
              <w:rPr>
                <w:sz w:val="20"/>
                <w:szCs w:val="20"/>
                <w:color w:val="auto"/>
              </w:rPr>
            </w:pPr>
            <w:r>
              <w:rPr>
                <w:rFonts w:ascii="Arial" w:cs="Arial" w:eastAsia="Arial" w:hAnsi="Arial"/>
                <w:sz w:val="14"/>
                <w:szCs w:val="14"/>
                <w:color w:val="auto"/>
              </w:rPr>
              <w:t>3/1/2024</w:t>
            </w:r>
          </w:p>
        </w:tc>
        <w:tc>
          <w:tcPr>
            <w:tcW w:w="860" w:type="dxa"/>
            <w:vAlign w:val="bottom"/>
            <w:shd w:val="clear" w:color="auto" w:fill="F0F7E7"/>
          </w:tcPr>
          <w:p>
            <w:pPr>
              <w:jc w:val="right"/>
              <w:ind w:right="110"/>
              <w:spacing w:after="0"/>
              <w:rPr>
                <w:sz w:val="20"/>
                <w:szCs w:val="20"/>
                <w:color w:val="auto"/>
              </w:rPr>
            </w:pPr>
            <w:r>
              <w:rPr>
                <w:rFonts w:ascii="Arial" w:cs="Arial" w:eastAsia="Arial" w:hAnsi="Arial"/>
                <w:sz w:val="14"/>
                <w:szCs w:val="14"/>
                <w:color w:val="auto"/>
              </w:rPr>
              <w:t>—</w:t>
            </w:r>
          </w:p>
        </w:tc>
        <w:tc>
          <w:tcPr>
            <w:tcW w:w="820" w:type="dxa"/>
            <w:vAlign w:val="bottom"/>
            <w:shd w:val="clear" w:color="auto" w:fill="F0F7E7"/>
          </w:tcPr>
          <w:p>
            <w:pPr>
              <w:jc w:val="right"/>
              <w:ind w:right="5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F0F7E7"/>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shd w:val="clear" w:color="auto" w:fill="F0F7E7"/>
          </w:tcPr>
          <w:p>
            <w:pPr>
              <w:jc w:val="right"/>
              <w:ind w:right="90"/>
              <w:spacing w:after="0"/>
              <w:rPr>
                <w:sz w:val="20"/>
                <w:szCs w:val="20"/>
                <w:color w:val="auto"/>
              </w:rPr>
            </w:pPr>
            <w:r>
              <w:rPr>
                <w:rFonts w:ascii="Arial" w:cs="Arial" w:eastAsia="Arial" w:hAnsi="Arial"/>
                <w:sz w:val="14"/>
                <w:szCs w:val="14"/>
                <w:color w:val="auto"/>
              </w:rPr>
              <w:t>—</w:t>
            </w:r>
          </w:p>
        </w:tc>
        <w:tc>
          <w:tcPr>
            <w:tcW w:w="780" w:type="dxa"/>
            <w:vAlign w:val="bottom"/>
            <w:shd w:val="clear" w:color="auto" w:fill="F0F7E7"/>
          </w:tcPr>
          <w:p>
            <w:pPr>
              <w:jc w:val="right"/>
              <w:ind w:right="5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F0F7E7"/>
          </w:tcPr>
          <w:p>
            <w:pPr>
              <w:jc w:val="right"/>
              <w:ind w:right="100"/>
              <w:spacing w:after="0"/>
              <w:rPr>
                <w:sz w:val="20"/>
                <w:szCs w:val="20"/>
                <w:color w:val="auto"/>
              </w:rPr>
            </w:pPr>
            <w:r>
              <w:rPr>
                <w:rFonts w:ascii="Arial" w:cs="Arial" w:eastAsia="Arial" w:hAnsi="Arial"/>
                <w:sz w:val="14"/>
                <w:szCs w:val="14"/>
                <w:color w:val="auto"/>
              </w:rPr>
              <w:t>—</w:t>
            </w:r>
          </w:p>
        </w:tc>
        <w:tc>
          <w:tcPr>
            <w:tcW w:w="840" w:type="dxa"/>
            <w:vAlign w:val="bottom"/>
            <w:shd w:val="clear" w:color="auto" w:fill="F0F7E7"/>
          </w:tcPr>
          <w:p>
            <w:pPr>
              <w:jc w:val="right"/>
              <w:ind w:right="10"/>
              <w:spacing w:after="0"/>
              <w:rPr>
                <w:sz w:val="20"/>
                <w:szCs w:val="20"/>
                <w:color w:val="auto"/>
              </w:rPr>
            </w:pPr>
            <w:r>
              <w:rPr>
                <w:rFonts w:ascii="Arial" w:cs="Arial" w:eastAsia="Arial" w:hAnsi="Arial"/>
                <w:sz w:val="14"/>
                <w:szCs w:val="14"/>
                <w:color w:val="auto"/>
              </w:rPr>
              <w:t>—</w:t>
            </w:r>
          </w:p>
        </w:tc>
        <w:tc>
          <w:tcPr>
            <w:tcW w:w="900" w:type="dxa"/>
            <w:vAlign w:val="bottom"/>
            <w:shd w:val="clear" w:color="auto" w:fill="F0F7E7"/>
          </w:tcPr>
          <w:p>
            <w:pPr>
              <w:jc w:val="right"/>
              <w:ind w:right="10"/>
              <w:spacing w:after="0"/>
              <w:rPr>
                <w:sz w:val="20"/>
                <w:szCs w:val="20"/>
                <w:color w:val="auto"/>
              </w:rPr>
            </w:pPr>
            <w:r>
              <w:rPr>
                <w:rFonts w:ascii="Arial" w:cs="Arial" w:eastAsia="Arial" w:hAnsi="Arial"/>
                <w:sz w:val="14"/>
                <w:szCs w:val="14"/>
                <w:color w:val="auto"/>
              </w:rPr>
              <w:t>34,200</w:t>
            </w:r>
          </w:p>
        </w:tc>
        <w:tc>
          <w:tcPr>
            <w:tcW w:w="800" w:type="dxa"/>
            <w:vAlign w:val="bottom"/>
            <w:shd w:val="clear" w:color="auto" w:fill="F0F7E7"/>
          </w:tcPr>
          <w:p>
            <w:pPr>
              <w:jc w:val="right"/>
              <w:ind w:right="30"/>
              <w:spacing w:after="0"/>
              <w:rPr>
                <w:sz w:val="20"/>
                <w:szCs w:val="20"/>
                <w:color w:val="auto"/>
              </w:rPr>
            </w:pPr>
            <w:r>
              <w:rPr>
                <w:rFonts w:ascii="Arial" w:cs="Arial" w:eastAsia="Arial" w:hAnsi="Arial"/>
                <w:sz w:val="14"/>
                <w:szCs w:val="14"/>
                <w:color w:val="auto"/>
              </w:rPr>
              <w:t>53.69</w:t>
            </w:r>
          </w:p>
        </w:tc>
        <w:tc>
          <w:tcPr>
            <w:tcW w:w="880" w:type="dxa"/>
            <w:vAlign w:val="bottom"/>
            <w:shd w:val="clear" w:color="auto" w:fill="F0F7E7"/>
          </w:tcPr>
          <w:p>
            <w:pPr>
              <w:jc w:val="right"/>
              <w:spacing w:after="0"/>
              <w:rPr>
                <w:sz w:val="20"/>
                <w:szCs w:val="20"/>
                <w:color w:val="auto"/>
              </w:rPr>
            </w:pPr>
            <w:r>
              <w:rPr>
                <w:rFonts w:ascii="Arial" w:cs="Arial" w:eastAsia="Arial" w:hAnsi="Arial"/>
                <w:sz w:val="14"/>
                <w:szCs w:val="14"/>
                <w:color w:val="auto"/>
              </w:rPr>
              <w:t>1,038,603</w:t>
            </w:r>
          </w:p>
        </w:tc>
        <w:tc>
          <w:tcPr>
            <w:tcW w:w="0" w:type="dxa"/>
            <w:vAlign w:val="bottom"/>
          </w:tcPr>
          <w:p>
            <w:pPr>
              <w:spacing w:after="0"/>
              <w:rPr>
                <w:sz w:val="1"/>
                <w:szCs w:val="1"/>
                <w:color w:val="auto"/>
              </w:rPr>
            </w:pPr>
          </w:p>
        </w:tc>
      </w:tr>
      <w:tr>
        <w:trPr>
          <w:trHeight w:val="163"/>
        </w:trPr>
        <w:tc>
          <w:tcPr>
            <w:tcW w:w="1740" w:type="dxa"/>
            <w:vAlign w:val="bottom"/>
          </w:tcPr>
          <w:p>
            <w:pPr>
              <w:spacing w:after="0"/>
              <w:rPr>
                <w:sz w:val="14"/>
                <w:szCs w:val="14"/>
                <w:color w:val="auto"/>
              </w:rPr>
            </w:pPr>
          </w:p>
        </w:tc>
        <w:tc>
          <w:tcPr>
            <w:tcW w:w="1000" w:type="dxa"/>
            <w:vAlign w:val="bottom"/>
          </w:tcPr>
          <w:p>
            <w:pPr>
              <w:jc w:val="right"/>
              <w:ind w:right="210"/>
              <w:spacing w:after="0"/>
              <w:rPr>
                <w:sz w:val="20"/>
                <w:szCs w:val="20"/>
                <w:color w:val="auto"/>
              </w:rPr>
            </w:pPr>
            <w:r>
              <w:rPr>
                <w:rFonts w:ascii="Arial" w:cs="Arial" w:eastAsia="Arial" w:hAnsi="Arial"/>
                <w:sz w:val="14"/>
                <w:szCs w:val="14"/>
                <w:color w:val="auto"/>
              </w:rPr>
              <w:t>3/1/2024</w:t>
            </w:r>
          </w:p>
        </w:tc>
        <w:tc>
          <w:tcPr>
            <w:tcW w:w="86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
              <w:spacing w:after="0"/>
              <w:rPr>
                <w:sz w:val="20"/>
                <w:szCs w:val="20"/>
                <w:color w:val="auto"/>
              </w:rPr>
            </w:pPr>
            <w:r>
              <w:rPr>
                <w:rFonts w:ascii="Arial" w:cs="Arial" w:eastAsia="Arial" w:hAnsi="Arial"/>
                <w:sz w:val="14"/>
                <w:szCs w:val="14"/>
                <w:color w:val="auto"/>
              </w:rPr>
              <w:t>19,400</w:t>
            </w:r>
          </w:p>
        </w:tc>
        <w:tc>
          <w:tcPr>
            <w:tcW w:w="90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1,041,586</w:t>
            </w:r>
          </w:p>
        </w:tc>
        <w:tc>
          <w:tcPr>
            <w:tcW w:w="0" w:type="dxa"/>
            <w:vAlign w:val="bottom"/>
          </w:tcPr>
          <w:p>
            <w:pPr>
              <w:spacing w:after="0"/>
              <w:rPr>
                <w:sz w:val="1"/>
                <w:szCs w:val="1"/>
                <w:color w:val="auto"/>
              </w:rPr>
            </w:pPr>
          </w:p>
        </w:tc>
      </w:tr>
      <w:tr>
        <w:trPr>
          <w:trHeight w:val="163"/>
        </w:trPr>
        <w:tc>
          <w:tcPr>
            <w:tcW w:w="1740" w:type="dxa"/>
            <w:vAlign w:val="bottom"/>
            <w:tcBorders>
              <w:bottom w:val="single" w:sz="8" w:color="7CBD3F"/>
            </w:tcBorders>
          </w:tcPr>
          <w:p>
            <w:pPr>
              <w:spacing w:after="0"/>
              <w:rPr>
                <w:sz w:val="14"/>
                <w:szCs w:val="14"/>
                <w:color w:val="auto"/>
              </w:rPr>
            </w:pPr>
          </w:p>
        </w:tc>
        <w:tc>
          <w:tcPr>
            <w:tcW w:w="1000" w:type="dxa"/>
            <w:vAlign w:val="bottom"/>
            <w:tcBorders>
              <w:bottom w:val="single" w:sz="8" w:color="7CBD3F"/>
            </w:tcBorders>
            <w:shd w:val="clear" w:color="auto" w:fill="F0F7E7"/>
          </w:tcPr>
          <w:p>
            <w:pPr>
              <w:jc w:val="right"/>
              <w:ind w:right="210"/>
              <w:spacing w:after="0"/>
              <w:rPr>
                <w:sz w:val="20"/>
                <w:szCs w:val="20"/>
                <w:color w:val="auto"/>
              </w:rPr>
            </w:pPr>
            <w:r>
              <w:rPr>
                <w:rFonts w:ascii="Arial" w:cs="Arial" w:eastAsia="Arial" w:hAnsi="Arial"/>
                <w:sz w:val="14"/>
                <w:szCs w:val="14"/>
                <w:color w:val="auto"/>
              </w:rPr>
              <w:t>3/1/2024</w:t>
            </w:r>
          </w:p>
        </w:tc>
        <w:tc>
          <w:tcPr>
            <w:tcW w:w="860" w:type="dxa"/>
            <w:vAlign w:val="bottom"/>
            <w:tcBorders>
              <w:bottom w:val="single" w:sz="8" w:color="7CBD3F"/>
            </w:tcBorders>
            <w:shd w:val="clear" w:color="auto" w:fill="F0F7E7"/>
          </w:tcPr>
          <w:p>
            <w:pPr>
              <w:jc w:val="right"/>
              <w:ind w:right="11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7CBD3F"/>
            </w:tcBorders>
            <w:shd w:val="clear" w:color="auto" w:fill="F0F7E7"/>
          </w:tcPr>
          <w:p>
            <w:pPr>
              <w:jc w:val="right"/>
              <w:ind w:right="5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7CBD3F"/>
            </w:tcBorders>
            <w:gridSpan w:val="2"/>
            <w:shd w:val="clear" w:color="auto" w:fill="F0F7E7"/>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7CBD3F"/>
            </w:tcBorders>
            <w:shd w:val="clear" w:color="auto" w:fill="F0F7E7"/>
          </w:tcPr>
          <w:p>
            <w:pPr>
              <w:jc w:val="right"/>
              <w:ind w:right="90"/>
              <w:spacing w:after="0"/>
              <w:rPr>
                <w:sz w:val="20"/>
                <w:szCs w:val="20"/>
                <w:color w:val="auto"/>
              </w:rPr>
            </w:pPr>
            <w:r>
              <w:rPr>
                <w:rFonts w:ascii="Arial" w:cs="Arial" w:eastAsia="Arial" w:hAnsi="Arial"/>
                <w:sz w:val="14"/>
                <w:szCs w:val="14"/>
                <w:color w:val="auto"/>
              </w:rPr>
              <w:t>8,085</w:t>
            </w:r>
          </w:p>
        </w:tc>
        <w:tc>
          <w:tcPr>
            <w:tcW w:w="780" w:type="dxa"/>
            <w:vAlign w:val="bottom"/>
            <w:tcBorders>
              <w:bottom w:val="single" w:sz="8" w:color="7CBD3F"/>
            </w:tcBorders>
            <w:shd w:val="clear" w:color="auto" w:fill="F0F7E7"/>
          </w:tcPr>
          <w:p>
            <w:pPr>
              <w:jc w:val="right"/>
              <w:ind w:right="50"/>
              <w:spacing w:after="0"/>
              <w:rPr>
                <w:sz w:val="20"/>
                <w:szCs w:val="20"/>
                <w:color w:val="auto"/>
              </w:rPr>
            </w:pPr>
            <w:r>
              <w:rPr>
                <w:rFonts w:ascii="Arial" w:cs="Arial" w:eastAsia="Arial" w:hAnsi="Arial"/>
                <w:sz w:val="14"/>
                <w:szCs w:val="14"/>
                <w:color w:val="auto"/>
              </w:rPr>
              <w:t>19,400</w:t>
            </w:r>
          </w:p>
        </w:tc>
        <w:tc>
          <w:tcPr>
            <w:tcW w:w="760" w:type="dxa"/>
            <w:vAlign w:val="bottom"/>
            <w:tcBorders>
              <w:bottom w:val="single" w:sz="8" w:color="7CBD3F"/>
            </w:tcBorders>
            <w:shd w:val="clear" w:color="auto" w:fill="F0F7E7"/>
          </w:tcPr>
          <w:p>
            <w:pPr>
              <w:jc w:val="right"/>
              <w:spacing w:after="0"/>
              <w:rPr>
                <w:sz w:val="20"/>
                <w:szCs w:val="20"/>
                <w:color w:val="auto"/>
              </w:rPr>
            </w:pPr>
            <w:r>
              <w:rPr>
                <w:rFonts w:ascii="Arial" w:cs="Arial" w:eastAsia="Arial" w:hAnsi="Arial"/>
                <w:sz w:val="14"/>
                <w:szCs w:val="14"/>
                <w:color w:val="auto"/>
              </w:rPr>
              <w:t>38,800</w:t>
            </w:r>
          </w:p>
        </w:tc>
        <w:tc>
          <w:tcPr>
            <w:tcW w:w="100" w:type="dxa"/>
            <w:vAlign w:val="bottom"/>
            <w:tcBorders>
              <w:bottom w:val="single" w:sz="8" w:color="7CBD3F"/>
            </w:tcBorders>
            <w:shd w:val="clear" w:color="auto" w:fill="F0F7E7"/>
          </w:tcPr>
          <w:p>
            <w:pPr>
              <w:spacing w:after="0"/>
              <w:rPr>
                <w:sz w:val="14"/>
                <w:szCs w:val="14"/>
                <w:color w:val="auto"/>
              </w:rPr>
            </w:pPr>
          </w:p>
        </w:tc>
        <w:tc>
          <w:tcPr>
            <w:tcW w:w="840" w:type="dxa"/>
            <w:vAlign w:val="bottom"/>
            <w:tcBorders>
              <w:bottom w:val="single" w:sz="8" w:color="7CBD3F"/>
            </w:tcBorders>
            <w:shd w:val="clear" w:color="auto" w:fill="F0F7E7"/>
          </w:tcPr>
          <w:p>
            <w:pPr>
              <w:jc w:val="right"/>
              <w:ind w:right="1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7CBD3F"/>
            </w:tcBorders>
            <w:shd w:val="clear" w:color="auto" w:fill="F0F7E7"/>
          </w:tcPr>
          <w:p>
            <w:pPr>
              <w:jc w:val="right"/>
              <w:ind w:right="1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7CBD3F"/>
            </w:tcBorders>
            <w:shd w:val="clear" w:color="auto" w:fill="F0F7E7"/>
          </w:tcPr>
          <w:p>
            <w:pPr>
              <w:jc w:val="right"/>
              <w:ind w:right="3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7CBD3F"/>
            </w:tcBorders>
            <w:shd w:val="clear" w:color="auto" w:fill="F0F7E7"/>
          </w:tcPr>
          <w:p>
            <w:pPr>
              <w:jc w:val="right"/>
              <w:spacing w:after="0"/>
              <w:rPr>
                <w:sz w:val="20"/>
                <w:szCs w:val="20"/>
                <w:color w:val="auto"/>
              </w:rPr>
            </w:pPr>
            <w:r>
              <w:rPr>
                <w:rFonts w:ascii="Arial" w:cs="Arial" w:eastAsia="Arial" w:hAnsi="Arial"/>
                <w:sz w:val="14"/>
                <w:szCs w:val="14"/>
                <w:color w:val="auto"/>
              </w:rPr>
              <w:t>1,230,358</w:t>
            </w:r>
          </w:p>
        </w:tc>
        <w:tc>
          <w:tcPr>
            <w:tcW w:w="0" w:type="dxa"/>
            <w:vAlign w:val="bottom"/>
          </w:tcPr>
          <w:p>
            <w:pPr>
              <w:spacing w:after="0"/>
              <w:rPr>
                <w:sz w:val="1"/>
                <w:szCs w:val="1"/>
                <w:color w:val="auto"/>
              </w:rPr>
            </w:pPr>
          </w:p>
        </w:tc>
      </w:tr>
      <w:tr>
        <w:trPr>
          <w:trHeight w:val="155"/>
        </w:trPr>
        <w:tc>
          <w:tcPr>
            <w:tcW w:w="1740" w:type="dxa"/>
            <w:vAlign w:val="bottom"/>
          </w:tcPr>
          <w:p>
            <w:pPr>
              <w:ind w:left="40"/>
              <w:spacing w:after="0" w:line="155" w:lineRule="exact"/>
              <w:rPr>
                <w:sz w:val="20"/>
                <w:szCs w:val="20"/>
                <w:color w:val="auto"/>
              </w:rPr>
            </w:pPr>
            <w:r>
              <w:rPr>
                <w:rFonts w:ascii="Arial" w:cs="Arial" w:eastAsia="Arial" w:hAnsi="Arial"/>
                <w:sz w:val="14"/>
                <w:szCs w:val="14"/>
                <w:b w:val="1"/>
                <w:bCs w:val="1"/>
                <w:color w:val="auto"/>
              </w:rPr>
              <w:t>Eric Crombez.,</w:t>
            </w:r>
          </w:p>
        </w:tc>
        <w:tc>
          <w:tcPr>
            <w:tcW w:w="1000" w:type="dxa"/>
            <w:vAlign w:val="bottom"/>
          </w:tcPr>
          <w:p>
            <w:pPr>
              <w:spacing w:after="0"/>
              <w:rPr>
                <w:sz w:val="13"/>
                <w:szCs w:val="13"/>
                <w:color w:val="auto"/>
              </w:rPr>
            </w:pPr>
          </w:p>
        </w:tc>
        <w:tc>
          <w:tcPr>
            <w:tcW w:w="860" w:type="dxa"/>
            <w:vAlign w:val="bottom"/>
          </w:tcPr>
          <w:p>
            <w:pPr>
              <w:jc w:val="right"/>
              <w:ind w:right="110"/>
              <w:spacing w:after="0" w:line="155" w:lineRule="exact"/>
              <w:rPr>
                <w:sz w:val="20"/>
                <w:szCs w:val="20"/>
                <w:color w:val="auto"/>
              </w:rPr>
            </w:pPr>
            <w:r>
              <w:rPr>
                <w:rFonts w:ascii="Arial" w:cs="Arial" w:eastAsia="Arial" w:hAnsi="Arial"/>
                <w:sz w:val="14"/>
                <w:szCs w:val="14"/>
                <w:color w:val="auto"/>
              </w:rPr>
              <w:t>—</w:t>
            </w:r>
          </w:p>
        </w:tc>
        <w:tc>
          <w:tcPr>
            <w:tcW w:w="820" w:type="dxa"/>
            <w:vAlign w:val="bottom"/>
          </w:tcPr>
          <w:p>
            <w:pPr>
              <w:jc w:val="right"/>
              <w:ind w:right="50"/>
              <w:spacing w:after="0" w:line="155" w:lineRule="exact"/>
              <w:rPr>
                <w:sz w:val="20"/>
                <w:szCs w:val="20"/>
                <w:color w:val="auto"/>
              </w:rPr>
            </w:pPr>
            <w:r>
              <w:rPr>
                <w:rFonts w:ascii="Arial" w:cs="Arial" w:eastAsia="Arial" w:hAnsi="Arial"/>
                <w:sz w:val="14"/>
                <w:szCs w:val="14"/>
                <w:color w:val="auto"/>
              </w:rPr>
              <w:t>302,000</w:t>
            </w: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602,490</w:t>
            </w:r>
          </w:p>
        </w:tc>
        <w:tc>
          <w:tcPr>
            <w:tcW w:w="160" w:type="dxa"/>
            <w:vAlign w:val="bottom"/>
          </w:tcPr>
          <w:p>
            <w:pPr>
              <w:spacing w:after="0"/>
              <w:rPr>
                <w:sz w:val="13"/>
                <w:szCs w:val="13"/>
                <w:color w:val="auto"/>
              </w:rPr>
            </w:pPr>
          </w:p>
        </w:tc>
        <w:tc>
          <w:tcPr>
            <w:tcW w:w="840" w:type="dxa"/>
            <w:vAlign w:val="bottom"/>
          </w:tcPr>
          <w:p>
            <w:pPr>
              <w:jc w:val="right"/>
              <w:ind w:right="90"/>
              <w:spacing w:after="0" w:line="155"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50"/>
              <w:spacing w:after="0" w:line="155"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10"/>
              <w:spacing w:after="0" w:line="155"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10"/>
              <w:spacing w:after="0" w:line="155"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30"/>
              <w:spacing w:after="0" w:line="155"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1740" w:type="dxa"/>
            <w:vAlign w:val="bottom"/>
          </w:tcPr>
          <w:p>
            <w:pPr>
              <w:ind w:left="40"/>
              <w:spacing w:after="0"/>
              <w:rPr>
                <w:sz w:val="20"/>
                <w:szCs w:val="20"/>
                <w:color w:val="auto"/>
              </w:rPr>
            </w:pPr>
            <w:r>
              <w:rPr>
                <w:rFonts w:ascii="Arial" w:cs="Arial" w:eastAsia="Arial" w:hAnsi="Arial"/>
                <w:sz w:val="14"/>
                <w:szCs w:val="14"/>
                <w:b w:val="1"/>
                <w:bCs w:val="1"/>
                <w:color w:val="auto"/>
              </w:rPr>
              <w:t>M.D.</w:t>
            </w:r>
          </w:p>
        </w:tc>
        <w:tc>
          <w:tcPr>
            <w:tcW w:w="1000" w:type="dxa"/>
            <w:vAlign w:val="bottom"/>
            <w:shd w:val="clear" w:color="auto" w:fill="F0F7E7"/>
          </w:tcPr>
          <w:p>
            <w:pPr>
              <w:jc w:val="right"/>
              <w:ind w:right="210"/>
              <w:spacing w:after="0"/>
              <w:rPr>
                <w:sz w:val="20"/>
                <w:szCs w:val="20"/>
                <w:color w:val="auto"/>
              </w:rPr>
            </w:pPr>
            <w:r>
              <w:rPr>
                <w:rFonts w:ascii="Arial" w:cs="Arial" w:eastAsia="Arial" w:hAnsi="Arial"/>
                <w:sz w:val="14"/>
                <w:szCs w:val="14"/>
                <w:color w:val="auto"/>
              </w:rPr>
              <w:t>3/1/2024</w:t>
            </w:r>
          </w:p>
        </w:tc>
        <w:tc>
          <w:tcPr>
            <w:tcW w:w="860" w:type="dxa"/>
            <w:vAlign w:val="bottom"/>
            <w:shd w:val="clear" w:color="auto" w:fill="F0F7E7"/>
          </w:tcPr>
          <w:p>
            <w:pPr>
              <w:jc w:val="right"/>
              <w:ind w:right="110"/>
              <w:spacing w:after="0"/>
              <w:rPr>
                <w:sz w:val="20"/>
                <w:szCs w:val="20"/>
                <w:color w:val="auto"/>
              </w:rPr>
            </w:pPr>
            <w:r>
              <w:rPr>
                <w:rFonts w:ascii="Arial" w:cs="Arial" w:eastAsia="Arial" w:hAnsi="Arial"/>
                <w:sz w:val="14"/>
                <w:szCs w:val="14"/>
                <w:color w:val="auto"/>
              </w:rPr>
              <w:t>—</w:t>
            </w:r>
          </w:p>
        </w:tc>
        <w:tc>
          <w:tcPr>
            <w:tcW w:w="820" w:type="dxa"/>
            <w:vAlign w:val="bottom"/>
            <w:shd w:val="clear" w:color="auto" w:fill="F0F7E7"/>
          </w:tcPr>
          <w:p>
            <w:pPr>
              <w:jc w:val="right"/>
              <w:ind w:right="5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F0F7E7"/>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shd w:val="clear" w:color="auto" w:fill="F0F7E7"/>
          </w:tcPr>
          <w:p>
            <w:pPr>
              <w:jc w:val="right"/>
              <w:ind w:right="90"/>
              <w:spacing w:after="0"/>
              <w:rPr>
                <w:sz w:val="20"/>
                <w:szCs w:val="20"/>
                <w:color w:val="auto"/>
              </w:rPr>
            </w:pPr>
            <w:r>
              <w:rPr>
                <w:rFonts w:ascii="Arial" w:cs="Arial" w:eastAsia="Arial" w:hAnsi="Arial"/>
                <w:sz w:val="14"/>
                <w:szCs w:val="14"/>
                <w:color w:val="auto"/>
              </w:rPr>
              <w:t>—</w:t>
            </w:r>
          </w:p>
        </w:tc>
        <w:tc>
          <w:tcPr>
            <w:tcW w:w="780" w:type="dxa"/>
            <w:vAlign w:val="bottom"/>
            <w:shd w:val="clear" w:color="auto" w:fill="F0F7E7"/>
          </w:tcPr>
          <w:p>
            <w:pPr>
              <w:jc w:val="right"/>
              <w:ind w:right="5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F0F7E7"/>
          </w:tcPr>
          <w:p>
            <w:pPr>
              <w:jc w:val="right"/>
              <w:ind w:right="100"/>
              <w:spacing w:after="0"/>
              <w:rPr>
                <w:sz w:val="20"/>
                <w:szCs w:val="20"/>
                <w:color w:val="auto"/>
              </w:rPr>
            </w:pPr>
            <w:r>
              <w:rPr>
                <w:rFonts w:ascii="Arial" w:cs="Arial" w:eastAsia="Arial" w:hAnsi="Arial"/>
                <w:sz w:val="14"/>
                <w:szCs w:val="14"/>
                <w:color w:val="auto"/>
              </w:rPr>
              <w:t>—</w:t>
            </w:r>
          </w:p>
        </w:tc>
        <w:tc>
          <w:tcPr>
            <w:tcW w:w="840" w:type="dxa"/>
            <w:vAlign w:val="bottom"/>
            <w:shd w:val="clear" w:color="auto" w:fill="F0F7E7"/>
          </w:tcPr>
          <w:p>
            <w:pPr>
              <w:jc w:val="right"/>
              <w:ind w:right="10"/>
              <w:spacing w:after="0"/>
              <w:rPr>
                <w:sz w:val="20"/>
                <w:szCs w:val="20"/>
                <w:color w:val="auto"/>
              </w:rPr>
            </w:pPr>
            <w:r>
              <w:rPr>
                <w:rFonts w:ascii="Arial" w:cs="Arial" w:eastAsia="Arial" w:hAnsi="Arial"/>
                <w:sz w:val="14"/>
                <w:szCs w:val="14"/>
                <w:color w:val="auto"/>
              </w:rPr>
              <w:t>—</w:t>
            </w:r>
          </w:p>
        </w:tc>
        <w:tc>
          <w:tcPr>
            <w:tcW w:w="900" w:type="dxa"/>
            <w:vAlign w:val="bottom"/>
            <w:shd w:val="clear" w:color="auto" w:fill="F0F7E7"/>
          </w:tcPr>
          <w:p>
            <w:pPr>
              <w:jc w:val="right"/>
              <w:ind w:right="10"/>
              <w:spacing w:after="0"/>
              <w:rPr>
                <w:sz w:val="20"/>
                <w:szCs w:val="20"/>
                <w:color w:val="auto"/>
              </w:rPr>
            </w:pPr>
            <w:r>
              <w:rPr>
                <w:rFonts w:ascii="Arial" w:cs="Arial" w:eastAsia="Arial" w:hAnsi="Arial"/>
                <w:sz w:val="14"/>
                <w:szCs w:val="14"/>
                <w:color w:val="auto"/>
              </w:rPr>
              <w:t>34,200</w:t>
            </w:r>
          </w:p>
        </w:tc>
        <w:tc>
          <w:tcPr>
            <w:tcW w:w="800" w:type="dxa"/>
            <w:vAlign w:val="bottom"/>
            <w:shd w:val="clear" w:color="auto" w:fill="F0F7E7"/>
          </w:tcPr>
          <w:p>
            <w:pPr>
              <w:jc w:val="right"/>
              <w:ind w:right="30"/>
              <w:spacing w:after="0"/>
              <w:rPr>
                <w:sz w:val="20"/>
                <w:szCs w:val="20"/>
                <w:color w:val="auto"/>
              </w:rPr>
            </w:pPr>
            <w:r>
              <w:rPr>
                <w:rFonts w:ascii="Arial" w:cs="Arial" w:eastAsia="Arial" w:hAnsi="Arial"/>
                <w:sz w:val="14"/>
                <w:szCs w:val="14"/>
                <w:color w:val="auto"/>
              </w:rPr>
              <w:t>53.69</w:t>
            </w:r>
          </w:p>
        </w:tc>
        <w:tc>
          <w:tcPr>
            <w:tcW w:w="880" w:type="dxa"/>
            <w:vAlign w:val="bottom"/>
            <w:shd w:val="clear" w:color="auto" w:fill="F0F7E7"/>
          </w:tcPr>
          <w:p>
            <w:pPr>
              <w:jc w:val="right"/>
              <w:spacing w:after="0"/>
              <w:rPr>
                <w:sz w:val="20"/>
                <w:szCs w:val="20"/>
                <w:color w:val="auto"/>
              </w:rPr>
            </w:pPr>
            <w:r>
              <w:rPr>
                <w:rFonts w:ascii="Arial" w:cs="Arial" w:eastAsia="Arial" w:hAnsi="Arial"/>
                <w:sz w:val="14"/>
                <w:szCs w:val="14"/>
                <w:color w:val="auto"/>
              </w:rPr>
              <w:t>1,038,603</w:t>
            </w:r>
          </w:p>
        </w:tc>
        <w:tc>
          <w:tcPr>
            <w:tcW w:w="0" w:type="dxa"/>
            <w:vAlign w:val="bottom"/>
          </w:tcPr>
          <w:p>
            <w:pPr>
              <w:spacing w:after="0"/>
              <w:rPr>
                <w:sz w:val="1"/>
                <w:szCs w:val="1"/>
                <w:color w:val="auto"/>
              </w:rPr>
            </w:pPr>
          </w:p>
        </w:tc>
      </w:tr>
      <w:tr>
        <w:trPr>
          <w:trHeight w:val="163"/>
        </w:trPr>
        <w:tc>
          <w:tcPr>
            <w:tcW w:w="1740" w:type="dxa"/>
            <w:vAlign w:val="bottom"/>
          </w:tcPr>
          <w:p>
            <w:pPr>
              <w:spacing w:after="0"/>
              <w:rPr>
                <w:sz w:val="14"/>
                <w:szCs w:val="14"/>
                <w:color w:val="auto"/>
              </w:rPr>
            </w:pPr>
          </w:p>
        </w:tc>
        <w:tc>
          <w:tcPr>
            <w:tcW w:w="1000" w:type="dxa"/>
            <w:vAlign w:val="bottom"/>
          </w:tcPr>
          <w:p>
            <w:pPr>
              <w:jc w:val="right"/>
              <w:ind w:right="210"/>
              <w:spacing w:after="0"/>
              <w:rPr>
                <w:sz w:val="20"/>
                <w:szCs w:val="20"/>
                <w:color w:val="auto"/>
              </w:rPr>
            </w:pPr>
            <w:r>
              <w:rPr>
                <w:rFonts w:ascii="Arial" w:cs="Arial" w:eastAsia="Arial" w:hAnsi="Arial"/>
                <w:sz w:val="14"/>
                <w:szCs w:val="14"/>
                <w:color w:val="auto"/>
              </w:rPr>
              <w:t>3/1/2024</w:t>
            </w:r>
          </w:p>
        </w:tc>
        <w:tc>
          <w:tcPr>
            <w:tcW w:w="86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
              <w:spacing w:after="0"/>
              <w:rPr>
                <w:sz w:val="20"/>
                <w:szCs w:val="20"/>
                <w:color w:val="auto"/>
              </w:rPr>
            </w:pPr>
            <w:r>
              <w:rPr>
                <w:rFonts w:ascii="Arial" w:cs="Arial" w:eastAsia="Arial" w:hAnsi="Arial"/>
                <w:sz w:val="14"/>
                <w:szCs w:val="14"/>
                <w:color w:val="auto"/>
              </w:rPr>
              <w:t>19,400</w:t>
            </w:r>
          </w:p>
        </w:tc>
        <w:tc>
          <w:tcPr>
            <w:tcW w:w="90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1,041,586</w:t>
            </w:r>
          </w:p>
        </w:tc>
        <w:tc>
          <w:tcPr>
            <w:tcW w:w="0" w:type="dxa"/>
            <w:vAlign w:val="bottom"/>
          </w:tcPr>
          <w:p>
            <w:pPr>
              <w:spacing w:after="0"/>
              <w:rPr>
                <w:sz w:val="1"/>
                <w:szCs w:val="1"/>
                <w:color w:val="auto"/>
              </w:rPr>
            </w:pPr>
          </w:p>
        </w:tc>
      </w:tr>
      <w:tr>
        <w:trPr>
          <w:trHeight w:val="163"/>
        </w:trPr>
        <w:tc>
          <w:tcPr>
            <w:tcW w:w="1740" w:type="dxa"/>
            <w:vAlign w:val="bottom"/>
            <w:tcBorders>
              <w:bottom w:val="single" w:sz="8" w:color="7CBD3F"/>
            </w:tcBorders>
          </w:tcPr>
          <w:p>
            <w:pPr>
              <w:spacing w:after="0"/>
              <w:rPr>
                <w:sz w:val="14"/>
                <w:szCs w:val="14"/>
                <w:color w:val="auto"/>
              </w:rPr>
            </w:pPr>
          </w:p>
        </w:tc>
        <w:tc>
          <w:tcPr>
            <w:tcW w:w="1000" w:type="dxa"/>
            <w:vAlign w:val="bottom"/>
            <w:tcBorders>
              <w:bottom w:val="single" w:sz="8" w:color="7CBD3F"/>
            </w:tcBorders>
            <w:shd w:val="clear" w:color="auto" w:fill="F0F7E7"/>
          </w:tcPr>
          <w:p>
            <w:pPr>
              <w:jc w:val="right"/>
              <w:ind w:right="210"/>
              <w:spacing w:after="0"/>
              <w:rPr>
                <w:sz w:val="20"/>
                <w:szCs w:val="20"/>
                <w:color w:val="auto"/>
              </w:rPr>
            </w:pPr>
            <w:r>
              <w:rPr>
                <w:rFonts w:ascii="Arial" w:cs="Arial" w:eastAsia="Arial" w:hAnsi="Arial"/>
                <w:sz w:val="14"/>
                <w:szCs w:val="14"/>
                <w:color w:val="auto"/>
              </w:rPr>
              <w:t>3/1/2024</w:t>
            </w:r>
          </w:p>
        </w:tc>
        <w:tc>
          <w:tcPr>
            <w:tcW w:w="860" w:type="dxa"/>
            <w:vAlign w:val="bottom"/>
            <w:tcBorders>
              <w:bottom w:val="single" w:sz="8" w:color="7CBD3F"/>
            </w:tcBorders>
            <w:shd w:val="clear" w:color="auto" w:fill="F0F7E7"/>
          </w:tcPr>
          <w:p>
            <w:pPr>
              <w:jc w:val="right"/>
              <w:ind w:right="11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7CBD3F"/>
            </w:tcBorders>
            <w:shd w:val="clear" w:color="auto" w:fill="F0F7E7"/>
          </w:tcPr>
          <w:p>
            <w:pPr>
              <w:jc w:val="right"/>
              <w:ind w:right="5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7CBD3F"/>
            </w:tcBorders>
            <w:gridSpan w:val="2"/>
            <w:shd w:val="clear" w:color="auto" w:fill="F0F7E7"/>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7CBD3F"/>
            </w:tcBorders>
            <w:shd w:val="clear" w:color="auto" w:fill="F0F7E7"/>
          </w:tcPr>
          <w:p>
            <w:pPr>
              <w:jc w:val="right"/>
              <w:ind w:right="90"/>
              <w:spacing w:after="0"/>
              <w:rPr>
                <w:sz w:val="20"/>
                <w:szCs w:val="20"/>
                <w:color w:val="auto"/>
              </w:rPr>
            </w:pPr>
            <w:r>
              <w:rPr>
                <w:rFonts w:ascii="Arial" w:cs="Arial" w:eastAsia="Arial" w:hAnsi="Arial"/>
                <w:sz w:val="14"/>
                <w:szCs w:val="14"/>
                <w:color w:val="auto"/>
              </w:rPr>
              <w:t>8,085</w:t>
            </w:r>
          </w:p>
        </w:tc>
        <w:tc>
          <w:tcPr>
            <w:tcW w:w="780" w:type="dxa"/>
            <w:vAlign w:val="bottom"/>
            <w:tcBorders>
              <w:bottom w:val="single" w:sz="8" w:color="7CBD3F"/>
            </w:tcBorders>
            <w:shd w:val="clear" w:color="auto" w:fill="F0F7E7"/>
          </w:tcPr>
          <w:p>
            <w:pPr>
              <w:jc w:val="right"/>
              <w:ind w:right="50"/>
              <w:spacing w:after="0"/>
              <w:rPr>
                <w:sz w:val="20"/>
                <w:szCs w:val="20"/>
                <w:color w:val="auto"/>
              </w:rPr>
            </w:pPr>
            <w:r>
              <w:rPr>
                <w:rFonts w:ascii="Arial" w:cs="Arial" w:eastAsia="Arial" w:hAnsi="Arial"/>
                <w:sz w:val="14"/>
                <w:szCs w:val="14"/>
                <w:color w:val="auto"/>
              </w:rPr>
              <w:t>19,400</w:t>
            </w:r>
          </w:p>
        </w:tc>
        <w:tc>
          <w:tcPr>
            <w:tcW w:w="760" w:type="dxa"/>
            <w:vAlign w:val="bottom"/>
            <w:tcBorders>
              <w:bottom w:val="single" w:sz="8" w:color="7CBD3F"/>
            </w:tcBorders>
            <w:shd w:val="clear" w:color="auto" w:fill="F0F7E7"/>
          </w:tcPr>
          <w:p>
            <w:pPr>
              <w:jc w:val="right"/>
              <w:spacing w:after="0"/>
              <w:rPr>
                <w:sz w:val="20"/>
                <w:szCs w:val="20"/>
                <w:color w:val="auto"/>
              </w:rPr>
            </w:pPr>
            <w:r>
              <w:rPr>
                <w:rFonts w:ascii="Arial" w:cs="Arial" w:eastAsia="Arial" w:hAnsi="Arial"/>
                <w:sz w:val="14"/>
                <w:szCs w:val="14"/>
                <w:color w:val="auto"/>
              </w:rPr>
              <w:t>38,800</w:t>
            </w:r>
          </w:p>
        </w:tc>
        <w:tc>
          <w:tcPr>
            <w:tcW w:w="100" w:type="dxa"/>
            <w:vAlign w:val="bottom"/>
            <w:tcBorders>
              <w:bottom w:val="single" w:sz="8" w:color="7CBD3F"/>
            </w:tcBorders>
            <w:shd w:val="clear" w:color="auto" w:fill="F0F7E7"/>
          </w:tcPr>
          <w:p>
            <w:pPr>
              <w:spacing w:after="0"/>
              <w:rPr>
                <w:sz w:val="14"/>
                <w:szCs w:val="14"/>
                <w:color w:val="auto"/>
              </w:rPr>
            </w:pPr>
          </w:p>
        </w:tc>
        <w:tc>
          <w:tcPr>
            <w:tcW w:w="840" w:type="dxa"/>
            <w:vAlign w:val="bottom"/>
            <w:tcBorders>
              <w:bottom w:val="single" w:sz="8" w:color="7CBD3F"/>
            </w:tcBorders>
            <w:shd w:val="clear" w:color="auto" w:fill="F0F7E7"/>
          </w:tcPr>
          <w:p>
            <w:pPr>
              <w:jc w:val="right"/>
              <w:ind w:right="1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7CBD3F"/>
            </w:tcBorders>
            <w:shd w:val="clear" w:color="auto" w:fill="F0F7E7"/>
          </w:tcPr>
          <w:p>
            <w:pPr>
              <w:jc w:val="right"/>
              <w:ind w:right="1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7CBD3F"/>
            </w:tcBorders>
            <w:shd w:val="clear" w:color="auto" w:fill="F0F7E7"/>
          </w:tcPr>
          <w:p>
            <w:pPr>
              <w:jc w:val="right"/>
              <w:ind w:right="3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7CBD3F"/>
            </w:tcBorders>
            <w:shd w:val="clear" w:color="auto" w:fill="F0F7E7"/>
          </w:tcPr>
          <w:p>
            <w:pPr>
              <w:jc w:val="right"/>
              <w:spacing w:after="0"/>
              <w:rPr>
                <w:sz w:val="20"/>
                <w:szCs w:val="20"/>
                <w:color w:val="auto"/>
              </w:rPr>
            </w:pPr>
            <w:r>
              <w:rPr>
                <w:rFonts w:ascii="Arial" w:cs="Arial" w:eastAsia="Arial" w:hAnsi="Arial"/>
                <w:sz w:val="14"/>
                <w:szCs w:val="14"/>
                <w:color w:val="auto"/>
              </w:rPr>
              <w:t>1,230,358</w:t>
            </w:r>
          </w:p>
        </w:tc>
        <w:tc>
          <w:tcPr>
            <w:tcW w:w="0" w:type="dxa"/>
            <w:vAlign w:val="bottom"/>
          </w:tcPr>
          <w:p>
            <w:pPr>
              <w:spacing w:after="0"/>
              <w:rPr>
                <w:sz w:val="1"/>
                <w:szCs w:val="1"/>
                <w:color w:val="auto"/>
              </w:rPr>
            </w:pPr>
          </w:p>
        </w:tc>
      </w:tr>
      <w:tr>
        <w:trPr>
          <w:trHeight w:val="155"/>
        </w:trPr>
        <w:tc>
          <w:tcPr>
            <w:tcW w:w="1740" w:type="dxa"/>
            <w:vAlign w:val="bottom"/>
          </w:tcPr>
          <w:p>
            <w:pPr>
              <w:ind w:left="40"/>
              <w:spacing w:after="0" w:line="155" w:lineRule="exact"/>
              <w:rPr>
                <w:sz w:val="20"/>
                <w:szCs w:val="20"/>
                <w:color w:val="auto"/>
              </w:rPr>
            </w:pPr>
            <w:r>
              <w:rPr>
                <w:rFonts w:ascii="Arial" w:cs="Arial" w:eastAsia="Arial" w:hAnsi="Arial"/>
                <w:sz w:val="14"/>
                <w:szCs w:val="14"/>
                <w:b w:val="1"/>
                <w:bCs w:val="1"/>
                <w:color w:val="auto"/>
              </w:rPr>
              <w:t>John R. Pinion II</w:t>
            </w:r>
          </w:p>
        </w:tc>
        <w:tc>
          <w:tcPr>
            <w:tcW w:w="1000" w:type="dxa"/>
            <w:vAlign w:val="bottom"/>
          </w:tcPr>
          <w:p>
            <w:pPr>
              <w:spacing w:after="0"/>
              <w:rPr>
                <w:sz w:val="13"/>
                <w:szCs w:val="13"/>
                <w:color w:val="auto"/>
              </w:rPr>
            </w:pPr>
          </w:p>
        </w:tc>
        <w:tc>
          <w:tcPr>
            <w:tcW w:w="860" w:type="dxa"/>
            <w:vAlign w:val="bottom"/>
          </w:tcPr>
          <w:p>
            <w:pPr>
              <w:jc w:val="right"/>
              <w:ind w:right="110"/>
              <w:spacing w:after="0" w:line="155" w:lineRule="exact"/>
              <w:rPr>
                <w:sz w:val="20"/>
                <w:szCs w:val="20"/>
                <w:color w:val="auto"/>
              </w:rPr>
            </w:pPr>
            <w:r>
              <w:rPr>
                <w:rFonts w:ascii="Arial" w:cs="Arial" w:eastAsia="Arial" w:hAnsi="Arial"/>
                <w:sz w:val="14"/>
                <w:szCs w:val="14"/>
                <w:color w:val="auto"/>
              </w:rPr>
              <w:t>—</w:t>
            </w:r>
          </w:p>
        </w:tc>
        <w:tc>
          <w:tcPr>
            <w:tcW w:w="820" w:type="dxa"/>
            <w:vAlign w:val="bottom"/>
          </w:tcPr>
          <w:p>
            <w:pPr>
              <w:jc w:val="right"/>
              <w:ind w:right="50"/>
              <w:spacing w:after="0" w:line="155" w:lineRule="exact"/>
              <w:rPr>
                <w:sz w:val="20"/>
                <w:szCs w:val="20"/>
                <w:color w:val="auto"/>
              </w:rPr>
            </w:pPr>
            <w:r>
              <w:rPr>
                <w:rFonts w:ascii="Arial" w:cs="Arial" w:eastAsia="Arial" w:hAnsi="Arial"/>
                <w:sz w:val="14"/>
                <w:szCs w:val="14"/>
                <w:color w:val="auto"/>
              </w:rPr>
              <w:t>286,000</w:t>
            </w: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570,570</w:t>
            </w:r>
          </w:p>
        </w:tc>
        <w:tc>
          <w:tcPr>
            <w:tcW w:w="160" w:type="dxa"/>
            <w:vAlign w:val="bottom"/>
          </w:tcPr>
          <w:p>
            <w:pPr>
              <w:spacing w:after="0"/>
              <w:rPr>
                <w:sz w:val="13"/>
                <w:szCs w:val="13"/>
                <w:color w:val="auto"/>
              </w:rPr>
            </w:pPr>
          </w:p>
        </w:tc>
        <w:tc>
          <w:tcPr>
            <w:tcW w:w="840" w:type="dxa"/>
            <w:vAlign w:val="bottom"/>
          </w:tcPr>
          <w:p>
            <w:pPr>
              <w:jc w:val="right"/>
              <w:ind w:right="90"/>
              <w:spacing w:after="0" w:line="155"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50"/>
              <w:spacing w:after="0" w:line="155"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10"/>
              <w:spacing w:after="0" w:line="155"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10"/>
              <w:spacing w:after="0" w:line="155"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30"/>
              <w:spacing w:after="0" w:line="155"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1740" w:type="dxa"/>
            <w:vAlign w:val="bottom"/>
          </w:tcPr>
          <w:p>
            <w:pPr>
              <w:spacing w:after="0"/>
              <w:rPr>
                <w:sz w:val="14"/>
                <w:szCs w:val="14"/>
                <w:color w:val="auto"/>
              </w:rPr>
            </w:pPr>
          </w:p>
        </w:tc>
        <w:tc>
          <w:tcPr>
            <w:tcW w:w="1000" w:type="dxa"/>
            <w:vAlign w:val="bottom"/>
            <w:shd w:val="clear" w:color="auto" w:fill="F0F7E7"/>
          </w:tcPr>
          <w:p>
            <w:pPr>
              <w:jc w:val="right"/>
              <w:ind w:right="210"/>
              <w:spacing w:after="0"/>
              <w:rPr>
                <w:sz w:val="20"/>
                <w:szCs w:val="20"/>
                <w:color w:val="auto"/>
              </w:rPr>
            </w:pPr>
            <w:r>
              <w:rPr>
                <w:rFonts w:ascii="Arial" w:cs="Arial" w:eastAsia="Arial" w:hAnsi="Arial"/>
                <w:sz w:val="14"/>
                <w:szCs w:val="14"/>
                <w:color w:val="auto"/>
              </w:rPr>
              <w:t>3/1/2024</w:t>
            </w:r>
          </w:p>
        </w:tc>
        <w:tc>
          <w:tcPr>
            <w:tcW w:w="860" w:type="dxa"/>
            <w:vAlign w:val="bottom"/>
            <w:shd w:val="clear" w:color="auto" w:fill="F0F7E7"/>
          </w:tcPr>
          <w:p>
            <w:pPr>
              <w:jc w:val="right"/>
              <w:ind w:right="110"/>
              <w:spacing w:after="0"/>
              <w:rPr>
                <w:sz w:val="20"/>
                <w:szCs w:val="20"/>
                <w:color w:val="auto"/>
              </w:rPr>
            </w:pPr>
            <w:r>
              <w:rPr>
                <w:rFonts w:ascii="Arial" w:cs="Arial" w:eastAsia="Arial" w:hAnsi="Arial"/>
                <w:sz w:val="14"/>
                <w:szCs w:val="14"/>
                <w:color w:val="auto"/>
              </w:rPr>
              <w:t>—</w:t>
            </w:r>
          </w:p>
        </w:tc>
        <w:tc>
          <w:tcPr>
            <w:tcW w:w="820" w:type="dxa"/>
            <w:vAlign w:val="bottom"/>
            <w:shd w:val="clear" w:color="auto" w:fill="F0F7E7"/>
          </w:tcPr>
          <w:p>
            <w:pPr>
              <w:jc w:val="right"/>
              <w:ind w:right="5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F0F7E7"/>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shd w:val="clear" w:color="auto" w:fill="F0F7E7"/>
          </w:tcPr>
          <w:p>
            <w:pPr>
              <w:jc w:val="right"/>
              <w:ind w:right="90"/>
              <w:spacing w:after="0"/>
              <w:rPr>
                <w:sz w:val="20"/>
                <w:szCs w:val="20"/>
                <w:color w:val="auto"/>
              </w:rPr>
            </w:pPr>
            <w:r>
              <w:rPr>
                <w:rFonts w:ascii="Arial" w:cs="Arial" w:eastAsia="Arial" w:hAnsi="Arial"/>
                <w:sz w:val="14"/>
                <w:szCs w:val="14"/>
                <w:color w:val="auto"/>
              </w:rPr>
              <w:t>—</w:t>
            </w:r>
          </w:p>
        </w:tc>
        <w:tc>
          <w:tcPr>
            <w:tcW w:w="780" w:type="dxa"/>
            <w:vAlign w:val="bottom"/>
            <w:shd w:val="clear" w:color="auto" w:fill="F0F7E7"/>
          </w:tcPr>
          <w:p>
            <w:pPr>
              <w:jc w:val="right"/>
              <w:ind w:right="5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F0F7E7"/>
          </w:tcPr>
          <w:p>
            <w:pPr>
              <w:jc w:val="right"/>
              <w:ind w:right="100"/>
              <w:spacing w:after="0"/>
              <w:rPr>
                <w:sz w:val="20"/>
                <w:szCs w:val="20"/>
                <w:color w:val="auto"/>
              </w:rPr>
            </w:pPr>
            <w:r>
              <w:rPr>
                <w:rFonts w:ascii="Arial" w:cs="Arial" w:eastAsia="Arial" w:hAnsi="Arial"/>
                <w:sz w:val="14"/>
                <w:szCs w:val="14"/>
                <w:color w:val="auto"/>
              </w:rPr>
              <w:t>—</w:t>
            </w:r>
          </w:p>
        </w:tc>
        <w:tc>
          <w:tcPr>
            <w:tcW w:w="840" w:type="dxa"/>
            <w:vAlign w:val="bottom"/>
            <w:shd w:val="clear" w:color="auto" w:fill="F0F7E7"/>
          </w:tcPr>
          <w:p>
            <w:pPr>
              <w:jc w:val="right"/>
              <w:ind w:right="10"/>
              <w:spacing w:after="0"/>
              <w:rPr>
                <w:sz w:val="20"/>
                <w:szCs w:val="20"/>
                <w:color w:val="auto"/>
              </w:rPr>
            </w:pPr>
            <w:r>
              <w:rPr>
                <w:rFonts w:ascii="Arial" w:cs="Arial" w:eastAsia="Arial" w:hAnsi="Arial"/>
                <w:sz w:val="14"/>
                <w:szCs w:val="14"/>
                <w:color w:val="auto"/>
              </w:rPr>
              <w:t>—</w:t>
            </w:r>
          </w:p>
        </w:tc>
        <w:tc>
          <w:tcPr>
            <w:tcW w:w="900" w:type="dxa"/>
            <w:vAlign w:val="bottom"/>
            <w:shd w:val="clear" w:color="auto" w:fill="F0F7E7"/>
          </w:tcPr>
          <w:p>
            <w:pPr>
              <w:jc w:val="right"/>
              <w:ind w:right="10"/>
              <w:spacing w:after="0"/>
              <w:rPr>
                <w:sz w:val="20"/>
                <w:szCs w:val="20"/>
                <w:color w:val="auto"/>
              </w:rPr>
            </w:pPr>
            <w:r>
              <w:rPr>
                <w:rFonts w:ascii="Arial" w:cs="Arial" w:eastAsia="Arial" w:hAnsi="Arial"/>
                <w:sz w:val="14"/>
                <w:szCs w:val="14"/>
                <w:color w:val="auto"/>
              </w:rPr>
              <w:t>31,400</w:t>
            </w:r>
          </w:p>
        </w:tc>
        <w:tc>
          <w:tcPr>
            <w:tcW w:w="800" w:type="dxa"/>
            <w:vAlign w:val="bottom"/>
            <w:shd w:val="clear" w:color="auto" w:fill="F0F7E7"/>
          </w:tcPr>
          <w:p>
            <w:pPr>
              <w:jc w:val="right"/>
              <w:ind w:right="30"/>
              <w:spacing w:after="0"/>
              <w:rPr>
                <w:sz w:val="20"/>
                <w:szCs w:val="20"/>
                <w:color w:val="auto"/>
              </w:rPr>
            </w:pPr>
            <w:r>
              <w:rPr>
                <w:rFonts w:ascii="Arial" w:cs="Arial" w:eastAsia="Arial" w:hAnsi="Arial"/>
                <w:sz w:val="14"/>
                <w:szCs w:val="14"/>
                <w:color w:val="auto"/>
              </w:rPr>
              <w:t>53.69</w:t>
            </w:r>
          </w:p>
        </w:tc>
        <w:tc>
          <w:tcPr>
            <w:tcW w:w="880" w:type="dxa"/>
            <w:vAlign w:val="bottom"/>
            <w:shd w:val="clear" w:color="auto" w:fill="F0F7E7"/>
          </w:tcPr>
          <w:p>
            <w:pPr>
              <w:jc w:val="right"/>
              <w:spacing w:after="0"/>
              <w:rPr>
                <w:sz w:val="20"/>
                <w:szCs w:val="20"/>
                <w:color w:val="auto"/>
              </w:rPr>
            </w:pPr>
            <w:r>
              <w:rPr>
                <w:rFonts w:ascii="Arial" w:cs="Arial" w:eastAsia="Arial" w:hAnsi="Arial"/>
                <w:sz w:val="14"/>
                <w:szCs w:val="14"/>
                <w:color w:val="auto"/>
              </w:rPr>
              <w:t>953,571</w:t>
            </w:r>
          </w:p>
        </w:tc>
        <w:tc>
          <w:tcPr>
            <w:tcW w:w="0" w:type="dxa"/>
            <w:vAlign w:val="bottom"/>
          </w:tcPr>
          <w:p>
            <w:pPr>
              <w:spacing w:after="0"/>
              <w:rPr>
                <w:sz w:val="1"/>
                <w:szCs w:val="1"/>
                <w:color w:val="auto"/>
              </w:rPr>
            </w:pPr>
          </w:p>
        </w:tc>
      </w:tr>
      <w:tr>
        <w:trPr>
          <w:trHeight w:val="163"/>
        </w:trPr>
        <w:tc>
          <w:tcPr>
            <w:tcW w:w="1740" w:type="dxa"/>
            <w:vAlign w:val="bottom"/>
          </w:tcPr>
          <w:p>
            <w:pPr>
              <w:spacing w:after="0"/>
              <w:rPr>
                <w:sz w:val="14"/>
                <w:szCs w:val="14"/>
                <w:color w:val="auto"/>
              </w:rPr>
            </w:pPr>
          </w:p>
        </w:tc>
        <w:tc>
          <w:tcPr>
            <w:tcW w:w="1000" w:type="dxa"/>
            <w:vAlign w:val="bottom"/>
          </w:tcPr>
          <w:p>
            <w:pPr>
              <w:jc w:val="right"/>
              <w:ind w:right="210"/>
              <w:spacing w:after="0"/>
              <w:rPr>
                <w:sz w:val="20"/>
                <w:szCs w:val="20"/>
                <w:color w:val="auto"/>
              </w:rPr>
            </w:pPr>
            <w:r>
              <w:rPr>
                <w:rFonts w:ascii="Arial" w:cs="Arial" w:eastAsia="Arial" w:hAnsi="Arial"/>
                <w:sz w:val="14"/>
                <w:szCs w:val="14"/>
                <w:color w:val="auto"/>
              </w:rPr>
              <w:t>3/1/2024</w:t>
            </w:r>
          </w:p>
        </w:tc>
        <w:tc>
          <w:tcPr>
            <w:tcW w:w="86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
              <w:spacing w:after="0"/>
              <w:rPr>
                <w:sz w:val="20"/>
                <w:szCs w:val="20"/>
                <w:color w:val="auto"/>
              </w:rPr>
            </w:pPr>
            <w:r>
              <w:rPr>
                <w:rFonts w:ascii="Arial" w:cs="Arial" w:eastAsia="Arial" w:hAnsi="Arial"/>
                <w:sz w:val="14"/>
                <w:szCs w:val="14"/>
                <w:color w:val="auto"/>
              </w:rPr>
              <w:t>17,800</w:t>
            </w:r>
          </w:p>
        </w:tc>
        <w:tc>
          <w:tcPr>
            <w:tcW w:w="90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955,682</w:t>
            </w:r>
          </w:p>
        </w:tc>
        <w:tc>
          <w:tcPr>
            <w:tcW w:w="0" w:type="dxa"/>
            <w:vAlign w:val="bottom"/>
          </w:tcPr>
          <w:p>
            <w:pPr>
              <w:spacing w:after="0"/>
              <w:rPr>
                <w:sz w:val="1"/>
                <w:szCs w:val="1"/>
                <w:color w:val="auto"/>
              </w:rPr>
            </w:pPr>
          </w:p>
        </w:tc>
      </w:tr>
      <w:tr>
        <w:trPr>
          <w:trHeight w:val="163"/>
        </w:trPr>
        <w:tc>
          <w:tcPr>
            <w:tcW w:w="1740" w:type="dxa"/>
            <w:vAlign w:val="bottom"/>
          </w:tcPr>
          <w:p>
            <w:pPr>
              <w:spacing w:after="0"/>
              <w:rPr>
                <w:sz w:val="14"/>
                <w:szCs w:val="14"/>
                <w:color w:val="auto"/>
              </w:rPr>
            </w:pPr>
          </w:p>
        </w:tc>
        <w:tc>
          <w:tcPr>
            <w:tcW w:w="1000" w:type="dxa"/>
            <w:vAlign w:val="bottom"/>
            <w:shd w:val="clear" w:color="auto" w:fill="F0F7E7"/>
          </w:tcPr>
          <w:p>
            <w:pPr>
              <w:jc w:val="right"/>
              <w:ind w:right="210"/>
              <w:spacing w:after="0"/>
              <w:rPr>
                <w:sz w:val="20"/>
                <w:szCs w:val="20"/>
                <w:color w:val="auto"/>
              </w:rPr>
            </w:pPr>
            <w:r>
              <w:rPr>
                <w:rFonts w:ascii="Arial" w:cs="Arial" w:eastAsia="Arial" w:hAnsi="Arial"/>
                <w:sz w:val="14"/>
                <w:szCs w:val="14"/>
                <w:color w:val="auto"/>
              </w:rPr>
              <w:t>3/1/2024</w:t>
            </w:r>
          </w:p>
        </w:tc>
        <w:tc>
          <w:tcPr>
            <w:tcW w:w="860" w:type="dxa"/>
            <w:vAlign w:val="bottom"/>
            <w:shd w:val="clear" w:color="auto" w:fill="F0F7E7"/>
          </w:tcPr>
          <w:p>
            <w:pPr>
              <w:jc w:val="right"/>
              <w:ind w:right="110"/>
              <w:spacing w:after="0"/>
              <w:rPr>
                <w:sz w:val="20"/>
                <w:szCs w:val="20"/>
                <w:color w:val="auto"/>
              </w:rPr>
            </w:pPr>
            <w:r>
              <w:rPr>
                <w:rFonts w:ascii="Arial" w:cs="Arial" w:eastAsia="Arial" w:hAnsi="Arial"/>
                <w:sz w:val="14"/>
                <w:szCs w:val="14"/>
                <w:color w:val="auto"/>
              </w:rPr>
              <w:t>—</w:t>
            </w:r>
          </w:p>
        </w:tc>
        <w:tc>
          <w:tcPr>
            <w:tcW w:w="820" w:type="dxa"/>
            <w:vAlign w:val="bottom"/>
            <w:shd w:val="clear" w:color="auto" w:fill="F0F7E7"/>
          </w:tcPr>
          <w:p>
            <w:pPr>
              <w:jc w:val="right"/>
              <w:ind w:right="5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F0F7E7"/>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shd w:val="clear" w:color="auto" w:fill="F0F7E7"/>
          </w:tcPr>
          <w:p>
            <w:pPr>
              <w:jc w:val="right"/>
              <w:ind w:right="90"/>
              <w:spacing w:after="0"/>
              <w:rPr>
                <w:sz w:val="20"/>
                <w:szCs w:val="20"/>
                <w:color w:val="auto"/>
              </w:rPr>
            </w:pPr>
            <w:r>
              <w:rPr>
                <w:rFonts w:ascii="Arial" w:cs="Arial" w:eastAsia="Arial" w:hAnsi="Arial"/>
                <w:sz w:val="14"/>
                <w:szCs w:val="14"/>
                <w:color w:val="auto"/>
              </w:rPr>
              <w:t>7,418</w:t>
            </w:r>
          </w:p>
        </w:tc>
        <w:tc>
          <w:tcPr>
            <w:tcW w:w="780" w:type="dxa"/>
            <w:vAlign w:val="bottom"/>
            <w:shd w:val="clear" w:color="auto" w:fill="F0F7E7"/>
          </w:tcPr>
          <w:p>
            <w:pPr>
              <w:jc w:val="right"/>
              <w:ind w:right="50"/>
              <w:spacing w:after="0"/>
              <w:rPr>
                <w:sz w:val="20"/>
                <w:szCs w:val="20"/>
                <w:color w:val="auto"/>
              </w:rPr>
            </w:pPr>
            <w:r>
              <w:rPr>
                <w:rFonts w:ascii="Arial" w:cs="Arial" w:eastAsia="Arial" w:hAnsi="Arial"/>
                <w:sz w:val="14"/>
                <w:szCs w:val="14"/>
                <w:color w:val="auto"/>
              </w:rPr>
              <w:t>17,800</w:t>
            </w:r>
          </w:p>
        </w:tc>
        <w:tc>
          <w:tcPr>
            <w:tcW w:w="760" w:type="dxa"/>
            <w:vAlign w:val="bottom"/>
            <w:shd w:val="clear" w:color="auto" w:fill="F0F7E7"/>
          </w:tcPr>
          <w:p>
            <w:pPr>
              <w:jc w:val="right"/>
              <w:spacing w:after="0"/>
              <w:rPr>
                <w:sz w:val="20"/>
                <w:szCs w:val="20"/>
                <w:color w:val="auto"/>
              </w:rPr>
            </w:pPr>
            <w:r>
              <w:rPr>
                <w:rFonts w:ascii="Arial" w:cs="Arial" w:eastAsia="Arial" w:hAnsi="Arial"/>
                <w:sz w:val="14"/>
                <w:szCs w:val="14"/>
                <w:color w:val="auto"/>
              </w:rPr>
              <w:t>35,600</w:t>
            </w:r>
          </w:p>
        </w:tc>
        <w:tc>
          <w:tcPr>
            <w:tcW w:w="100" w:type="dxa"/>
            <w:vAlign w:val="bottom"/>
            <w:shd w:val="clear" w:color="auto" w:fill="F0F7E7"/>
          </w:tcPr>
          <w:p>
            <w:pPr>
              <w:spacing w:after="0"/>
              <w:rPr>
                <w:sz w:val="14"/>
                <w:szCs w:val="14"/>
                <w:color w:val="auto"/>
              </w:rPr>
            </w:pPr>
          </w:p>
        </w:tc>
        <w:tc>
          <w:tcPr>
            <w:tcW w:w="840" w:type="dxa"/>
            <w:vAlign w:val="bottom"/>
            <w:shd w:val="clear" w:color="auto" w:fill="F0F7E7"/>
          </w:tcPr>
          <w:p>
            <w:pPr>
              <w:jc w:val="right"/>
              <w:ind w:right="10"/>
              <w:spacing w:after="0"/>
              <w:rPr>
                <w:sz w:val="20"/>
                <w:szCs w:val="20"/>
                <w:color w:val="auto"/>
              </w:rPr>
            </w:pPr>
            <w:r>
              <w:rPr>
                <w:rFonts w:ascii="Arial" w:cs="Arial" w:eastAsia="Arial" w:hAnsi="Arial"/>
                <w:sz w:val="14"/>
                <w:szCs w:val="14"/>
                <w:color w:val="auto"/>
              </w:rPr>
              <w:t>—</w:t>
            </w:r>
          </w:p>
        </w:tc>
        <w:tc>
          <w:tcPr>
            <w:tcW w:w="900" w:type="dxa"/>
            <w:vAlign w:val="bottom"/>
            <w:shd w:val="clear" w:color="auto" w:fill="F0F7E7"/>
          </w:tcPr>
          <w:p>
            <w:pPr>
              <w:jc w:val="right"/>
              <w:ind w:right="10"/>
              <w:spacing w:after="0"/>
              <w:rPr>
                <w:sz w:val="20"/>
                <w:szCs w:val="20"/>
                <w:color w:val="auto"/>
              </w:rPr>
            </w:pPr>
            <w:r>
              <w:rPr>
                <w:rFonts w:ascii="Arial" w:cs="Arial" w:eastAsia="Arial" w:hAnsi="Arial"/>
                <w:sz w:val="14"/>
                <w:szCs w:val="14"/>
                <w:color w:val="auto"/>
              </w:rPr>
              <w:t>—</w:t>
            </w:r>
          </w:p>
        </w:tc>
        <w:tc>
          <w:tcPr>
            <w:tcW w:w="800" w:type="dxa"/>
            <w:vAlign w:val="bottom"/>
            <w:shd w:val="clear" w:color="auto" w:fill="F0F7E7"/>
          </w:tcPr>
          <w:p>
            <w:pPr>
              <w:jc w:val="right"/>
              <w:ind w:right="30"/>
              <w:spacing w:after="0"/>
              <w:rPr>
                <w:sz w:val="20"/>
                <w:szCs w:val="20"/>
                <w:color w:val="auto"/>
              </w:rPr>
            </w:pPr>
            <w:r>
              <w:rPr>
                <w:rFonts w:ascii="Arial" w:cs="Arial" w:eastAsia="Arial" w:hAnsi="Arial"/>
                <w:sz w:val="14"/>
                <w:szCs w:val="14"/>
                <w:color w:val="auto"/>
              </w:rPr>
              <w:t>—</w:t>
            </w:r>
          </w:p>
        </w:tc>
        <w:tc>
          <w:tcPr>
            <w:tcW w:w="880" w:type="dxa"/>
            <w:vAlign w:val="bottom"/>
            <w:shd w:val="clear" w:color="auto" w:fill="F0F7E7"/>
          </w:tcPr>
          <w:p>
            <w:pPr>
              <w:jc w:val="right"/>
              <w:spacing w:after="0"/>
              <w:rPr>
                <w:sz w:val="20"/>
                <w:szCs w:val="20"/>
                <w:color w:val="auto"/>
              </w:rPr>
            </w:pPr>
            <w:r>
              <w:rPr>
                <w:rFonts w:ascii="Arial" w:cs="Arial" w:eastAsia="Arial" w:hAnsi="Arial"/>
                <w:sz w:val="14"/>
                <w:szCs w:val="14"/>
                <w:color w:val="auto"/>
              </w:rPr>
              <w:t>1,128,866</w:t>
            </w:r>
          </w:p>
        </w:tc>
        <w:tc>
          <w:tcPr>
            <w:tcW w:w="0" w:type="dxa"/>
            <w:vAlign w:val="bottom"/>
          </w:tcPr>
          <w:p>
            <w:pPr>
              <w:spacing w:after="0"/>
              <w:rPr>
                <w:sz w:val="1"/>
                <w:szCs w:val="1"/>
                <w:color w:val="auto"/>
              </w:rPr>
            </w:pPr>
          </w:p>
        </w:tc>
      </w:tr>
      <w:tr>
        <w:trPr>
          <w:trHeight w:val="201"/>
        </w:trPr>
        <w:tc>
          <w:tcPr>
            <w:tcW w:w="1740" w:type="dxa"/>
            <w:vAlign w:val="bottom"/>
            <w:tcBorders>
              <w:bottom w:val="single" w:sz="8" w:color="7CBD3F"/>
            </w:tcBorders>
          </w:tcPr>
          <w:p>
            <w:pPr>
              <w:spacing w:after="0"/>
              <w:rPr>
                <w:sz w:val="17"/>
                <w:szCs w:val="17"/>
                <w:color w:val="auto"/>
              </w:rPr>
            </w:pPr>
          </w:p>
        </w:tc>
        <w:tc>
          <w:tcPr>
            <w:tcW w:w="1000" w:type="dxa"/>
            <w:vAlign w:val="bottom"/>
            <w:tcBorders>
              <w:bottom w:val="single" w:sz="8" w:color="7CBD3F"/>
            </w:tcBorders>
          </w:tcPr>
          <w:p>
            <w:pPr>
              <w:jc w:val="right"/>
              <w:ind w:right="70"/>
              <w:spacing w:after="0" w:line="199" w:lineRule="exact"/>
              <w:rPr>
                <w:sz w:val="20"/>
                <w:szCs w:val="20"/>
                <w:color w:val="auto"/>
              </w:rPr>
            </w:pPr>
            <w:r>
              <w:rPr>
                <w:rFonts w:ascii="Arial" w:cs="Arial" w:eastAsia="Arial" w:hAnsi="Arial"/>
                <w:sz w:val="13"/>
                <w:szCs w:val="13"/>
                <w:color w:val="auto"/>
              </w:rPr>
              <w:t>10/21/2024</w:t>
            </w:r>
            <w:r>
              <w:rPr>
                <w:rFonts w:ascii="Arial" w:cs="Arial" w:eastAsia="Arial" w:hAnsi="Arial"/>
                <w:sz w:val="22"/>
                <w:szCs w:val="22"/>
                <w:color w:val="auto"/>
                <w:vertAlign w:val="superscript"/>
              </w:rPr>
              <w:t>(5)</w:t>
            </w:r>
          </w:p>
        </w:tc>
        <w:tc>
          <w:tcPr>
            <w:tcW w:w="860" w:type="dxa"/>
            <w:vAlign w:val="bottom"/>
            <w:tcBorders>
              <w:bottom w:val="single" w:sz="8" w:color="7CBD3F"/>
            </w:tcBorders>
          </w:tcPr>
          <w:p>
            <w:pPr>
              <w:jc w:val="right"/>
              <w:ind w:right="11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7CBD3F"/>
            </w:tcBorders>
          </w:tcPr>
          <w:p>
            <w:pPr>
              <w:jc w:val="right"/>
              <w:ind w:right="5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7CBD3F"/>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7CBD3F"/>
            </w:tcBorders>
          </w:tcPr>
          <w:p>
            <w:pPr>
              <w:jc w:val="right"/>
              <w:ind w:right="9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7CBD3F"/>
            </w:tcBorders>
          </w:tcPr>
          <w:p>
            <w:pPr>
              <w:jc w:val="right"/>
              <w:ind w:right="50"/>
              <w:spacing w:after="0"/>
              <w:rPr>
                <w:sz w:val="20"/>
                <w:szCs w:val="20"/>
                <w:color w:val="auto"/>
              </w:rPr>
            </w:pPr>
            <w:r>
              <w:rPr>
                <w:rFonts w:ascii="Arial" w:cs="Arial" w:eastAsia="Arial" w:hAnsi="Arial"/>
                <w:sz w:val="14"/>
                <w:szCs w:val="14"/>
                <w:color w:val="auto"/>
              </w:rPr>
              <w:t>100,000</w:t>
            </w:r>
          </w:p>
        </w:tc>
        <w:tc>
          <w:tcPr>
            <w:tcW w:w="860" w:type="dxa"/>
            <w:vAlign w:val="bottom"/>
            <w:tcBorders>
              <w:bottom w:val="single" w:sz="8" w:color="7CBD3F"/>
            </w:tcBorders>
            <w:gridSpan w:val="2"/>
          </w:tcPr>
          <w:p>
            <w:pPr>
              <w:jc w:val="right"/>
              <w:ind w:right="10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7CBD3F"/>
            </w:tcBorders>
          </w:tcPr>
          <w:p>
            <w:pPr>
              <w:jc w:val="right"/>
              <w:ind w:right="1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7CBD3F"/>
            </w:tcBorders>
          </w:tcPr>
          <w:p>
            <w:pPr>
              <w:jc w:val="right"/>
              <w:ind w:right="1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7CBD3F"/>
            </w:tcBorders>
          </w:tcPr>
          <w:p>
            <w:pPr>
              <w:jc w:val="right"/>
              <w:ind w:right="30"/>
              <w:spacing w:after="0"/>
              <w:rPr>
                <w:sz w:val="20"/>
                <w:szCs w:val="20"/>
                <w:color w:val="auto"/>
              </w:rPr>
            </w:pPr>
            <w:r>
              <w:rPr>
                <w:rFonts w:ascii="Arial" w:cs="Arial" w:eastAsia="Arial" w:hAnsi="Arial"/>
                <w:sz w:val="14"/>
                <w:szCs w:val="14"/>
                <w:color w:val="auto"/>
              </w:rPr>
              <w:t>2.31</w:t>
            </w:r>
          </w:p>
        </w:tc>
        <w:tc>
          <w:tcPr>
            <w:tcW w:w="880" w:type="dxa"/>
            <w:vAlign w:val="bottom"/>
            <w:tcBorders>
              <w:bottom w:val="single" w:sz="8" w:color="7CBD3F"/>
            </w:tcBorders>
          </w:tcPr>
          <w:p>
            <w:pPr>
              <w:jc w:val="right"/>
              <w:spacing w:after="0"/>
              <w:rPr>
                <w:sz w:val="20"/>
                <w:szCs w:val="20"/>
                <w:color w:val="auto"/>
              </w:rPr>
            </w:pPr>
            <w:r>
              <w:rPr>
                <w:rFonts w:ascii="Arial" w:cs="Arial" w:eastAsia="Arial" w:hAnsi="Arial"/>
                <w:sz w:val="14"/>
                <w:szCs w:val="14"/>
                <w:color w:val="auto"/>
              </w:rPr>
              <w:t>167,700</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287" w:hanging="287"/>
        <w:spacing w:after="0" w:line="283" w:lineRule="auto"/>
        <w:tabs>
          <w:tab w:leader="none" w:pos="287" w:val="left"/>
        </w:tabs>
        <w:numPr>
          <w:ilvl w:val="0"/>
          <w:numId w:val="38"/>
        </w:numPr>
        <w:rPr>
          <w:rFonts w:ascii="Arial" w:cs="Arial" w:eastAsia="Arial" w:hAnsi="Arial"/>
          <w:sz w:val="12"/>
          <w:szCs w:val="12"/>
          <w:color w:val="auto"/>
        </w:rPr>
      </w:pPr>
      <w:r>
        <w:rPr>
          <w:rFonts w:ascii="Arial" w:cs="Arial" w:eastAsia="Arial" w:hAnsi="Arial"/>
          <w:sz w:val="12"/>
          <w:szCs w:val="12"/>
          <w:color w:val="auto"/>
        </w:rPr>
        <w:t>The amounts in these columns represent the threshold (for Dr. Kakkis only), target and maximum amount of each named executive officer’s cash payments under our 2024 annual incentive program as established by the Board and described in “Compensation Discussion and Analysis” above. Actual payments made for fiscal 2024 are provided in the Summary Compensation Table.</w:t>
      </w:r>
    </w:p>
    <w:p>
      <w:pPr>
        <w:jc w:val="both"/>
        <w:ind w:left="287" w:hanging="287"/>
        <w:spacing w:after="0" w:line="266" w:lineRule="auto"/>
        <w:tabs>
          <w:tab w:leader="none" w:pos="287" w:val="left"/>
        </w:tabs>
        <w:numPr>
          <w:ilvl w:val="0"/>
          <w:numId w:val="38"/>
        </w:numPr>
        <w:rPr>
          <w:rFonts w:ascii="Arial" w:cs="Arial" w:eastAsia="Arial" w:hAnsi="Arial"/>
          <w:sz w:val="12"/>
          <w:szCs w:val="12"/>
          <w:color w:val="auto"/>
        </w:rPr>
      </w:pPr>
      <w:r>
        <w:rPr>
          <w:rFonts w:ascii="Arial" w:cs="Arial" w:eastAsia="Arial" w:hAnsi="Arial"/>
          <w:sz w:val="12"/>
          <w:szCs w:val="12"/>
          <w:color w:val="auto"/>
        </w:rPr>
        <w:t>The amounts in these columns represent the threshold, target and maximum level of achievement for the 2024 PSUs granted under our 2023 Incentive Plan. The PSU awards consist of a revenue portion (33.4% of the PSUs) with a two-year performance period, a relative total stockholder return (TSR) portion (33.3% of the PSUs) with a three-year performance period and a strategic performance portion (33.3% of the PSUs) with a three-year performance period. See “—Annual Equity Grants in Fiscal 2024” above for a description of the 2024 PSUs.</w:t>
      </w:r>
    </w:p>
    <w:p>
      <w:pPr>
        <w:spacing w:after="0" w:line="7" w:lineRule="exact"/>
        <w:rPr>
          <w:rFonts w:ascii="Arial" w:cs="Arial" w:eastAsia="Arial" w:hAnsi="Arial"/>
          <w:sz w:val="12"/>
          <w:szCs w:val="12"/>
          <w:color w:val="auto"/>
        </w:rPr>
      </w:pPr>
    </w:p>
    <w:p>
      <w:pPr>
        <w:ind w:left="287" w:hanging="287"/>
        <w:spacing w:after="0"/>
        <w:tabs>
          <w:tab w:leader="none" w:pos="287" w:val="left"/>
        </w:tabs>
        <w:numPr>
          <w:ilvl w:val="0"/>
          <w:numId w:val="38"/>
        </w:numPr>
        <w:rPr>
          <w:rFonts w:ascii="Arial" w:cs="Arial" w:eastAsia="Arial" w:hAnsi="Arial"/>
          <w:sz w:val="12"/>
          <w:szCs w:val="12"/>
          <w:color w:val="auto"/>
        </w:rPr>
      </w:pPr>
      <w:r>
        <w:rPr>
          <w:rFonts w:ascii="Arial" w:cs="Arial" w:eastAsia="Arial" w:hAnsi="Arial"/>
          <w:sz w:val="12"/>
          <w:szCs w:val="12"/>
          <w:color w:val="auto"/>
        </w:rPr>
        <w:t>The amounts in this column represents the RSUs granted under our 2023 Plan during 2024.</w:t>
      </w:r>
    </w:p>
    <w:p>
      <w:pPr>
        <w:spacing w:after="0" w:line="48" w:lineRule="exact"/>
        <w:rPr>
          <w:rFonts w:ascii="Arial" w:cs="Arial" w:eastAsia="Arial" w:hAnsi="Arial"/>
          <w:sz w:val="12"/>
          <w:szCs w:val="12"/>
          <w:color w:val="auto"/>
        </w:rPr>
      </w:pPr>
    </w:p>
    <w:p>
      <w:pPr>
        <w:ind w:left="287" w:right="20" w:hanging="287"/>
        <w:spacing w:after="0" w:line="283" w:lineRule="auto"/>
        <w:tabs>
          <w:tab w:leader="none" w:pos="287" w:val="left"/>
        </w:tabs>
        <w:numPr>
          <w:ilvl w:val="0"/>
          <w:numId w:val="38"/>
        </w:numPr>
        <w:rPr>
          <w:rFonts w:ascii="Arial" w:cs="Arial" w:eastAsia="Arial" w:hAnsi="Arial"/>
          <w:sz w:val="12"/>
          <w:szCs w:val="12"/>
          <w:color w:val="auto"/>
        </w:rPr>
      </w:pPr>
      <w:r>
        <w:rPr>
          <w:rFonts w:ascii="Arial" w:cs="Arial" w:eastAsia="Arial" w:hAnsi="Arial"/>
          <w:sz w:val="12"/>
          <w:szCs w:val="12"/>
          <w:color w:val="auto"/>
        </w:rPr>
        <w:t>This column reflects the aggregate grant date fair value of equity awards granted in 2024 as computed in accordance with ASC Topic 718, not including any estimates of forfeitures. The assumptions used in calculating the grant date fair value of the stock and option awards reported in this column are set forth in Note 13 to our financial statements included in our Annual Report for fiscal 2024.</w:t>
      </w:r>
    </w:p>
    <w:p>
      <w:pPr>
        <w:jc w:val="both"/>
        <w:ind w:left="287" w:right="20" w:hanging="287"/>
        <w:spacing w:after="0" w:line="266" w:lineRule="auto"/>
        <w:tabs>
          <w:tab w:leader="none" w:pos="287" w:val="left"/>
        </w:tabs>
        <w:numPr>
          <w:ilvl w:val="0"/>
          <w:numId w:val="38"/>
        </w:numPr>
        <w:rPr>
          <w:rFonts w:ascii="Arial" w:cs="Arial" w:eastAsia="Arial" w:hAnsi="Arial"/>
          <w:sz w:val="12"/>
          <w:szCs w:val="12"/>
          <w:color w:val="auto"/>
        </w:rPr>
      </w:pPr>
      <w:r>
        <w:rPr>
          <w:rFonts w:ascii="Arial" w:cs="Arial" w:eastAsia="Arial" w:hAnsi="Arial"/>
          <w:sz w:val="12"/>
          <w:szCs w:val="12"/>
          <w:color w:val="auto"/>
        </w:rPr>
        <w:t>Reflects PSOs granted by Amlogenyx, a privately-held subsidiary of Ultragenyx in which Ultragenyx currently holds a majority interest, as described above under “</w:t>
      </w:r>
      <w:r>
        <w:rPr>
          <w:rFonts w:ascii="Arial" w:cs="Arial" w:eastAsia="Arial" w:hAnsi="Arial"/>
          <w:sz w:val="12"/>
          <w:szCs w:val="12"/>
          <w:i w:val="1"/>
          <w:iCs w:val="1"/>
          <w:color w:val="auto"/>
        </w:rPr>
        <w:t>—Annual Equity Grants in Fiscal</w:t>
      </w:r>
      <w:r>
        <w:rPr>
          <w:rFonts w:ascii="Arial" w:cs="Arial" w:eastAsia="Arial" w:hAnsi="Arial"/>
          <w:sz w:val="12"/>
          <w:szCs w:val="12"/>
          <w:color w:val="auto"/>
        </w:rPr>
        <w:t xml:space="preserve"> </w:t>
      </w:r>
      <w:r>
        <w:rPr>
          <w:rFonts w:ascii="Arial" w:cs="Arial" w:eastAsia="Arial" w:hAnsi="Arial"/>
          <w:sz w:val="12"/>
          <w:szCs w:val="12"/>
          <w:i w:val="1"/>
          <w:iCs w:val="1"/>
          <w:color w:val="auto"/>
        </w:rPr>
        <w:t>2024</w:t>
      </w:r>
      <w:r>
        <w:rPr>
          <w:rFonts w:ascii="Arial" w:cs="Arial" w:eastAsia="Arial" w:hAnsi="Arial"/>
          <w:sz w:val="12"/>
          <w:szCs w:val="12"/>
          <w:color w:val="auto"/>
        </w:rPr>
        <w:t>”. The Amlogenyx PSOs will vest upon achievement of specified clinical performance criteria, with each criteria weighted 25%. If the performance criteria are not achieved during the 18-month</w:t>
      </w:r>
      <w:r>
        <w:rPr>
          <w:rFonts w:ascii="Arial" w:cs="Arial" w:eastAsia="Arial" w:hAnsi="Arial"/>
          <w:sz w:val="12"/>
          <w:szCs w:val="12"/>
          <w:i w:val="1"/>
          <w:iCs w:val="1"/>
          <w:color w:val="auto"/>
        </w:rPr>
        <w:t xml:space="preserve"> </w:t>
      </w:r>
      <w:r>
        <w:rPr>
          <w:rFonts w:ascii="Arial" w:cs="Arial" w:eastAsia="Arial" w:hAnsi="Arial"/>
          <w:sz w:val="12"/>
          <w:szCs w:val="12"/>
          <w:color w:val="auto"/>
        </w:rPr>
        <w:t>performance period ending April 21, 2026, any unvested portion of the Amlogenyx PSOs will be forfeited.</w:t>
      </w:r>
    </w:p>
    <w:p>
      <w:pPr>
        <w:spacing w:after="0" w:line="166"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221E1F"/>
        </w:rPr>
        <w:t xml:space="preserve">ULTRAGENYX PHARMACEUTICAL INC. </w:t>
      </w:r>
      <w:r>
        <w:rPr>
          <w:rFonts w:ascii="Arial" w:cs="Arial" w:eastAsia="Arial" w:hAnsi="Arial"/>
          <w:sz w:val="14"/>
          <w:szCs w:val="14"/>
          <w:color w:val="7BBD3E"/>
        </w:rPr>
        <w:t>•</w:t>
      </w:r>
      <w:r>
        <w:rPr>
          <w:rFonts w:ascii="Arial" w:cs="Arial" w:eastAsia="Arial" w:hAnsi="Arial"/>
          <w:sz w:val="14"/>
          <w:szCs w:val="14"/>
          <w:b w:val="1"/>
          <w:bCs w:val="1"/>
          <w:color w:val="221E1F"/>
        </w:rPr>
        <w:t xml:space="preserve"> </w:t>
      </w:r>
      <w:r>
        <w:rPr>
          <w:rFonts w:ascii="Arial" w:cs="Arial" w:eastAsia="Arial" w:hAnsi="Arial"/>
          <w:sz w:val="14"/>
          <w:szCs w:val="14"/>
          <w:color w:val="221E1F"/>
        </w:rPr>
        <w:t>2025 Proxy Statement</w:t>
      </w:r>
      <w:r>
        <w:rPr>
          <w:rFonts w:ascii="Arial" w:cs="Arial" w:eastAsia="Arial" w:hAnsi="Arial"/>
          <w:sz w:val="14"/>
          <w:szCs w:val="14"/>
          <w:b w:val="1"/>
          <w:bCs w:val="1"/>
          <w:color w:val="221E1F"/>
        </w:rPr>
        <w:tab/>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150735"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0735" cy="29845"/>
                    </a:xfrm>
                    <a:prstGeom prst="rect">
                      <a:avLst/>
                    </a:prstGeom>
                    <a:noFill/>
                  </pic:spPr>
                </pic:pic>
              </a:graphicData>
            </a:graphic>
          </wp:anchor>
        </w:drawing>
      </w:r>
    </w:p>
    <w:p>
      <w:pPr>
        <w:sectPr>
          <w:pgSz w:w="11900" w:h="16838" w:orient="portrait"/>
          <w:cols w:equalWidth="0" w:num="1">
            <w:col w:w="11267"/>
          </w:cols>
          <w:pgMar w:left="313" w:top="225" w:right="319" w:bottom="1440" w:gutter="0" w:footer="0" w:header="0"/>
        </w:sectPr>
      </w:pPr>
    </w:p>
    <w:bookmarkStart w:id="57" w:name="page58"/>
    <w:bookmarkEnd w:id="57"/>
    <w:p>
      <w:pPr>
        <w:spacing w:after="0"/>
        <w:rPr>
          <w:sz w:val="20"/>
          <w:szCs w:val="20"/>
          <w:color w:val="auto"/>
        </w:rPr>
      </w:pPr>
      <w:r>
        <w:rPr>
          <w:rFonts w:ascii="Arial" w:cs="Arial" w:eastAsia="Arial" w:hAnsi="Arial"/>
          <w:sz w:val="12"/>
          <w:szCs w:val="12"/>
          <w:b w:val="1"/>
          <w:bCs w:val="1"/>
          <w:u w:val="single" w:color="auto"/>
          <w:color w:val="0000EE"/>
        </w:rPr>
        <w:t>Back to Contents</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Outstanding Equity Awards at December 31, 2024</w:t>
      </w:r>
    </w:p>
    <w:p>
      <w:pPr>
        <w:spacing w:after="0" w:line="222"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sets forth information concerning the outstanding equity awards held by each of the named executive officers as of December 31, 2024.</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6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40" w:type="dxa"/>
            <w:vAlign w:val="bottom"/>
            <w:tcBorders>
              <w:bottom w:val="single" w:sz="8" w:color="7CBD3F"/>
            </w:tcBorders>
          </w:tcPr>
          <w:p>
            <w:pPr>
              <w:spacing w:after="0"/>
              <w:rPr>
                <w:sz w:val="23"/>
                <w:szCs w:val="23"/>
                <w:color w:val="auto"/>
              </w:rPr>
            </w:pPr>
          </w:p>
        </w:tc>
        <w:tc>
          <w:tcPr>
            <w:tcW w:w="2340" w:type="dxa"/>
            <w:vAlign w:val="bottom"/>
            <w:tcBorders>
              <w:bottom w:val="single" w:sz="8" w:color="7CBD3F"/>
            </w:tcBorders>
            <w:gridSpan w:val="2"/>
          </w:tcPr>
          <w:p>
            <w:pPr>
              <w:jc w:val="right"/>
              <w:ind w:right="250"/>
              <w:spacing w:after="0"/>
              <w:rPr>
                <w:sz w:val="20"/>
                <w:szCs w:val="20"/>
                <w:color w:val="auto"/>
              </w:rPr>
            </w:pPr>
            <w:r>
              <w:rPr>
                <w:rFonts w:ascii="Arial" w:cs="Arial" w:eastAsia="Arial" w:hAnsi="Arial"/>
                <w:sz w:val="14"/>
                <w:szCs w:val="14"/>
                <w:b w:val="1"/>
                <w:bCs w:val="1"/>
                <w:color w:val="auto"/>
              </w:rPr>
              <w:t>Option Awards</w:t>
            </w:r>
            <w:r>
              <w:rPr>
                <w:rFonts w:ascii="Arial" w:cs="Arial" w:eastAsia="Arial" w:hAnsi="Arial"/>
                <w:sz w:val="23"/>
                <w:szCs w:val="23"/>
                <w:b w:val="1"/>
                <w:bCs w:val="1"/>
                <w:color w:val="auto"/>
                <w:vertAlign w:val="superscript"/>
              </w:rPr>
              <w:t>(1)</w:t>
            </w:r>
          </w:p>
        </w:tc>
        <w:tc>
          <w:tcPr>
            <w:tcW w:w="700" w:type="dxa"/>
            <w:vAlign w:val="bottom"/>
            <w:tcBorders>
              <w:bottom w:val="single" w:sz="8" w:color="7CBD3F"/>
            </w:tcBorders>
          </w:tcPr>
          <w:p>
            <w:pPr>
              <w:spacing w:after="0"/>
              <w:rPr>
                <w:sz w:val="23"/>
                <w:szCs w:val="23"/>
                <w:color w:val="auto"/>
              </w:rPr>
            </w:pPr>
          </w:p>
        </w:tc>
        <w:tc>
          <w:tcPr>
            <w:tcW w:w="800" w:type="dxa"/>
            <w:vAlign w:val="bottom"/>
            <w:tcBorders>
              <w:bottom w:val="single" w:sz="8" w:color="7CBD3F"/>
            </w:tcBorders>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Borders>
              <w:bottom w:val="single" w:sz="8" w:color="7CBD3F"/>
            </w:tcBorders>
          </w:tcPr>
          <w:p>
            <w:pPr>
              <w:spacing w:after="0"/>
              <w:rPr>
                <w:sz w:val="23"/>
                <w:szCs w:val="23"/>
                <w:color w:val="auto"/>
              </w:rPr>
            </w:pPr>
          </w:p>
        </w:tc>
        <w:tc>
          <w:tcPr>
            <w:tcW w:w="920" w:type="dxa"/>
            <w:vAlign w:val="bottom"/>
            <w:tcBorders>
              <w:bottom w:val="single" w:sz="8" w:color="7CBD3F"/>
            </w:tcBorders>
          </w:tcPr>
          <w:p>
            <w:pPr>
              <w:spacing w:after="0"/>
              <w:rPr>
                <w:sz w:val="23"/>
                <w:szCs w:val="23"/>
                <w:color w:val="auto"/>
              </w:rPr>
            </w:pPr>
          </w:p>
        </w:tc>
        <w:tc>
          <w:tcPr>
            <w:tcW w:w="1360" w:type="dxa"/>
            <w:vAlign w:val="bottom"/>
            <w:tcBorders>
              <w:bottom w:val="single" w:sz="8" w:color="7CBD3F"/>
            </w:tcBorders>
          </w:tcPr>
          <w:p>
            <w:pPr>
              <w:jc w:val="right"/>
              <w:ind w:right="270"/>
              <w:spacing w:after="0"/>
              <w:rPr>
                <w:sz w:val="20"/>
                <w:szCs w:val="20"/>
                <w:color w:val="auto"/>
              </w:rPr>
            </w:pPr>
            <w:r>
              <w:rPr>
                <w:rFonts w:ascii="Arial" w:cs="Arial" w:eastAsia="Arial" w:hAnsi="Arial"/>
                <w:sz w:val="14"/>
                <w:szCs w:val="14"/>
                <w:b w:val="1"/>
                <w:bCs w:val="1"/>
                <w:color w:val="auto"/>
              </w:rPr>
              <w:t>Stock Awards</w:t>
            </w:r>
          </w:p>
        </w:tc>
        <w:tc>
          <w:tcPr>
            <w:tcW w:w="1600" w:type="dxa"/>
            <w:vAlign w:val="bottom"/>
            <w:tcBorders>
              <w:bottom w:val="single" w:sz="8" w:color="7CBD3F"/>
            </w:tcBorders>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6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60" w:type="dxa"/>
            <w:vAlign w:val="bottom"/>
          </w:tcPr>
          <w:p>
            <w:pPr>
              <w:jc w:val="right"/>
              <w:ind w:right="50"/>
              <w:spacing w:after="0"/>
              <w:rPr>
                <w:sz w:val="20"/>
                <w:szCs w:val="20"/>
                <w:color w:val="auto"/>
              </w:rPr>
            </w:pPr>
            <w:r>
              <w:rPr>
                <w:rFonts w:ascii="Arial" w:cs="Arial" w:eastAsia="Arial" w:hAnsi="Arial"/>
                <w:sz w:val="14"/>
                <w:szCs w:val="14"/>
                <w:b w:val="1"/>
                <w:bCs w:val="1"/>
                <w:color w:val="auto"/>
              </w:rPr>
              <w:t>Equity Incentive</w:t>
            </w: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jc w:val="right"/>
              <w:ind w:right="30"/>
              <w:spacing w:after="0"/>
              <w:rPr>
                <w:sz w:val="20"/>
                <w:szCs w:val="20"/>
                <w:color w:val="auto"/>
              </w:rPr>
            </w:pPr>
            <w:r>
              <w:rPr>
                <w:rFonts w:ascii="Arial" w:cs="Arial" w:eastAsia="Arial" w:hAnsi="Arial"/>
                <w:sz w:val="14"/>
                <w:szCs w:val="14"/>
                <w:b w:val="1"/>
                <w:bCs w:val="1"/>
                <w:color w:val="auto"/>
              </w:rPr>
              <w:t>Market</w:t>
            </w:r>
          </w:p>
        </w:tc>
        <w:tc>
          <w:tcPr>
            <w:tcW w:w="1360" w:type="dxa"/>
            <w:vAlign w:val="bottom"/>
          </w:tcPr>
          <w:p>
            <w:pPr>
              <w:jc w:val="right"/>
              <w:ind w:right="90"/>
              <w:spacing w:after="0"/>
              <w:rPr>
                <w:sz w:val="20"/>
                <w:szCs w:val="20"/>
                <w:color w:val="auto"/>
              </w:rPr>
            </w:pPr>
            <w:r>
              <w:rPr>
                <w:rFonts w:ascii="Arial" w:cs="Arial" w:eastAsia="Arial" w:hAnsi="Arial"/>
                <w:sz w:val="14"/>
                <w:szCs w:val="14"/>
                <w:b w:val="1"/>
                <w:bCs w:val="1"/>
                <w:color w:val="auto"/>
              </w:rPr>
              <w:t>Equity Incentive</w:t>
            </w:r>
          </w:p>
        </w:tc>
        <w:tc>
          <w:tcPr>
            <w:tcW w:w="1600" w:type="dxa"/>
            <w:vAlign w:val="bottom"/>
          </w:tcPr>
          <w:p>
            <w:pPr>
              <w:jc w:val="right"/>
              <w:ind w:right="10"/>
              <w:spacing w:after="0"/>
              <w:rPr>
                <w:sz w:val="20"/>
                <w:szCs w:val="20"/>
                <w:color w:val="auto"/>
              </w:rPr>
            </w:pPr>
            <w:r>
              <w:rPr>
                <w:rFonts w:ascii="Arial" w:cs="Arial" w:eastAsia="Arial" w:hAnsi="Arial"/>
                <w:sz w:val="14"/>
                <w:szCs w:val="14"/>
                <w:b w:val="1"/>
                <w:bCs w:val="1"/>
                <w:color w:val="auto"/>
              </w:rPr>
              <w:t>Equity Incentive Plan</w:t>
            </w:r>
          </w:p>
        </w:tc>
        <w:tc>
          <w:tcPr>
            <w:tcW w:w="0" w:type="dxa"/>
            <w:vAlign w:val="bottom"/>
          </w:tcPr>
          <w:p>
            <w:pPr>
              <w:spacing w:after="0"/>
              <w:rPr>
                <w:sz w:val="1"/>
                <w:szCs w:val="1"/>
                <w:color w:val="auto"/>
              </w:rPr>
            </w:pPr>
          </w:p>
        </w:tc>
      </w:tr>
      <w:tr>
        <w:trPr>
          <w:trHeight w:val="163"/>
        </w:trPr>
        <w:tc>
          <w:tcPr>
            <w:tcW w:w="6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tcPr>
          <w:p>
            <w:pPr>
              <w:jc w:val="right"/>
              <w:ind w:right="50"/>
              <w:spacing w:after="0"/>
              <w:rPr>
                <w:sz w:val="20"/>
                <w:szCs w:val="20"/>
                <w:color w:val="auto"/>
              </w:rPr>
            </w:pPr>
            <w:r>
              <w:rPr>
                <w:rFonts w:ascii="Arial" w:cs="Arial" w:eastAsia="Arial" w:hAnsi="Arial"/>
                <w:sz w:val="14"/>
                <w:szCs w:val="14"/>
                <w:b w:val="1"/>
                <w:bCs w:val="1"/>
                <w:color w:val="auto"/>
              </w:rPr>
              <w:t>Plan Awards:</w:t>
            </w: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ind w:right="90"/>
              <w:spacing w:after="0"/>
              <w:rPr>
                <w:sz w:val="20"/>
                <w:szCs w:val="20"/>
                <w:color w:val="auto"/>
              </w:rPr>
            </w:pPr>
            <w:r>
              <w:rPr>
                <w:rFonts w:ascii="Arial" w:cs="Arial" w:eastAsia="Arial" w:hAnsi="Arial"/>
                <w:sz w:val="14"/>
                <w:szCs w:val="14"/>
                <w:b w:val="1"/>
                <w:bCs w:val="1"/>
                <w:color w:val="auto"/>
              </w:rPr>
              <w:t>Number of</w:t>
            </w:r>
          </w:p>
        </w:tc>
        <w:tc>
          <w:tcPr>
            <w:tcW w:w="920" w:type="dxa"/>
            <w:vAlign w:val="bottom"/>
          </w:tcPr>
          <w:p>
            <w:pPr>
              <w:jc w:val="right"/>
              <w:ind w:right="70"/>
              <w:spacing w:after="0"/>
              <w:rPr>
                <w:sz w:val="20"/>
                <w:szCs w:val="20"/>
                <w:color w:val="auto"/>
              </w:rPr>
            </w:pPr>
            <w:r>
              <w:rPr>
                <w:rFonts w:ascii="Arial" w:cs="Arial" w:eastAsia="Arial" w:hAnsi="Arial"/>
                <w:sz w:val="14"/>
                <w:szCs w:val="14"/>
                <w:b w:val="1"/>
                <w:bCs w:val="1"/>
                <w:color w:val="auto"/>
              </w:rPr>
              <w:t>Value of</w:t>
            </w:r>
          </w:p>
        </w:tc>
        <w:tc>
          <w:tcPr>
            <w:tcW w:w="1360" w:type="dxa"/>
            <w:vAlign w:val="bottom"/>
          </w:tcPr>
          <w:p>
            <w:pPr>
              <w:jc w:val="right"/>
              <w:ind w:right="90"/>
              <w:spacing w:after="0"/>
              <w:rPr>
                <w:sz w:val="20"/>
                <w:szCs w:val="20"/>
                <w:color w:val="auto"/>
              </w:rPr>
            </w:pPr>
            <w:r>
              <w:rPr>
                <w:rFonts w:ascii="Arial" w:cs="Arial" w:eastAsia="Arial" w:hAnsi="Arial"/>
                <w:sz w:val="14"/>
                <w:szCs w:val="14"/>
                <w:b w:val="1"/>
                <w:bCs w:val="1"/>
                <w:color w:val="auto"/>
              </w:rPr>
              <w:t>Plan Awards:</w:t>
            </w:r>
          </w:p>
        </w:tc>
        <w:tc>
          <w:tcPr>
            <w:tcW w:w="1600" w:type="dxa"/>
            <w:vAlign w:val="bottom"/>
          </w:tcPr>
          <w:p>
            <w:pPr>
              <w:jc w:val="right"/>
              <w:ind w:right="10"/>
              <w:spacing w:after="0"/>
              <w:rPr>
                <w:sz w:val="20"/>
                <w:szCs w:val="20"/>
                <w:color w:val="auto"/>
              </w:rPr>
            </w:pPr>
            <w:r>
              <w:rPr>
                <w:rFonts w:ascii="Arial" w:cs="Arial" w:eastAsia="Arial" w:hAnsi="Arial"/>
                <w:sz w:val="14"/>
                <w:szCs w:val="14"/>
                <w:b w:val="1"/>
                <w:bCs w:val="1"/>
                <w:color w:val="auto"/>
              </w:rPr>
              <w:t>Awards: Market</w:t>
            </w:r>
          </w:p>
        </w:tc>
        <w:tc>
          <w:tcPr>
            <w:tcW w:w="0" w:type="dxa"/>
            <w:vAlign w:val="bottom"/>
          </w:tcPr>
          <w:p>
            <w:pPr>
              <w:spacing w:after="0"/>
              <w:rPr>
                <w:sz w:val="1"/>
                <w:szCs w:val="1"/>
                <w:color w:val="auto"/>
              </w:rPr>
            </w:pPr>
          </w:p>
        </w:tc>
      </w:tr>
      <w:tr>
        <w:trPr>
          <w:trHeight w:val="163"/>
        </w:trPr>
        <w:tc>
          <w:tcPr>
            <w:tcW w:w="6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b w:val="1"/>
                <w:bCs w:val="1"/>
                <w:color w:val="auto"/>
              </w:rPr>
              <w:t>Number of</w:t>
            </w:r>
          </w:p>
        </w:tc>
        <w:tc>
          <w:tcPr>
            <w:tcW w:w="1080" w:type="dxa"/>
            <w:vAlign w:val="bottom"/>
          </w:tcPr>
          <w:p>
            <w:pPr>
              <w:jc w:val="right"/>
              <w:ind w:right="30"/>
              <w:spacing w:after="0"/>
              <w:rPr>
                <w:sz w:val="20"/>
                <w:szCs w:val="20"/>
                <w:color w:val="auto"/>
              </w:rPr>
            </w:pPr>
            <w:r>
              <w:rPr>
                <w:rFonts w:ascii="Arial" w:cs="Arial" w:eastAsia="Arial" w:hAnsi="Arial"/>
                <w:sz w:val="14"/>
                <w:szCs w:val="14"/>
                <w:b w:val="1"/>
                <w:bCs w:val="1"/>
                <w:color w:val="auto"/>
              </w:rPr>
              <w:t>Number of</w:t>
            </w:r>
          </w:p>
        </w:tc>
        <w:tc>
          <w:tcPr>
            <w:tcW w:w="1260" w:type="dxa"/>
            <w:vAlign w:val="bottom"/>
          </w:tcPr>
          <w:p>
            <w:pPr>
              <w:jc w:val="right"/>
              <w:ind w:right="50"/>
              <w:spacing w:after="0"/>
              <w:rPr>
                <w:sz w:val="20"/>
                <w:szCs w:val="20"/>
                <w:color w:val="auto"/>
              </w:rPr>
            </w:pPr>
            <w:r>
              <w:rPr>
                <w:rFonts w:ascii="Arial" w:cs="Arial" w:eastAsia="Arial" w:hAnsi="Arial"/>
                <w:sz w:val="14"/>
                <w:szCs w:val="14"/>
                <w:b w:val="1"/>
                <w:bCs w:val="1"/>
                <w:color w:val="auto"/>
              </w:rPr>
              <w:t>Number of</w:t>
            </w: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ind w:right="90"/>
              <w:spacing w:after="0"/>
              <w:rPr>
                <w:sz w:val="20"/>
                <w:szCs w:val="20"/>
                <w:color w:val="auto"/>
              </w:rPr>
            </w:pPr>
            <w:r>
              <w:rPr>
                <w:rFonts w:ascii="Arial" w:cs="Arial" w:eastAsia="Arial" w:hAnsi="Arial"/>
                <w:sz w:val="14"/>
                <w:szCs w:val="14"/>
                <w:b w:val="1"/>
                <w:bCs w:val="1"/>
                <w:color w:val="auto"/>
              </w:rPr>
              <w:t>Shares or</w:t>
            </w:r>
          </w:p>
        </w:tc>
        <w:tc>
          <w:tcPr>
            <w:tcW w:w="920" w:type="dxa"/>
            <w:vAlign w:val="bottom"/>
          </w:tcPr>
          <w:p>
            <w:pPr>
              <w:jc w:val="right"/>
              <w:ind w:right="70"/>
              <w:spacing w:after="0"/>
              <w:rPr>
                <w:sz w:val="20"/>
                <w:szCs w:val="20"/>
                <w:color w:val="auto"/>
              </w:rPr>
            </w:pPr>
            <w:r>
              <w:rPr>
                <w:rFonts w:ascii="Arial" w:cs="Arial" w:eastAsia="Arial" w:hAnsi="Arial"/>
                <w:sz w:val="14"/>
                <w:szCs w:val="14"/>
                <w:b w:val="1"/>
                <w:bCs w:val="1"/>
                <w:color w:val="auto"/>
              </w:rPr>
              <w:t>Shares or</w:t>
            </w:r>
          </w:p>
        </w:tc>
        <w:tc>
          <w:tcPr>
            <w:tcW w:w="1360" w:type="dxa"/>
            <w:vAlign w:val="bottom"/>
          </w:tcPr>
          <w:p>
            <w:pPr>
              <w:jc w:val="right"/>
              <w:ind w:right="90"/>
              <w:spacing w:after="0"/>
              <w:rPr>
                <w:sz w:val="20"/>
                <w:szCs w:val="20"/>
                <w:color w:val="auto"/>
              </w:rPr>
            </w:pPr>
            <w:r>
              <w:rPr>
                <w:rFonts w:ascii="Arial" w:cs="Arial" w:eastAsia="Arial" w:hAnsi="Arial"/>
                <w:sz w:val="14"/>
                <w:szCs w:val="14"/>
                <w:b w:val="1"/>
                <w:bCs w:val="1"/>
                <w:color w:val="auto"/>
              </w:rPr>
              <w:t>Number of</w:t>
            </w:r>
          </w:p>
        </w:tc>
        <w:tc>
          <w:tcPr>
            <w:tcW w:w="1600" w:type="dxa"/>
            <w:vAlign w:val="bottom"/>
          </w:tcPr>
          <w:p>
            <w:pPr>
              <w:jc w:val="right"/>
              <w:ind w:right="10"/>
              <w:spacing w:after="0"/>
              <w:rPr>
                <w:sz w:val="20"/>
                <w:szCs w:val="20"/>
                <w:color w:val="auto"/>
              </w:rPr>
            </w:pPr>
            <w:r>
              <w:rPr>
                <w:rFonts w:ascii="Arial" w:cs="Arial" w:eastAsia="Arial" w:hAnsi="Arial"/>
                <w:sz w:val="14"/>
                <w:szCs w:val="14"/>
                <w:b w:val="1"/>
                <w:bCs w:val="1"/>
                <w:color w:val="auto"/>
              </w:rPr>
              <w:t>or Payout Value of</w:t>
            </w:r>
          </w:p>
        </w:tc>
        <w:tc>
          <w:tcPr>
            <w:tcW w:w="0" w:type="dxa"/>
            <w:vAlign w:val="bottom"/>
          </w:tcPr>
          <w:p>
            <w:pPr>
              <w:spacing w:after="0"/>
              <w:rPr>
                <w:sz w:val="1"/>
                <w:szCs w:val="1"/>
                <w:color w:val="auto"/>
              </w:rPr>
            </w:pPr>
          </w:p>
        </w:tc>
      </w:tr>
      <w:tr>
        <w:trPr>
          <w:trHeight w:val="163"/>
        </w:trPr>
        <w:tc>
          <w:tcPr>
            <w:tcW w:w="6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b w:val="1"/>
                <w:bCs w:val="1"/>
                <w:color w:val="auto"/>
              </w:rPr>
              <w:t>Securities</w:t>
            </w:r>
          </w:p>
        </w:tc>
        <w:tc>
          <w:tcPr>
            <w:tcW w:w="1080" w:type="dxa"/>
            <w:vAlign w:val="bottom"/>
          </w:tcPr>
          <w:p>
            <w:pPr>
              <w:jc w:val="right"/>
              <w:ind w:right="30"/>
              <w:spacing w:after="0"/>
              <w:rPr>
                <w:sz w:val="20"/>
                <w:szCs w:val="20"/>
                <w:color w:val="auto"/>
              </w:rPr>
            </w:pPr>
            <w:r>
              <w:rPr>
                <w:rFonts w:ascii="Arial" w:cs="Arial" w:eastAsia="Arial" w:hAnsi="Arial"/>
                <w:sz w:val="14"/>
                <w:szCs w:val="14"/>
                <w:b w:val="1"/>
                <w:bCs w:val="1"/>
                <w:color w:val="auto"/>
              </w:rPr>
              <w:t>Securities</w:t>
            </w:r>
          </w:p>
        </w:tc>
        <w:tc>
          <w:tcPr>
            <w:tcW w:w="1260" w:type="dxa"/>
            <w:vAlign w:val="bottom"/>
          </w:tcPr>
          <w:p>
            <w:pPr>
              <w:jc w:val="right"/>
              <w:ind w:right="50"/>
              <w:spacing w:after="0"/>
              <w:rPr>
                <w:sz w:val="20"/>
                <w:szCs w:val="20"/>
                <w:color w:val="auto"/>
              </w:rPr>
            </w:pPr>
            <w:r>
              <w:rPr>
                <w:rFonts w:ascii="Arial" w:cs="Arial" w:eastAsia="Arial" w:hAnsi="Arial"/>
                <w:sz w:val="14"/>
                <w:szCs w:val="14"/>
                <w:b w:val="1"/>
                <w:bCs w:val="1"/>
                <w:color w:val="auto"/>
              </w:rPr>
              <w:t>Securities</w:t>
            </w: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ind w:right="90"/>
              <w:spacing w:after="0"/>
              <w:rPr>
                <w:sz w:val="20"/>
                <w:szCs w:val="20"/>
                <w:color w:val="auto"/>
              </w:rPr>
            </w:pPr>
            <w:r>
              <w:rPr>
                <w:rFonts w:ascii="Arial" w:cs="Arial" w:eastAsia="Arial" w:hAnsi="Arial"/>
                <w:sz w:val="14"/>
                <w:szCs w:val="14"/>
                <w:b w:val="1"/>
                <w:bCs w:val="1"/>
                <w:color w:val="auto"/>
              </w:rPr>
              <w:t>Units of</w:t>
            </w:r>
          </w:p>
        </w:tc>
        <w:tc>
          <w:tcPr>
            <w:tcW w:w="920" w:type="dxa"/>
            <w:vAlign w:val="bottom"/>
          </w:tcPr>
          <w:p>
            <w:pPr>
              <w:jc w:val="right"/>
              <w:ind w:right="30"/>
              <w:spacing w:after="0"/>
              <w:rPr>
                <w:sz w:val="20"/>
                <w:szCs w:val="20"/>
                <w:color w:val="auto"/>
              </w:rPr>
            </w:pPr>
            <w:r>
              <w:rPr>
                <w:rFonts w:ascii="Arial" w:cs="Arial" w:eastAsia="Arial" w:hAnsi="Arial"/>
                <w:sz w:val="14"/>
                <w:szCs w:val="14"/>
                <w:b w:val="1"/>
                <w:bCs w:val="1"/>
                <w:color w:val="auto"/>
              </w:rPr>
              <w:t>Units of</w:t>
            </w:r>
          </w:p>
        </w:tc>
        <w:tc>
          <w:tcPr>
            <w:tcW w:w="1360" w:type="dxa"/>
            <w:vAlign w:val="bottom"/>
          </w:tcPr>
          <w:p>
            <w:pPr>
              <w:jc w:val="right"/>
              <w:ind w:right="90"/>
              <w:spacing w:after="0"/>
              <w:rPr>
                <w:sz w:val="20"/>
                <w:szCs w:val="20"/>
                <w:color w:val="auto"/>
              </w:rPr>
            </w:pPr>
            <w:r>
              <w:rPr>
                <w:rFonts w:ascii="Arial" w:cs="Arial" w:eastAsia="Arial" w:hAnsi="Arial"/>
                <w:sz w:val="14"/>
                <w:szCs w:val="14"/>
                <w:b w:val="1"/>
                <w:bCs w:val="1"/>
                <w:color w:val="auto"/>
              </w:rPr>
              <w:t>Unearned</w:t>
            </w:r>
          </w:p>
        </w:tc>
        <w:tc>
          <w:tcPr>
            <w:tcW w:w="1600" w:type="dxa"/>
            <w:vAlign w:val="bottom"/>
          </w:tcPr>
          <w:p>
            <w:pPr>
              <w:jc w:val="right"/>
              <w:ind w:right="10"/>
              <w:spacing w:after="0"/>
              <w:rPr>
                <w:sz w:val="20"/>
                <w:szCs w:val="20"/>
                <w:color w:val="auto"/>
              </w:rPr>
            </w:pPr>
            <w:r>
              <w:rPr>
                <w:rFonts w:ascii="Arial" w:cs="Arial" w:eastAsia="Arial" w:hAnsi="Arial"/>
                <w:sz w:val="14"/>
                <w:szCs w:val="14"/>
                <w:b w:val="1"/>
                <w:bCs w:val="1"/>
                <w:color w:val="auto"/>
              </w:rPr>
              <w:t>Unearned Shares,</w:t>
            </w:r>
          </w:p>
        </w:tc>
        <w:tc>
          <w:tcPr>
            <w:tcW w:w="0" w:type="dxa"/>
            <w:vAlign w:val="bottom"/>
          </w:tcPr>
          <w:p>
            <w:pPr>
              <w:spacing w:after="0"/>
              <w:rPr>
                <w:sz w:val="1"/>
                <w:szCs w:val="1"/>
                <w:color w:val="auto"/>
              </w:rPr>
            </w:pPr>
          </w:p>
        </w:tc>
      </w:tr>
      <w:tr>
        <w:trPr>
          <w:trHeight w:val="163"/>
        </w:trPr>
        <w:tc>
          <w:tcPr>
            <w:tcW w:w="6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b w:val="1"/>
                <w:bCs w:val="1"/>
                <w:color w:val="auto"/>
              </w:rPr>
              <w:t>Underlying</w:t>
            </w:r>
          </w:p>
        </w:tc>
        <w:tc>
          <w:tcPr>
            <w:tcW w:w="1080" w:type="dxa"/>
            <w:vAlign w:val="bottom"/>
          </w:tcPr>
          <w:p>
            <w:pPr>
              <w:jc w:val="right"/>
              <w:ind w:right="30"/>
              <w:spacing w:after="0"/>
              <w:rPr>
                <w:sz w:val="20"/>
                <w:szCs w:val="20"/>
                <w:color w:val="auto"/>
              </w:rPr>
            </w:pPr>
            <w:r>
              <w:rPr>
                <w:rFonts w:ascii="Arial" w:cs="Arial" w:eastAsia="Arial" w:hAnsi="Arial"/>
                <w:sz w:val="14"/>
                <w:szCs w:val="14"/>
                <w:b w:val="1"/>
                <w:bCs w:val="1"/>
                <w:color w:val="auto"/>
              </w:rPr>
              <w:t>Underlying</w:t>
            </w:r>
          </w:p>
        </w:tc>
        <w:tc>
          <w:tcPr>
            <w:tcW w:w="1260" w:type="dxa"/>
            <w:vAlign w:val="bottom"/>
          </w:tcPr>
          <w:p>
            <w:pPr>
              <w:jc w:val="right"/>
              <w:ind w:right="10"/>
              <w:spacing w:after="0"/>
              <w:rPr>
                <w:sz w:val="20"/>
                <w:szCs w:val="20"/>
                <w:color w:val="auto"/>
              </w:rPr>
            </w:pPr>
            <w:r>
              <w:rPr>
                <w:rFonts w:ascii="Arial" w:cs="Arial" w:eastAsia="Arial" w:hAnsi="Arial"/>
                <w:sz w:val="14"/>
                <w:szCs w:val="14"/>
                <w:b w:val="1"/>
                <w:bCs w:val="1"/>
                <w:color w:val="auto"/>
              </w:rPr>
              <w:t>Underlying</w:t>
            </w:r>
          </w:p>
        </w:tc>
        <w:tc>
          <w:tcPr>
            <w:tcW w:w="700" w:type="dxa"/>
            <w:vAlign w:val="bottom"/>
          </w:tcPr>
          <w:p>
            <w:pPr>
              <w:jc w:val="right"/>
              <w:ind w:right="30"/>
              <w:spacing w:after="0"/>
              <w:rPr>
                <w:sz w:val="20"/>
                <w:szCs w:val="20"/>
                <w:color w:val="auto"/>
              </w:rPr>
            </w:pPr>
            <w:r>
              <w:rPr>
                <w:rFonts w:ascii="Arial" w:cs="Arial" w:eastAsia="Arial" w:hAnsi="Arial"/>
                <w:sz w:val="14"/>
                <w:szCs w:val="14"/>
                <w:b w:val="1"/>
                <w:bCs w:val="1"/>
                <w:color w:val="auto"/>
              </w:rPr>
              <w:t>Option</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ind w:right="90"/>
              <w:spacing w:after="0"/>
              <w:rPr>
                <w:sz w:val="20"/>
                <w:szCs w:val="20"/>
                <w:color w:val="auto"/>
              </w:rPr>
            </w:pPr>
            <w:r>
              <w:rPr>
                <w:rFonts w:ascii="Arial" w:cs="Arial" w:eastAsia="Arial" w:hAnsi="Arial"/>
                <w:sz w:val="14"/>
                <w:szCs w:val="14"/>
                <w:b w:val="1"/>
                <w:bCs w:val="1"/>
                <w:color w:val="auto"/>
              </w:rPr>
              <w:t>Stock</w:t>
            </w:r>
          </w:p>
        </w:tc>
        <w:tc>
          <w:tcPr>
            <w:tcW w:w="920" w:type="dxa"/>
            <w:vAlign w:val="bottom"/>
          </w:tcPr>
          <w:p>
            <w:pPr>
              <w:jc w:val="right"/>
              <w:ind w:right="30"/>
              <w:spacing w:after="0"/>
              <w:rPr>
                <w:sz w:val="20"/>
                <w:szCs w:val="20"/>
                <w:color w:val="auto"/>
              </w:rPr>
            </w:pPr>
            <w:r>
              <w:rPr>
                <w:rFonts w:ascii="Arial" w:cs="Arial" w:eastAsia="Arial" w:hAnsi="Arial"/>
                <w:sz w:val="14"/>
                <w:szCs w:val="14"/>
                <w:b w:val="1"/>
                <w:bCs w:val="1"/>
                <w:color w:val="auto"/>
              </w:rPr>
              <w:t>Stock That</w:t>
            </w:r>
          </w:p>
        </w:tc>
        <w:tc>
          <w:tcPr>
            <w:tcW w:w="1360" w:type="dxa"/>
            <w:vAlign w:val="bottom"/>
          </w:tcPr>
          <w:p>
            <w:pPr>
              <w:jc w:val="right"/>
              <w:ind w:right="50"/>
              <w:spacing w:after="0"/>
              <w:rPr>
                <w:sz w:val="20"/>
                <w:szCs w:val="20"/>
                <w:color w:val="auto"/>
              </w:rPr>
            </w:pPr>
            <w:r>
              <w:rPr>
                <w:rFonts w:ascii="Arial" w:cs="Arial" w:eastAsia="Arial" w:hAnsi="Arial"/>
                <w:sz w:val="14"/>
                <w:szCs w:val="14"/>
                <w:b w:val="1"/>
                <w:bCs w:val="1"/>
                <w:color w:val="auto"/>
              </w:rPr>
              <w:t>Shares, Units</w:t>
            </w:r>
          </w:p>
        </w:tc>
        <w:tc>
          <w:tcPr>
            <w:tcW w:w="1600" w:type="dxa"/>
            <w:vAlign w:val="bottom"/>
          </w:tcPr>
          <w:p>
            <w:pPr>
              <w:jc w:val="right"/>
              <w:ind w:right="10"/>
              <w:spacing w:after="0"/>
              <w:rPr>
                <w:sz w:val="20"/>
                <w:szCs w:val="20"/>
                <w:color w:val="auto"/>
              </w:rPr>
            </w:pPr>
            <w:r>
              <w:rPr>
                <w:rFonts w:ascii="Arial" w:cs="Arial" w:eastAsia="Arial" w:hAnsi="Arial"/>
                <w:sz w:val="14"/>
                <w:szCs w:val="14"/>
                <w:b w:val="1"/>
                <w:bCs w:val="1"/>
                <w:color w:val="auto"/>
              </w:rPr>
              <w:t>Units or Other Rights</w:t>
            </w:r>
          </w:p>
        </w:tc>
        <w:tc>
          <w:tcPr>
            <w:tcW w:w="0" w:type="dxa"/>
            <w:vAlign w:val="bottom"/>
          </w:tcPr>
          <w:p>
            <w:pPr>
              <w:spacing w:after="0"/>
              <w:rPr>
                <w:sz w:val="1"/>
                <w:szCs w:val="1"/>
                <w:color w:val="auto"/>
              </w:rPr>
            </w:pPr>
          </w:p>
        </w:tc>
      </w:tr>
      <w:tr>
        <w:trPr>
          <w:trHeight w:val="163"/>
        </w:trPr>
        <w:tc>
          <w:tcPr>
            <w:tcW w:w="6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b w:val="1"/>
                <w:bCs w:val="1"/>
                <w:color w:val="auto"/>
                <w:w w:val="98"/>
              </w:rPr>
              <w:t>Unexercised</w:t>
            </w:r>
          </w:p>
        </w:tc>
        <w:tc>
          <w:tcPr>
            <w:tcW w:w="1080" w:type="dxa"/>
            <w:vAlign w:val="bottom"/>
          </w:tcPr>
          <w:p>
            <w:pPr>
              <w:jc w:val="right"/>
              <w:ind w:right="30"/>
              <w:spacing w:after="0"/>
              <w:rPr>
                <w:sz w:val="20"/>
                <w:szCs w:val="20"/>
                <w:color w:val="auto"/>
              </w:rPr>
            </w:pPr>
            <w:r>
              <w:rPr>
                <w:rFonts w:ascii="Arial" w:cs="Arial" w:eastAsia="Arial" w:hAnsi="Arial"/>
                <w:sz w:val="14"/>
                <w:szCs w:val="14"/>
                <w:b w:val="1"/>
                <w:bCs w:val="1"/>
                <w:color w:val="auto"/>
              </w:rPr>
              <w:t>Unexercised</w:t>
            </w:r>
          </w:p>
        </w:tc>
        <w:tc>
          <w:tcPr>
            <w:tcW w:w="1260" w:type="dxa"/>
            <w:vAlign w:val="bottom"/>
          </w:tcPr>
          <w:p>
            <w:pPr>
              <w:jc w:val="right"/>
              <w:ind w:right="10"/>
              <w:spacing w:after="0"/>
              <w:rPr>
                <w:sz w:val="20"/>
                <w:szCs w:val="20"/>
                <w:color w:val="auto"/>
              </w:rPr>
            </w:pPr>
            <w:r>
              <w:rPr>
                <w:rFonts w:ascii="Arial" w:cs="Arial" w:eastAsia="Arial" w:hAnsi="Arial"/>
                <w:sz w:val="14"/>
                <w:szCs w:val="14"/>
                <w:b w:val="1"/>
                <w:bCs w:val="1"/>
                <w:color w:val="auto"/>
              </w:rPr>
              <w:t>Unexercised</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Exercise</w:t>
            </w: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Option</w:t>
            </w:r>
          </w:p>
        </w:tc>
        <w:tc>
          <w:tcPr>
            <w:tcW w:w="900" w:type="dxa"/>
            <w:vAlign w:val="bottom"/>
          </w:tcPr>
          <w:p>
            <w:pPr>
              <w:jc w:val="right"/>
              <w:ind w:right="90"/>
              <w:spacing w:after="0"/>
              <w:rPr>
                <w:sz w:val="20"/>
                <w:szCs w:val="20"/>
                <w:color w:val="auto"/>
              </w:rPr>
            </w:pPr>
            <w:r>
              <w:rPr>
                <w:rFonts w:ascii="Arial" w:cs="Arial" w:eastAsia="Arial" w:hAnsi="Arial"/>
                <w:sz w:val="14"/>
                <w:szCs w:val="14"/>
                <w:b w:val="1"/>
                <w:bCs w:val="1"/>
                <w:color w:val="auto"/>
              </w:rPr>
              <w:t>That Have</w:t>
            </w:r>
          </w:p>
        </w:tc>
        <w:tc>
          <w:tcPr>
            <w:tcW w:w="920" w:type="dxa"/>
            <w:vAlign w:val="bottom"/>
          </w:tcPr>
          <w:p>
            <w:pPr>
              <w:jc w:val="right"/>
              <w:ind w:right="70"/>
              <w:spacing w:after="0"/>
              <w:rPr>
                <w:sz w:val="20"/>
                <w:szCs w:val="20"/>
                <w:color w:val="auto"/>
              </w:rPr>
            </w:pPr>
            <w:r>
              <w:rPr>
                <w:rFonts w:ascii="Arial" w:cs="Arial" w:eastAsia="Arial" w:hAnsi="Arial"/>
                <w:sz w:val="14"/>
                <w:szCs w:val="14"/>
                <w:b w:val="1"/>
                <w:bCs w:val="1"/>
                <w:color w:val="auto"/>
              </w:rPr>
              <w:t>Have Not</w:t>
            </w:r>
          </w:p>
        </w:tc>
        <w:tc>
          <w:tcPr>
            <w:tcW w:w="1360" w:type="dxa"/>
            <w:vAlign w:val="bottom"/>
          </w:tcPr>
          <w:p>
            <w:pPr>
              <w:jc w:val="right"/>
              <w:ind w:right="50"/>
              <w:spacing w:after="0"/>
              <w:rPr>
                <w:sz w:val="20"/>
                <w:szCs w:val="20"/>
                <w:color w:val="auto"/>
              </w:rPr>
            </w:pPr>
            <w:r>
              <w:rPr>
                <w:rFonts w:ascii="Arial" w:cs="Arial" w:eastAsia="Arial" w:hAnsi="Arial"/>
                <w:sz w:val="14"/>
                <w:szCs w:val="14"/>
                <w:b w:val="1"/>
                <w:bCs w:val="1"/>
                <w:color w:val="auto"/>
              </w:rPr>
              <w:t>or Other Rights</w:t>
            </w:r>
          </w:p>
        </w:tc>
        <w:tc>
          <w:tcPr>
            <w:tcW w:w="1600" w:type="dxa"/>
            <w:vAlign w:val="bottom"/>
          </w:tcPr>
          <w:p>
            <w:pPr>
              <w:jc w:val="right"/>
              <w:ind w:right="10"/>
              <w:spacing w:after="0"/>
              <w:rPr>
                <w:sz w:val="20"/>
                <w:szCs w:val="20"/>
                <w:color w:val="auto"/>
              </w:rPr>
            </w:pPr>
            <w:r>
              <w:rPr>
                <w:rFonts w:ascii="Arial" w:cs="Arial" w:eastAsia="Arial" w:hAnsi="Arial"/>
                <w:sz w:val="14"/>
                <w:szCs w:val="14"/>
                <w:b w:val="1"/>
                <w:bCs w:val="1"/>
                <w:color w:val="auto"/>
              </w:rPr>
              <w:t>That Have Not</w:t>
            </w:r>
          </w:p>
        </w:tc>
        <w:tc>
          <w:tcPr>
            <w:tcW w:w="0" w:type="dxa"/>
            <w:vAlign w:val="bottom"/>
          </w:tcPr>
          <w:p>
            <w:pPr>
              <w:spacing w:after="0"/>
              <w:rPr>
                <w:sz w:val="1"/>
                <w:szCs w:val="1"/>
                <w:color w:val="auto"/>
              </w:rPr>
            </w:pPr>
          </w:p>
        </w:tc>
      </w:tr>
      <w:tr>
        <w:trPr>
          <w:trHeight w:val="163"/>
        </w:trPr>
        <w:tc>
          <w:tcPr>
            <w:tcW w:w="6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b w:val="1"/>
                <w:bCs w:val="1"/>
                <w:color w:val="auto"/>
              </w:rPr>
              <w:t>Options (#)</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Options (#)</w:t>
            </w:r>
          </w:p>
        </w:tc>
        <w:tc>
          <w:tcPr>
            <w:tcW w:w="1260" w:type="dxa"/>
            <w:vAlign w:val="bottom"/>
          </w:tcPr>
          <w:p>
            <w:pPr>
              <w:jc w:val="right"/>
              <w:ind w:right="50"/>
              <w:spacing w:after="0"/>
              <w:rPr>
                <w:sz w:val="20"/>
                <w:szCs w:val="20"/>
                <w:color w:val="auto"/>
              </w:rPr>
            </w:pPr>
            <w:r>
              <w:rPr>
                <w:rFonts w:ascii="Arial" w:cs="Arial" w:eastAsia="Arial" w:hAnsi="Arial"/>
                <w:sz w:val="14"/>
                <w:szCs w:val="14"/>
                <w:b w:val="1"/>
                <w:bCs w:val="1"/>
                <w:color w:val="auto"/>
              </w:rPr>
              <w:t>Unearned</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Price</w:t>
            </w: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Expiration</w:t>
            </w:r>
          </w:p>
        </w:tc>
        <w:tc>
          <w:tcPr>
            <w:tcW w:w="900" w:type="dxa"/>
            <w:vAlign w:val="bottom"/>
          </w:tcPr>
          <w:p>
            <w:pPr>
              <w:jc w:val="right"/>
              <w:ind w:right="90"/>
              <w:spacing w:after="0"/>
              <w:rPr>
                <w:sz w:val="20"/>
                <w:szCs w:val="20"/>
                <w:color w:val="auto"/>
              </w:rPr>
            </w:pPr>
            <w:r>
              <w:rPr>
                <w:rFonts w:ascii="Arial" w:cs="Arial" w:eastAsia="Arial" w:hAnsi="Arial"/>
                <w:sz w:val="14"/>
                <w:szCs w:val="14"/>
                <w:b w:val="1"/>
                <w:bCs w:val="1"/>
                <w:color w:val="auto"/>
                <w:w w:val="98"/>
              </w:rPr>
              <w:t>Not Vested</w:t>
            </w:r>
          </w:p>
        </w:tc>
        <w:tc>
          <w:tcPr>
            <w:tcW w:w="920" w:type="dxa"/>
            <w:vAlign w:val="bottom"/>
          </w:tcPr>
          <w:p>
            <w:pPr>
              <w:jc w:val="right"/>
              <w:ind w:right="70"/>
              <w:spacing w:after="0"/>
              <w:rPr>
                <w:sz w:val="20"/>
                <w:szCs w:val="20"/>
                <w:color w:val="auto"/>
              </w:rPr>
            </w:pPr>
            <w:r>
              <w:rPr>
                <w:rFonts w:ascii="Arial" w:cs="Arial" w:eastAsia="Arial" w:hAnsi="Arial"/>
                <w:sz w:val="14"/>
                <w:szCs w:val="14"/>
                <w:b w:val="1"/>
                <w:bCs w:val="1"/>
                <w:color w:val="auto"/>
              </w:rPr>
              <w:t>Vested</w:t>
            </w:r>
          </w:p>
        </w:tc>
        <w:tc>
          <w:tcPr>
            <w:tcW w:w="1360" w:type="dxa"/>
            <w:vAlign w:val="bottom"/>
          </w:tcPr>
          <w:p>
            <w:pPr>
              <w:jc w:val="right"/>
              <w:ind w:right="90"/>
              <w:spacing w:after="0"/>
              <w:rPr>
                <w:sz w:val="20"/>
                <w:szCs w:val="20"/>
                <w:color w:val="auto"/>
              </w:rPr>
            </w:pPr>
            <w:r>
              <w:rPr>
                <w:rFonts w:ascii="Arial" w:cs="Arial" w:eastAsia="Arial" w:hAnsi="Arial"/>
                <w:sz w:val="14"/>
                <w:szCs w:val="14"/>
                <w:b w:val="1"/>
                <w:bCs w:val="1"/>
                <w:color w:val="auto"/>
              </w:rPr>
              <w:t>That Have Not</w:t>
            </w:r>
          </w:p>
        </w:tc>
        <w:tc>
          <w:tcPr>
            <w:tcW w:w="1600" w:type="dxa"/>
            <w:vAlign w:val="bottom"/>
          </w:tcPr>
          <w:p>
            <w:pPr>
              <w:jc w:val="right"/>
              <w:ind w:right="10"/>
              <w:spacing w:after="0"/>
              <w:rPr>
                <w:sz w:val="20"/>
                <w:szCs w:val="20"/>
                <w:color w:val="auto"/>
              </w:rPr>
            </w:pPr>
            <w:r>
              <w:rPr>
                <w:rFonts w:ascii="Arial" w:cs="Arial" w:eastAsia="Arial" w:hAnsi="Arial"/>
                <w:sz w:val="14"/>
                <w:szCs w:val="14"/>
                <w:b w:val="1"/>
                <w:bCs w:val="1"/>
                <w:color w:val="auto"/>
              </w:rPr>
              <w:t>Vested</w:t>
            </w:r>
          </w:p>
        </w:tc>
        <w:tc>
          <w:tcPr>
            <w:tcW w:w="0" w:type="dxa"/>
            <w:vAlign w:val="bottom"/>
          </w:tcPr>
          <w:p>
            <w:pPr>
              <w:spacing w:after="0"/>
              <w:rPr>
                <w:sz w:val="1"/>
                <w:szCs w:val="1"/>
                <w:color w:val="auto"/>
              </w:rPr>
            </w:pPr>
          </w:p>
        </w:tc>
      </w:tr>
      <w:tr>
        <w:trPr>
          <w:trHeight w:val="213"/>
        </w:trPr>
        <w:tc>
          <w:tcPr>
            <w:tcW w:w="680" w:type="dxa"/>
            <w:vAlign w:val="bottom"/>
            <w:tcBorders>
              <w:bottom w:val="single" w:sz="8" w:color="7CBD3F"/>
            </w:tcBorders>
          </w:tcPr>
          <w:p>
            <w:pPr>
              <w:ind w:left="40"/>
              <w:spacing w:after="0"/>
              <w:rPr>
                <w:sz w:val="20"/>
                <w:szCs w:val="20"/>
                <w:color w:val="auto"/>
              </w:rPr>
            </w:pPr>
            <w:r>
              <w:rPr>
                <w:rFonts w:ascii="Arial" w:cs="Arial" w:eastAsia="Arial" w:hAnsi="Arial"/>
                <w:sz w:val="14"/>
                <w:szCs w:val="14"/>
                <w:b w:val="1"/>
                <w:bCs w:val="1"/>
                <w:color w:val="auto"/>
              </w:rPr>
              <w:t>Name</w:t>
            </w:r>
          </w:p>
        </w:tc>
        <w:tc>
          <w:tcPr>
            <w:tcW w:w="980" w:type="dxa"/>
            <w:vAlign w:val="bottom"/>
            <w:tcBorders>
              <w:bottom w:val="single" w:sz="8" w:color="7CBD3F"/>
            </w:tcBorders>
          </w:tcPr>
          <w:p>
            <w:pPr>
              <w:jc w:val="right"/>
              <w:ind w:right="50"/>
              <w:spacing w:after="0"/>
              <w:rPr>
                <w:sz w:val="20"/>
                <w:szCs w:val="20"/>
                <w:color w:val="auto"/>
              </w:rPr>
            </w:pPr>
            <w:r>
              <w:rPr>
                <w:rFonts w:ascii="Arial" w:cs="Arial" w:eastAsia="Arial" w:hAnsi="Arial"/>
                <w:sz w:val="14"/>
                <w:szCs w:val="14"/>
                <w:b w:val="1"/>
                <w:bCs w:val="1"/>
                <w:color w:val="auto"/>
              </w:rPr>
              <w:t>Grant Date</w:t>
            </w:r>
          </w:p>
        </w:tc>
        <w:tc>
          <w:tcPr>
            <w:tcW w:w="940" w:type="dxa"/>
            <w:vAlign w:val="bottom"/>
            <w:tcBorders>
              <w:bottom w:val="single" w:sz="8" w:color="7CBD3F"/>
            </w:tcBorders>
          </w:tcPr>
          <w:p>
            <w:pPr>
              <w:jc w:val="right"/>
              <w:spacing w:after="0"/>
              <w:rPr>
                <w:sz w:val="20"/>
                <w:szCs w:val="20"/>
                <w:color w:val="auto"/>
              </w:rPr>
            </w:pPr>
            <w:r>
              <w:rPr>
                <w:rFonts w:ascii="Arial" w:cs="Arial" w:eastAsia="Arial" w:hAnsi="Arial"/>
                <w:sz w:val="14"/>
                <w:szCs w:val="14"/>
                <w:b w:val="1"/>
                <w:bCs w:val="1"/>
                <w:color w:val="auto"/>
              </w:rPr>
              <w:t>Exercisable</w:t>
            </w:r>
          </w:p>
        </w:tc>
        <w:tc>
          <w:tcPr>
            <w:tcW w:w="1080" w:type="dxa"/>
            <w:vAlign w:val="bottom"/>
            <w:tcBorders>
              <w:bottom w:val="single" w:sz="8" w:color="7CBD3F"/>
            </w:tcBorders>
          </w:tcPr>
          <w:p>
            <w:pPr>
              <w:jc w:val="right"/>
              <w:spacing w:after="0"/>
              <w:rPr>
                <w:sz w:val="20"/>
                <w:szCs w:val="20"/>
                <w:color w:val="auto"/>
              </w:rPr>
            </w:pPr>
            <w:r>
              <w:rPr>
                <w:rFonts w:ascii="Arial" w:cs="Arial" w:eastAsia="Arial" w:hAnsi="Arial"/>
                <w:sz w:val="14"/>
                <w:szCs w:val="14"/>
                <w:b w:val="1"/>
                <w:bCs w:val="1"/>
                <w:color w:val="auto"/>
              </w:rPr>
              <w:t>Unexercisable</w:t>
            </w:r>
          </w:p>
        </w:tc>
        <w:tc>
          <w:tcPr>
            <w:tcW w:w="1260" w:type="dxa"/>
            <w:vAlign w:val="bottom"/>
            <w:tcBorders>
              <w:bottom w:val="single" w:sz="8" w:color="7CBD3F"/>
            </w:tcBorders>
          </w:tcPr>
          <w:p>
            <w:pPr>
              <w:jc w:val="right"/>
              <w:ind w:right="10"/>
              <w:spacing w:after="0" w:line="210" w:lineRule="exact"/>
              <w:rPr>
                <w:sz w:val="20"/>
                <w:szCs w:val="20"/>
                <w:color w:val="auto"/>
              </w:rPr>
            </w:pPr>
            <w:r>
              <w:rPr>
                <w:rFonts w:ascii="Arial" w:cs="Arial" w:eastAsia="Arial" w:hAnsi="Arial"/>
                <w:sz w:val="14"/>
                <w:szCs w:val="14"/>
                <w:b w:val="1"/>
                <w:bCs w:val="1"/>
                <w:color w:val="auto"/>
              </w:rPr>
              <w:t>Options (#)</w:t>
            </w:r>
            <w:r>
              <w:rPr>
                <w:rFonts w:ascii="Arial" w:cs="Arial" w:eastAsia="Arial" w:hAnsi="Arial"/>
                <w:sz w:val="23"/>
                <w:szCs w:val="23"/>
                <w:b w:val="1"/>
                <w:bCs w:val="1"/>
                <w:color w:val="auto"/>
                <w:vertAlign w:val="superscript"/>
              </w:rPr>
              <w:t>(2)</w:t>
            </w:r>
          </w:p>
        </w:tc>
        <w:tc>
          <w:tcPr>
            <w:tcW w:w="700" w:type="dxa"/>
            <w:vAlign w:val="bottom"/>
            <w:tcBorders>
              <w:bottom w:val="single" w:sz="8" w:color="7CBD3F"/>
            </w:tcBorders>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7CBD3F"/>
            </w:tcBorders>
            <w:gridSpan w:val="2"/>
          </w:tcPr>
          <w:p>
            <w:pPr>
              <w:ind w:left="500"/>
              <w:spacing w:after="0"/>
              <w:rPr>
                <w:sz w:val="20"/>
                <w:szCs w:val="20"/>
                <w:color w:val="auto"/>
              </w:rPr>
            </w:pPr>
            <w:r>
              <w:rPr>
                <w:rFonts w:ascii="Arial" w:cs="Arial" w:eastAsia="Arial" w:hAnsi="Arial"/>
                <w:sz w:val="14"/>
                <w:szCs w:val="14"/>
                <w:b w:val="1"/>
                <w:bCs w:val="1"/>
                <w:color w:val="auto"/>
              </w:rPr>
              <w:t>Date</w:t>
            </w:r>
          </w:p>
        </w:tc>
        <w:tc>
          <w:tcPr>
            <w:tcW w:w="900" w:type="dxa"/>
            <w:vAlign w:val="bottom"/>
            <w:tcBorders>
              <w:bottom w:val="single" w:sz="8" w:color="7CBD3F"/>
            </w:tcBorders>
          </w:tcPr>
          <w:p>
            <w:pPr>
              <w:jc w:val="right"/>
              <w:ind w:right="50"/>
              <w:spacing w:after="0" w:line="210" w:lineRule="exact"/>
              <w:rPr>
                <w:sz w:val="20"/>
                <w:szCs w:val="20"/>
                <w:color w:val="auto"/>
              </w:rPr>
            </w:pPr>
            <w:r>
              <w:rPr>
                <w:rFonts w:ascii="Arial" w:cs="Arial" w:eastAsia="Arial" w:hAnsi="Arial"/>
                <w:sz w:val="24"/>
                <w:szCs w:val="24"/>
                <w:b w:val="1"/>
                <w:bCs w:val="1"/>
                <w:color w:val="auto"/>
                <w:vertAlign w:val="subscript"/>
              </w:rPr>
              <w:t>(#)</w:t>
            </w:r>
            <w:r>
              <w:rPr>
                <w:rFonts w:ascii="Arial" w:cs="Arial" w:eastAsia="Arial" w:hAnsi="Arial"/>
                <w:sz w:val="11"/>
                <w:szCs w:val="11"/>
                <w:b w:val="1"/>
                <w:bCs w:val="1"/>
                <w:color w:val="auto"/>
              </w:rPr>
              <w:t>(3)</w:t>
            </w:r>
          </w:p>
        </w:tc>
        <w:tc>
          <w:tcPr>
            <w:tcW w:w="920" w:type="dxa"/>
            <w:vAlign w:val="bottom"/>
            <w:tcBorders>
              <w:bottom w:val="single" w:sz="8" w:color="7CBD3F"/>
            </w:tcBorders>
          </w:tcPr>
          <w:p>
            <w:pPr>
              <w:jc w:val="right"/>
              <w:ind w:right="30"/>
              <w:spacing w:after="0"/>
              <w:rPr>
                <w:sz w:val="20"/>
                <w:szCs w:val="20"/>
                <w:color w:val="auto"/>
              </w:rPr>
            </w:pPr>
            <w:r>
              <w:rPr>
                <w:rFonts w:ascii="Arial" w:cs="Arial" w:eastAsia="Arial" w:hAnsi="Arial"/>
                <w:sz w:val="14"/>
                <w:szCs w:val="14"/>
                <w:b w:val="1"/>
                <w:bCs w:val="1"/>
                <w:color w:val="auto"/>
              </w:rPr>
              <w:t>($)</w:t>
            </w:r>
          </w:p>
        </w:tc>
        <w:tc>
          <w:tcPr>
            <w:tcW w:w="1360" w:type="dxa"/>
            <w:vAlign w:val="bottom"/>
            <w:tcBorders>
              <w:bottom w:val="single" w:sz="8" w:color="7CBD3F"/>
            </w:tcBorders>
          </w:tcPr>
          <w:p>
            <w:pPr>
              <w:jc w:val="right"/>
              <w:ind w:right="50"/>
              <w:spacing w:after="0" w:line="210" w:lineRule="exact"/>
              <w:rPr>
                <w:sz w:val="20"/>
                <w:szCs w:val="20"/>
                <w:color w:val="auto"/>
              </w:rPr>
            </w:pPr>
            <w:r>
              <w:rPr>
                <w:rFonts w:ascii="Arial" w:cs="Arial" w:eastAsia="Arial" w:hAnsi="Arial"/>
                <w:sz w:val="14"/>
                <w:szCs w:val="14"/>
                <w:b w:val="1"/>
                <w:bCs w:val="1"/>
                <w:color w:val="auto"/>
              </w:rPr>
              <w:t>Vested (#)</w:t>
            </w:r>
            <w:r>
              <w:rPr>
                <w:rFonts w:ascii="Arial" w:cs="Arial" w:eastAsia="Arial" w:hAnsi="Arial"/>
                <w:sz w:val="23"/>
                <w:szCs w:val="23"/>
                <w:b w:val="1"/>
                <w:bCs w:val="1"/>
                <w:color w:val="auto"/>
                <w:vertAlign w:val="superscript"/>
              </w:rPr>
              <w:t>(4)</w:t>
            </w:r>
          </w:p>
        </w:tc>
        <w:tc>
          <w:tcPr>
            <w:tcW w:w="1600" w:type="dxa"/>
            <w:vAlign w:val="bottom"/>
            <w:tcBorders>
              <w:bottom w:val="single" w:sz="8" w:color="7CBD3F"/>
            </w:tcBorders>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63"/>
        </w:trPr>
        <w:tc>
          <w:tcPr>
            <w:tcW w:w="680" w:type="dxa"/>
            <w:vAlign w:val="bottom"/>
          </w:tcPr>
          <w:p>
            <w:pPr>
              <w:ind w:left="40"/>
              <w:spacing w:after="0"/>
              <w:rPr>
                <w:sz w:val="20"/>
                <w:szCs w:val="20"/>
                <w:color w:val="auto"/>
              </w:rPr>
            </w:pPr>
            <w:r>
              <w:rPr>
                <w:rFonts w:ascii="Arial" w:cs="Arial" w:eastAsia="Arial" w:hAnsi="Arial"/>
                <w:sz w:val="14"/>
                <w:szCs w:val="14"/>
                <w:b w:val="1"/>
                <w:bCs w:val="1"/>
                <w:color w:val="auto"/>
              </w:rPr>
              <w:t>Emil D.</w:t>
            </w:r>
          </w:p>
        </w:tc>
        <w:tc>
          <w:tcPr>
            <w:tcW w:w="980" w:type="dxa"/>
            <w:vAlign w:val="bottom"/>
          </w:tcPr>
          <w:p>
            <w:pPr>
              <w:jc w:val="right"/>
              <w:ind w:right="50"/>
              <w:spacing w:after="0"/>
              <w:rPr>
                <w:sz w:val="20"/>
                <w:szCs w:val="20"/>
                <w:color w:val="auto"/>
              </w:rPr>
            </w:pPr>
            <w:r>
              <w:rPr>
                <w:rFonts w:ascii="Arial" w:cs="Arial" w:eastAsia="Arial" w:hAnsi="Arial"/>
                <w:sz w:val="14"/>
                <w:szCs w:val="14"/>
                <w:color w:val="auto"/>
              </w:rPr>
              <w:t>10/21/2024</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10"/>
              <w:spacing w:after="0"/>
              <w:rPr>
                <w:sz w:val="20"/>
                <w:szCs w:val="20"/>
                <w:color w:val="auto"/>
              </w:rPr>
            </w:pPr>
            <w:r>
              <w:rPr>
                <w:rFonts w:ascii="Arial" w:cs="Arial" w:eastAsia="Arial" w:hAnsi="Arial"/>
                <w:sz w:val="14"/>
                <w:szCs w:val="14"/>
                <w:color w:val="auto"/>
              </w:rPr>
              <w:t>350,000</w:t>
            </w:r>
          </w:p>
        </w:tc>
        <w:tc>
          <w:tcPr>
            <w:tcW w:w="700" w:type="dxa"/>
            <w:vAlign w:val="bottom"/>
          </w:tcPr>
          <w:p>
            <w:pPr>
              <w:jc w:val="right"/>
              <w:spacing w:after="0"/>
              <w:rPr>
                <w:sz w:val="20"/>
                <w:szCs w:val="20"/>
                <w:color w:val="auto"/>
              </w:rPr>
            </w:pPr>
            <w:r>
              <w:rPr>
                <w:rFonts w:ascii="Arial" w:cs="Arial" w:eastAsia="Arial" w:hAnsi="Arial"/>
                <w:sz w:val="14"/>
                <w:szCs w:val="14"/>
                <w:color w:val="auto"/>
              </w:rPr>
              <w:t>2.31</w:t>
            </w:r>
          </w:p>
        </w:tc>
        <w:tc>
          <w:tcPr>
            <w:tcW w:w="800" w:type="dxa"/>
            <w:vAlign w:val="bottom"/>
          </w:tcPr>
          <w:p>
            <w:pPr>
              <w:jc w:val="right"/>
              <w:spacing w:after="0"/>
              <w:rPr>
                <w:sz w:val="20"/>
                <w:szCs w:val="20"/>
                <w:color w:val="auto"/>
              </w:rPr>
            </w:pPr>
            <w:r>
              <w:rPr>
                <w:rFonts w:ascii="Arial" w:cs="Arial" w:eastAsia="Arial" w:hAnsi="Arial"/>
                <w:sz w:val="14"/>
                <w:szCs w:val="14"/>
                <w:color w:val="auto"/>
              </w:rPr>
              <w:t>10/21/2034</w:t>
            </w:r>
          </w:p>
        </w:tc>
        <w:tc>
          <w:tcPr>
            <w:tcW w:w="120" w:type="dxa"/>
            <w:vAlign w:val="bottom"/>
          </w:tcPr>
          <w:p>
            <w:pPr>
              <w:spacing w:after="0"/>
              <w:rPr>
                <w:sz w:val="14"/>
                <w:szCs w:val="14"/>
                <w:color w:val="auto"/>
              </w:rPr>
            </w:pPr>
          </w:p>
        </w:tc>
        <w:tc>
          <w:tcPr>
            <w:tcW w:w="90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16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
        </w:trPr>
        <w:tc>
          <w:tcPr>
            <w:tcW w:w="6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Kakkis,</w:t>
            </w:r>
          </w:p>
        </w:tc>
        <w:tc>
          <w:tcPr>
            <w:tcW w:w="9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680" w:type="dxa"/>
            <w:vAlign w:val="bottom"/>
            <w:vMerge w:val="continue"/>
          </w:tcPr>
          <w:p>
            <w:pPr>
              <w:spacing w:after="0"/>
              <w:rPr>
                <w:sz w:val="14"/>
                <w:szCs w:val="14"/>
                <w:color w:val="auto"/>
              </w:rPr>
            </w:pPr>
          </w:p>
        </w:tc>
        <w:tc>
          <w:tcPr>
            <w:tcW w:w="980" w:type="dxa"/>
            <w:vAlign w:val="bottom"/>
            <w:tcBorders>
              <w:bottom w:val="single" w:sz="8" w:color="F0F7E7"/>
            </w:tcBorders>
            <w:shd w:val="clear" w:color="auto" w:fill="F0F7E7"/>
          </w:tcPr>
          <w:p>
            <w:pPr>
              <w:jc w:val="right"/>
              <w:ind w:right="50"/>
              <w:spacing w:after="0" w:line="140" w:lineRule="exact"/>
              <w:rPr>
                <w:sz w:val="20"/>
                <w:szCs w:val="20"/>
                <w:color w:val="auto"/>
              </w:rPr>
            </w:pPr>
            <w:r>
              <w:rPr>
                <w:rFonts w:ascii="Arial" w:cs="Arial" w:eastAsia="Arial" w:hAnsi="Arial"/>
                <w:sz w:val="14"/>
                <w:szCs w:val="14"/>
                <w:color w:val="auto"/>
              </w:rPr>
              <w:t>3/1/2024</w:t>
            </w:r>
          </w:p>
        </w:tc>
        <w:tc>
          <w:tcPr>
            <w:tcW w:w="940" w:type="dxa"/>
            <w:vAlign w:val="bottom"/>
            <w:tcBorders>
              <w:bottom w:val="single" w:sz="8" w:color="F0F7E7"/>
            </w:tcBorders>
            <w:shd w:val="clear" w:color="auto" w:fill="F0F7E7"/>
          </w:tcPr>
          <w:p>
            <w:pPr>
              <w:jc w:val="right"/>
              <w:spacing w:after="0" w:line="140"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F0F7E7"/>
            </w:tcBorders>
            <w:shd w:val="clear" w:color="auto" w:fill="F0F7E7"/>
          </w:tcPr>
          <w:p>
            <w:pPr>
              <w:jc w:val="right"/>
              <w:spacing w:after="0" w:line="140" w:lineRule="exact"/>
              <w:rPr>
                <w:sz w:val="20"/>
                <w:szCs w:val="20"/>
                <w:color w:val="auto"/>
              </w:rPr>
            </w:pPr>
            <w:r>
              <w:rPr>
                <w:rFonts w:ascii="Arial" w:cs="Arial" w:eastAsia="Arial" w:hAnsi="Arial"/>
                <w:sz w:val="14"/>
                <w:szCs w:val="14"/>
                <w:color w:val="auto"/>
              </w:rPr>
              <w:t>70,094</w:t>
            </w:r>
          </w:p>
        </w:tc>
        <w:tc>
          <w:tcPr>
            <w:tcW w:w="1260" w:type="dxa"/>
            <w:vAlign w:val="bottom"/>
            <w:tcBorders>
              <w:bottom w:val="single" w:sz="8" w:color="F0F7E7"/>
            </w:tcBorders>
            <w:shd w:val="clear" w:color="auto" w:fill="F0F7E7"/>
          </w:tcPr>
          <w:p>
            <w:pPr>
              <w:jc w:val="right"/>
              <w:ind w:right="10"/>
              <w:spacing w:after="0" w:line="140"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F0F7E7"/>
            </w:tcBorders>
            <w:shd w:val="clear" w:color="auto" w:fill="F0F7E7"/>
          </w:tcPr>
          <w:p>
            <w:pPr>
              <w:jc w:val="right"/>
              <w:spacing w:after="0" w:line="140" w:lineRule="exact"/>
              <w:rPr>
                <w:sz w:val="20"/>
                <w:szCs w:val="20"/>
                <w:color w:val="auto"/>
              </w:rPr>
            </w:pPr>
            <w:r>
              <w:rPr>
                <w:rFonts w:ascii="Arial" w:cs="Arial" w:eastAsia="Arial" w:hAnsi="Arial"/>
                <w:sz w:val="14"/>
                <w:szCs w:val="14"/>
                <w:color w:val="auto"/>
              </w:rPr>
              <w:t>53.69</w:t>
            </w:r>
          </w:p>
        </w:tc>
        <w:tc>
          <w:tcPr>
            <w:tcW w:w="800" w:type="dxa"/>
            <w:vAlign w:val="bottom"/>
            <w:tcBorders>
              <w:bottom w:val="single" w:sz="8" w:color="F0F7E7"/>
            </w:tcBorders>
            <w:shd w:val="clear" w:color="auto" w:fill="F0F7E7"/>
          </w:tcPr>
          <w:p>
            <w:pPr>
              <w:jc w:val="right"/>
              <w:spacing w:after="0" w:line="140" w:lineRule="exact"/>
              <w:rPr>
                <w:sz w:val="20"/>
                <w:szCs w:val="20"/>
                <w:color w:val="auto"/>
              </w:rPr>
            </w:pPr>
            <w:r>
              <w:rPr>
                <w:rFonts w:ascii="Arial" w:cs="Arial" w:eastAsia="Arial" w:hAnsi="Arial"/>
                <w:sz w:val="14"/>
                <w:szCs w:val="14"/>
                <w:color w:val="auto"/>
              </w:rPr>
              <w:t>3/1/2034</w:t>
            </w:r>
          </w:p>
        </w:tc>
        <w:tc>
          <w:tcPr>
            <w:tcW w:w="120" w:type="dxa"/>
            <w:vAlign w:val="bottom"/>
            <w:tcBorders>
              <w:bottom w:val="single" w:sz="8" w:color="F0F7E7"/>
            </w:tcBorders>
            <w:shd w:val="clear" w:color="auto" w:fill="F0F7E7"/>
          </w:tcPr>
          <w:p>
            <w:pPr>
              <w:spacing w:after="0"/>
              <w:rPr>
                <w:sz w:val="14"/>
                <w:szCs w:val="14"/>
                <w:color w:val="auto"/>
              </w:rPr>
            </w:pPr>
          </w:p>
        </w:tc>
        <w:tc>
          <w:tcPr>
            <w:tcW w:w="900" w:type="dxa"/>
            <w:vAlign w:val="bottom"/>
            <w:tcBorders>
              <w:bottom w:val="single" w:sz="8" w:color="F0F7E7"/>
            </w:tcBorders>
            <w:shd w:val="clear" w:color="auto" w:fill="F0F7E7"/>
          </w:tcPr>
          <w:p>
            <w:pPr>
              <w:jc w:val="right"/>
              <w:ind w:right="50"/>
              <w:spacing w:after="0" w:line="140" w:lineRule="exact"/>
              <w:rPr>
                <w:sz w:val="20"/>
                <w:szCs w:val="20"/>
                <w:color w:val="auto"/>
              </w:rPr>
            </w:pPr>
            <w:r>
              <w:rPr>
                <w:rFonts w:ascii="Arial" w:cs="Arial" w:eastAsia="Arial" w:hAnsi="Arial"/>
                <w:sz w:val="14"/>
                <w:szCs w:val="14"/>
                <w:color w:val="auto"/>
              </w:rPr>
              <w:t>38,428</w:t>
            </w:r>
          </w:p>
        </w:tc>
        <w:tc>
          <w:tcPr>
            <w:tcW w:w="920" w:type="dxa"/>
            <w:vAlign w:val="bottom"/>
            <w:tcBorders>
              <w:bottom w:val="single" w:sz="8" w:color="F0F7E7"/>
            </w:tcBorders>
            <w:shd w:val="clear" w:color="auto" w:fill="F0F7E7"/>
          </w:tcPr>
          <w:p>
            <w:pPr>
              <w:jc w:val="right"/>
              <w:ind w:right="30"/>
              <w:spacing w:after="0" w:line="140" w:lineRule="exact"/>
              <w:rPr>
                <w:sz w:val="20"/>
                <w:szCs w:val="20"/>
                <w:color w:val="auto"/>
              </w:rPr>
            </w:pPr>
            <w:r>
              <w:rPr>
                <w:rFonts w:ascii="Arial" w:cs="Arial" w:eastAsia="Arial" w:hAnsi="Arial"/>
                <w:sz w:val="14"/>
                <w:szCs w:val="14"/>
                <w:color w:val="auto"/>
              </w:rPr>
              <w:t>1,616,666</w:t>
            </w:r>
          </w:p>
        </w:tc>
        <w:tc>
          <w:tcPr>
            <w:tcW w:w="1360" w:type="dxa"/>
            <w:vAlign w:val="bottom"/>
            <w:tcBorders>
              <w:bottom w:val="single" w:sz="8" w:color="F0F7E7"/>
            </w:tcBorders>
            <w:shd w:val="clear" w:color="auto" w:fill="F0F7E7"/>
          </w:tcPr>
          <w:p>
            <w:pPr>
              <w:jc w:val="right"/>
              <w:ind w:right="50"/>
              <w:spacing w:after="0" w:line="140" w:lineRule="exact"/>
              <w:rPr>
                <w:sz w:val="20"/>
                <w:szCs w:val="20"/>
                <w:color w:val="auto"/>
              </w:rPr>
            </w:pPr>
            <w:r>
              <w:rPr>
                <w:rFonts w:ascii="Arial" w:cs="Arial" w:eastAsia="Arial" w:hAnsi="Arial"/>
                <w:sz w:val="14"/>
                <w:szCs w:val="14"/>
                <w:color w:val="auto"/>
              </w:rPr>
              <w:t>115,284</w:t>
            </w:r>
          </w:p>
        </w:tc>
        <w:tc>
          <w:tcPr>
            <w:tcW w:w="1600" w:type="dxa"/>
            <w:vAlign w:val="bottom"/>
            <w:tcBorders>
              <w:bottom w:val="single" w:sz="8" w:color="F0F7E7"/>
            </w:tcBorders>
            <w:shd w:val="clear" w:color="auto" w:fill="F0F7E7"/>
          </w:tcPr>
          <w:p>
            <w:pPr>
              <w:jc w:val="right"/>
              <w:spacing w:after="0" w:line="140" w:lineRule="exact"/>
              <w:rPr>
                <w:sz w:val="20"/>
                <w:szCs w:val="20"/>
                <w:color w:val="auto"/>
              </w:rPr>
            </w:pPr>
            <w:r>
              <w:rPr>
                <w:rFonts w:ascii="Arial" w:cs="Arial" w:eastAsia="Arial" w:hAnsi="Arial"/>
                <w:sz w:val="14"/>
                <w:szCs w:val="14"/>
                <w:color w:val="auto"/>
              </w:rPr>
              <w:t>4,849,998</w:t>
            </w:r>
          </w:p>
        </w:tc>
        <w:tc>
          <w:tcPr>
            <w:tcW w:w="0" w:type="dxa"/>
            <w:vAlign w:val="bottom"/>
          </w:tcPr>
          <w:p>
            <w:pPr>
              <w:spacing w:after="0"/>
              <w:rPr>
                <w:sz w:val="1"/>
                <w:szCs w:val="1"/>
                <w:color w:val="auto"/>
              </w:rPr>
            </w:pPr>
          </w:p>
        </w:tc>
      </w:tr>
      <w:tr>
        <w:trPr>
          <w:trHeight w:val="140"/>
        </w:trPr>
        <w:tc>
          <w:tcPr>
            <w:tcW w:w="680" w:type="dxa"/>
            <w:vAlign w:val="bottom"/>
          </w:tcPr>
          <w:p>
            <w:pPr>
              <w:ind w:left="40"/>
              <w:spacing w:after="0" w:line="140" w:lineRule="exact"/>
              <w:rPr>
                <w:sz w:val="20"/>
                <w:szCs w:val="20"/>
                <w:color w:val="auto"/>
              </w:rPr>
            </w:pPr>
            <w:r>
              <w:rPr>
                <w:rFonts w:ascii="Arial" w:cs="Arial" w:eastAsia="Arial" w:hAnsi="Arial"/>
                <w:sz w:val="14"/>
                <w:szCs w:val="14"/>
                <w:b w:val="1"/>
                <w:bCs w:val="1"/>
                <w:color w:val="auto"/>
              </w:rPr>
              <w:t>M.D.,</w:t>
            </w:r>
          </w:p>
        </w:tc>
        <w:tc>
          <w:tcPr>
            <w:tcW w:w="980" w:type="dxa"/>
            <w:vAlign w:val="bottom"/>
          </w:tcPr>
          <w:p>
            <w:pPr>
              <w:jc w:val="right"/>
              <w:ind w:right="50"/>
              <w:spacing w:after="0" w:line="140" w:lineRule="exact"/>
              <w:rPr>
                <w:sz w:val="20"/>
                <w:szCs w:val="20"/>
                <w:color w:val="auto"/>
              </w:rPr>
            </w:pPr>
            <w:r>
              <w:rPr>
                <w:rFonts w:ascii="Arial" w:cs="Arial" w:eastAsia="Arial" w:hAnsi="Arial"/>
                <w:sz w:val="14"/>
                <w:szCs w:val="14"/>
                <w:color w:val="auto"/>
              </w:rPr>
              <w:t>3/1/2023</w:t>
            </w:r>
          </w:p>
        </w:tc>
        <w:tc>
          <w:tcPr>
            <w:tcW w:w="940" w:type="dxa"/>
            <w:vAlign w:val="bottom"/>
          </w:tcPr>
          <w:p>
            <w:pPr>
              <w:jc w:val="right"/>
              <w:spacing w:after="0" w:line="140" w:lineRule="exact"/>
              <w:rPr>
                <w:sz w:val="20"/>
                <w:szCs w:val="20"/>
                <w:color w:val="auto"/>
              </w:rPr>
            </w:pPr>
            <w:r>
              <w:rPr>
                <w:rFonts w:ascii="Arial" w:cs="Arial" w:eastAsia="Arial" w:hAnsi="Arial"/>
                <w:sz w:val="14"/>
                <w:szCs w:val="14"/>
                <w:color w:val="auto"/>
              </w:rPr>
              <w:t>36,531</w:t>
            </w:r>
          </w:p>
        </w:tc>
        <w:tc>
          <w:tcPr>
            <w:tcW w:w="1080" w:type="dxa"/>
            <w:vAlign w:val="bottom"/>
          </w:tcPr>
          <w:p>
            <w:pPr>
              <w:jc w:val="right"/>
              <w:spacing w:after="0" w:line="140" w:lineRule="exact"/>
              <w:rPr>
                <w:sz w:val="20"/>
                <w:szCs w:val="20"/>
                <w:color w:val="auto"/>
              </w:rPr>
            </w:pPr>
            <w:r>
              <w:rPr>
                <w:rFonts w:ascii="Arial" w:cs="Arial" w:eastAsia="Arial" w:hAnsi="Arial"/>
                <w:sz w:val="14"/>
                <w:szCs w:val="14"/>
                <w:color w:val="auto"/>
              </w:rPr>
              <w:t>46,969</w:t>
            </w:r>
          </w:p>
        </w:tc>
        <w:tc>
          <w:tcPr>
            <w:tcW w:w="1260" w:type="dxa"/>
            <w:vAlign w:val="bottom"/>
          </w:tcPr>
          <w:p>
            <w:pPr>
              <w:jc w:val="right"/>
              <w:ind w:right="10"/>
              <w:spacing w:after="0" w:line="140"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0" w:lineRule="exact"/>
              <w:rPr>
                <w:sz w:val="20"/>
                <w:szCs w:val="20"/>
                <w:color w:val="auto"/>
              </w:rPr>
            </w:pPr>
            <w:r>
              <w:rPr>
                <w:rFonts w:ascii="Arial" w:cs="Arial" w:eastAsia="Arial" w:hAnsi="Arial"/>
                <w:sz w:val="14"/>
                <w:szCs w:val="14"/>
                <w:color w:val="auto"/>
              </w:rPr>
              <w:t>45.65</w:t>
            </w:r>
          </w:p>
        </w:tc>
        <w:tc>
          <w:tcPr>
            <w:tcW w:w="800" w:type="dxa"/>
            <w:vAlign w:val="bottom"/>
          </w:tcPr>
          <w:p>
            <w:pPr>
              <w:jc w:val="right"/>
              <w:spacing w:after="0" w:line="140" w:lineRule="exact"/>
              <w:rPr>
                <w:sz w:val="20"/>
                <w:szCs w:val="20"/>
                <w:color w:val="auto"/>
              </w:rPr>
            </w:pPr>
            <w:r>
              <w:rPr>
                <w:rFonts w:ascii="Arial" w:cs="Arial" w:eastAsia="Arial" w:hAnsi="Arial"/>
                <w:sz w:val="14"/>
                <w:szCs w:val="14"/>
                <w:color w:val="auto"/>
              </w:rPr>
              <w:t>3/1/2033</w:t>
            </w:r>
          </w:p>
        </w:tc>
        <w:tc>
          <w:tcPr>
            <w:tcW w:w="120" w:type="dxa"/>
            <w:vAlign w:val="bottom"/>
          </w:tcPr>
          <w:p>
            <w:pPr>
              <w:spacing w:after="0"/>
              <w:rPr>
                <w:sz w:val="12"/>
                <w:szCs w:val="12"/>
                <w:color w:val="auto"/>
              </w:rPr>
            </w:pPr>
          </w:p>
        </w:tc>
        <w:tc>
          <w:tcPr>
            <w:tcW w:w="900" w:type="dxa"/>
            <w:vAlign w:val="bottom"/>
          </w:tcPr>
          <w:p>
            <w:pPr>
              <w:jc w:val="right"/>
              <w:ind w:right="50"/>
              <w:spacing w:after="0" w:line="140" w:lineRule="exact"/>
              <w:rPr>
                <w:sz w:val="20"/>
                <w:szCs w:val="20"/>
                <w:color w:val="auto"/>
              </w:rPr>
            </w:pPr>
            <w:r>
              <w:rPr>
                <w:rFonts w:ascii="Arial" w:cs="Arial" w:eastAsia="Arial" w:hAnsi="Arial"/>
                <w:sz w:val="14"/>
                <w:szCs w:val="14"/>
                <w:color w:val="auto"/>
              </w:rPr>
              <w:t>129,036</w:t>
            </w:r>
          </w:p>
        </w:tc>
        <w:tc>
          <w:tcPr>
            <w:tcW w:w="920" w:type="dxa"/>
            <w:vAlign w:val="bottom"/>
          </w:tcPr>
          <w:p>
            <w:pPr>
              <w:jc w:val="right"/>
              <w:ind w:right="30"/>
              <w:spacing w:after="0" w:line="140" w:lineRule="exact"/>
              <w:rPr>
                <w:sz w:val="20"/>
                <w:szCs w:val="20"/>
                <w:color w:val="auto"/>
              </w:rPr>
            </w:pPr>
            <w:r>
              <w:rPr>
                <w:rFonts w:ascii="Arial" w:cs="Arial" w:eastAsia="Arial" w:hAnsi="Arial"/>
                <w:sz w:val="14"/>
                <w:szCs w:val="14"/>
                <w:color w:val="auto"/>
              </w:rPr>
              <w:t>5,428,545</w:t>
            </w:r>
          </w:p>
        </w:tc>
        <w:tc>
          <w:tcPr>
            <w:tcW w:w="1360" w:type="dxa"/>
            <w:vAlign w:val="bottom"/>
          </w:tcPr>
          <w:p>
            <w:pPr>
              <w:jc w:val="right"/>
              <w:ind w:right="50"/>
              <w:spacing w:after="0" w:line="140" w:lineRule="exact"/>
              <w:rPr>
                <w:sz w:val="20"/>
                <w:szCs w:val="20"/>
                <w:color w:val="auto"/>
              </w:rPr>
            </w:pPr>
            <w:r>
              <w:rPr>
                <w:rFonts w:ascii="Arial" w:cs="Arial" w:eastAsia="Arial" w:hAnsi="Arial"/>
                <w:sz w:val="14"/>
                <w:szCs w:val="14"/>
                <w:color w:val="auto"/>
              </w:rPr>
              <w:t>44,314</w:t>
            </w:r>
          </w:p>
        </w:tc>
        <w:tc>
          <w:tcPr>
            <w:tcW w:w="1600" w:type="dxa"/>
            <w:vAlign w:val="bottom"/>
          </w:tcPr>
          <w:p>
            <w:pPr>
              <w:jc w:val="right"/>
              <w:spacing w:after="0" w:line="140" w:lineRule="exact"/>
              <w:rPr>
                <w:sz w:val="20"/>
                <w:szCs w:val="20"/>
                <w:color w:val="auto"/>
              </w:rPr>
            </w:pPr>
            <w:r>
              <w:rPr>
                <w:rFonts w:ascii="Arial" w:cs="Arial" w:eastAsia="Arial" w:hAnsi="Arial"/>
                <w:sz w:val="14"/>
                <w:szCs w:val="14"/>
                <w:color w:val="auto"/>
              </w:rPr>
              <w:t>1,864,290</w:t>
            </w:r>
          </w:p>
        </w:tc>
        <w:tc>
          <w:tcPr>
            <w:tcW w:w="0" w:type="dxa"/>
            <w:vAlign w:val="bottom"/>
          </w:tcPr>
          <w:p>
            <w:pPr>
              <w:spacing w:after="0"/>
              <w:rPr>
                <w:sz w:val="1"/>
                <w:szCs w:val="1"/>
                <w:color w:val="auto"/>
              </w:rPr>
            </w:pPr>
          </w:p>
        </w:tc>
      </w:tr>
      <w:tr>
        <w:trPr>
          <w:trHeight w:val="47"/>
        </w:trPr>
        <w:tc>
          <w:tcPr>
            <w:tcW w:w="6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Ph.D.</w:t>
            </w:r>
          </w:p>
        </w:tc>
        <w:tc>
          <w:tcPr>
            <w:tcW w:w="9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680" w:type="dxa"/>
            <w:vAlign w:val="bottom"/>
            <w:vMerge w:val="continue"/>
          </w:tcPr>
          <w:p>
            <w:pPr>
              <w:spacing w:after="0"/>
              <w:rPr>
                <w:sz w:val="14"/>
                <w:szCs w:val="14"/>
                <w:color w:val="auto"/>
              </w:rPr>
            </w:pPr>
          </w:p>
        </w:tc>
        <w:tc>
          <w:tcPr>
            <w:tcW w:w="980" w:type="dxa"/>
            <w:vAlign w:val="bottom"/>
            <w:tcBorders>
              <w:bottom w:val="single" w:sz="8" w:color="F0F7E7"/>
            </w:tcBorders>
            <w:shd w:val="clear" w:color="auto" w:fill="F0F7E7"/>
          </w:tcPr>
          <w:p>
            <w:pPr>
              <w:jc w:val="right"/>
              <w:ind w:right="50"/>
              <w:spacing w:after="0"/>
              <w:rPr>
                <w:sz w:val="20"/>
                <w:szCs w:val="20"/>
                <w:color w:val="auto"/>
              </w:rPr>
            </w:pPr>
            <w:r>
              <w:rPr>
                <w:rFonts w:ascii="Arial" w:cs="Arial" w:eastAsia="Arial" w:hAnsi="Arial"/>
                <w:sz w:val="14"/>
                <w:szCs w:val="14"/>
                <w:color w:val="auto"/>
              </w:rPr>
              <w:t>3/1/2022</w:t>
            </w:r>
          </w:p>
        </w:tc>
        <w:tc>
          <w:tcPr>
            <w:tcW w:w="940" w:type="dxa"/>
            <w:vAlign w:val="bottom"/>
            <w:tcBorders>
              <w:bottom w:val="single" w:sz="8" w:color="F0F7E7"/>
            </w:tcBorders>
            <w:shd w:val="clear" w:color="auto" w:fill="F0F7E7"/>
          </w:tcPr>
          <w:p>
            <w:pPr>
              <w:jc w:val="right"/>
              <w:spacing w:after="0"/>
              <w:rPr>
                <w:sz w:val="20"/>
                <w:szCs w:val="20"/>
                <w:color w:val="auto"/>
              </w:rPr>
            </w:pPr>
            <w:r>
              <w:rPr>
                <w:rFonts w:ascii="Arial" w:cs="Arial" w:eastAsia="Arial" w:hAnsi="Arial"/>
                <w:sz w:val="14"/>
                <w:szCs w:val="14"/>
                <w:color w:val="auto"/>
              </w:rPr>
              <w:t>63,498</w:t>
            </w:r>
          </w:p>
        </w:tc>
        <w:tc>
          <w:tcPr>
            <w:tcW w:w="1080" w:type="dxa"/>
            <w:vAlign w:val="bottom"/>
            <w:tcBorders>
              <w:bottom w:val="single" w:sz="8" w:color="F0F7E7"/>
            </w:tcBorders>
            <w:shd w:val="clear" w:color="auto" w:fill="F0F7E7"/>
          </w:tcPr>
          <w:p>
            <w:pPr>
              <w:jc w:val="right"/>
              <w:spacing w:after="0"/>
              <w:rPr>
                <w:sz w:val="20"/>
                <w:szCs w:val="20"/>
                <w:color w:val="auto"/>
              </w:rPr>
            </w:pPr>
            <w:r>
              <w:rPr>
                <w:rFonts w:ascii="Arial" w:cs="Arial" w:eastAsia="Arial" w:hAnsi="Arial"/>
                <w:sz w:val="14"/>
                <w:szCs w:val="14"/>
                <w:color w:val="auto"/>
              </w:rPr>
              <w:t>28,862</w:t>
            </w:r>
          </w:p>
        </w:tc>
        <w:tc>
          <w:tcPr>
            <w:tcW w:w="1260" w:type="dxa"/>
            <w:vAlign w:val="bottom"/>
            <w:tcBorders>
              <w:bottom w:val="single" w:sz="8" w:color="F0F7E7"/>
            </w:tcBorders>
            <w:shd w:val="clear" w:color="auto" w:fill="F0F7E7"/>
          </w:tcPr>
          <w:p>
            <w:pPr>
              <w:jc w:val="right"/>
              <w:ind w:right="1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F0F7E7"/>
            </w:tcBorders>
            <w:shd w:val="clear" w:color="auto" w:fill="F0F7E7"/>
          </w:tcPr>
          <w:p>
            <w:pPr>
              <w:jc w:val="right"/>
              <w:spacing w:after="0"/>
              <w:rPr>
                <w:sz w:val="20"/>
                <w:szCs w:val="20"/>
                <w:color w:val="auto"/>
              </w:rPr>
            </w:pPr>
            <w:r>
              <w:rPr>
                <w:rFonts w:ascii="Arial" w:cs="Arial" w:eastAsia="Arial" w:hAnsi="Arial"/>
                <w:sz w:val="14"/>
                <w:szCs w:val="14"/>
                <w:color w:val="auto"/>
              </w:rPr>
              <w:t>67.37</w:t>
            </w:r>
          </w:p>
        </w:tc>
        <w:tc>
          <w:tcPr>
            <w:tcW w:w="800" w:type="dxa"/>
            <w:vAlign w:val="bottom"/>
            <w:tcBorders>
              <w:bottom w:val="single" w:sz="8" w:color="F0F7E7"/>
            </w:tcBorders>
            <w:shd w:val="clear" w:color="auto" w:fill="F0F7E7"/>
          </w:tcPr>
          <w:p>
            <w:pPr>
              <w:jc w:val="right"/>
              <w:spacing w:after="0"/>
              <w:rPr>
                <w:sz w:val="20"/>
                <w:szCs w:val="20"/>
                <w:color w:val="auto"/>
              </w:rPr>
            </w:pPr>
            <w:r>
              <w:rPr>
                <w:rFonts w:ascii="Arial" w:cs="Arial" w:eastAsia="Arial" w:hAnsi="Arial"/>
                <w:sz w:val="14"/>
                <w:szCs w:val="14"/>
                <w:color w:val="auto"/>
              </w:rPr>
              <w:t>3/1/2032</w:t>
            </w:r>
          </w:p>
        </w:tc>
        <w:tc>
          <w:tcPr>
            <w:tcW w:w="120" w:type="dxa"/>
            <w:vAlign w:val="bottom"/>
            <w:tcBorders>
              <w:bottom w:val="single" w:sz="8" w:color="F0F7E7"/>
            </w:tcBorders>
            <w:shd w:val="clear" w:color="auto" w:fill="F0F7E7"/>
          </w:tcPr>
          <w:p>
            <w:pPr>
              <w:spacing w:after="0"/>
              <w:rPr>
                <w:sz w:val="14"/>
                <w:szCs w:val="14"/>
                <w:color w:val="auto"/>
              </w:rPr>
            </w:pPr>
          </w:p>
        </w:tc>
        <w:tc>
          <w:tcPr>
            <w:tcW w:w="900" w:type="dxa"/>
            <w:vAlign w:val="bottom"/>
            <w:tcBorders>
              <w:bottom w:val="single" w:sz="8" w:color="F0F7E7"/>
            </w:tcBorders>
            <w:shd w:val="clear" w:color="auto" w:fill="F0F7E7"/>
          </w:tcPr>
          <w:p>
            <w:pPr>
              <w:jc w:val="right"/>
              <w:ind w:right="50"/>
              <w:spacing w:after="0"/>
              <w:rPr>
                <w:sz w:val="20"/>
                <w:szCs w:val="20"/>
                <w:color w:val="auto"/>
              </w:rPr>
            </w:pPr>
            <w:r>
              <w:rPr>
                <w:rFonts w:ascii="Arial" w:cs="Arial" w:eastAsia="Arial" w:hAnsi="Arial"/>
                <w:sz w:val="14"/>
                <w:szCs w:val="14"/>
                <w:color w:val="auto"/>
              </w:rPr>
              <w:t>38,926</w:t>
            </w:r>
          </w:p>
        </w:tc>
        <w:tc>
          <w:tcPr>
            <w:tcW w:w="920" w:type="dxa"/>
            <w:vAlign w:val="bottom"/>
            <w:tcBorders>
              <w:bottom w:val="single" w:sz="8" w:color="F0F7E7"/>
            </w:tcBorders>
            <w:shd w:val="clear" w:color="auto" w:fill="F0F7E7"/>
          </w:tcPr>
          <w:p>
            <w:pPr>
              <w:jc w:val="right"/>
              <w:ind w:right="30"/>
              <w:spacing w:after="0"/>
              <w:rPr>
                <w:sz w:val="20"/>
                <w:szCs w:val="20"/>
                <w:color w:val="auto"/>
              </w:rPr>
            </w:pPr>
            <w:r>
              <w:rPr>
                <w:rFonts w:ascii="Arial" w:cs="Arial" w:eastAsia="Arial" w:hAnsi="Arial"/>
                <w:sz w:val="14"/>
                <w:szCs w:val="14"/>
                <w:color w:val="auto"/>
              </w:rPr>
              <w:t>1,637,617</w:t>
            </w:r>
          </w:p>
        </w:tc>
        <w:tc>
          <w:tcPr>
            <w:tcW w:w="1360" w:type="dxa"/>
            <w:vAlign w:val="bottom"/>
            <w:tcBorders>
              <w:bottom w:val="single" w:sz="8" w:color="F0F7E7"/>
            </w:tcBorders>
            <w:shd w:val="clear" w:color="auto" w:fill="F0F7E7"/>
          </w:tcPr>
          <w:p>
            <w:pPr>
              <w:jc w:val="right"/>
              <w:ind w:right="50"/>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F0F7E7"/>
            </w:tcBorders>
            <w:shd w:val="clear" w:color="auto" w:fill="F0F7E7"/>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680" w:type="dxa"/>
            <w:vAlign w:val="bottom"/>
          </w:tcPr>
          <w:p>
            <w:pPr>
              <w:spacing w:after="0"/>
              <w:rPr>
                <w:sz w:val="16"/>
                <w:szCs w:val="16"/>
                <w:color w:val="auto"/>
              </w:rPr>
            </w:pPr>
          </w:p>
        </w:tc>
        <w:tc>
          <w:tcPr>
            <w:tcW w:w="980" w:type="dxa"/>
            <w:vAlign w:val="bottom"/>
          </w:tcPr>
          <w:p>
            <w:pPr>
              <w:jc w:val="right"/>
              <w:ind w:right="50"/>
              <w:spacing w:after="0"/>
              <w:rPr>
                <w:sz w:val="20"/>
                <w:szCs w:val="20"/>
                <w:color w:val="auto"/>
              </w:rPr>
            </w:pPr>
            <w:r>
              <w:rPr>
                <w:rFonts w:ascii="Arial" w:cs="Arial" w:eastAsia="Arial" w:hAnsi="Arial"/>
                <w:sz w:val="14"/>
                <w:szCs w:val="14"/>
                <w:color w:val="auto"/>
              </w:rPr>
              <w:t>3/1/2021</w:t>
            </w:r>
          </w:p>
        </w:tc>
        <w:tc>
          <w:tcPr>
            <w:tcW w:w="940" w:type="dxa"/>
            <w:vAlign w:val="bottom"/>
          </w:tcPr>
          <w:p>
            <w:pPr>
              <w:jc w:val="right"/>
              <w:spacing w:after="0"/>
              <w:rPr>
                <w:sz w:val="20"/>
                <w:szCs w:val="20"/>
                <w:color w:val="auto"/>
              </w:rPr>
            </w:pPr>
            <w:r>
              <w:rPr>
                <w:rFonts w:ascii="Arial" w:cs="Arial" w:eastAsia="Arial" w:hAnsi="Arial"/>
                <w:sz w:val="14"/>
                <w:szCs w:val="14"/>
                <w:color w:val="auto"/>
              </w:rPr>
              <w:t>33,750</w:t>
            </w:r>
          </w:p>
        </w:tc>
        <w:tc>
          <w:tcPr>
            <w:tcW w:w="1080" w:type="dxa"/>
            <w:vAlign w:val="bottom"/>
          </w:tcPr>
          <w:p>
            <w:pPr>
              <w:jc w:val="right"/>
              <w:spacing w:after="0"/>
              <w:rPr>
                <w:sz w:val="20"/>
                <w:szCs w:val="20"/>
                <w:color w:val="auto"/>
              </w:rPr>
            </w:pPr>
            <w:r>
              <w:rPr>
                <w:rFonts w:ascii="Arial" w:cs="Arial" w:eastAsia="Arial" w:hAnsi="Arial"/>
                <w:sz w:val="14"/>
                <w:szCs w:val="14"/>
                <w:color w:val="auto"/>
              </w:rPr>
              <w:t>2,250</w:t>
            </w:r>
          </w:p>
        </w:tc>
        <w:tc>
          <w:tcPr>
            <w:tcW w:w="126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142.47</w:t>
            </w:r>
          </w:p>
        </w:tc>
        <w:tc>
          <w:tcPr>
            <w:tcW w:w="800" w:type="dxa"/>
            <w:vAlign w:val="bottom"/>
          </w:tcPr>
          <w:p>
            <w:pPr>
              <w:jc w:val="right"/>
              <w:spacing w:after="0"/>
              <w:rPr>
                <w:sz w:val="20"/>
                <w:szCs w:val="20"/>
                <w:color w:val="auto"/>
              </w:rPr>
            </w:pPr>
            <w:r>
              <w:rPr>
                <w:rFonts w:ascii="Arial" w:cs="Arial" w:eastAsia="Arial" w:hAnsi="Arial"/>
                <w:sz w:val="14"/>
                <w:szCs w:val="14"/>
                <w:color w:val="auto"/>
              </w:rPr>
              <w:t>3/1/2031</w:t>
            </w:r>
          </w:p>
        </w:tc>
        <w:tc>
          <w:tcPr>
            <w:tcW w:w="120" w:type="dxa"/>
            <w:vAlign w:val="bottom"/>
          </w:tcPr>
          <w:p>
            <w:pPr>
              <w:spacing w:after="0"/>
              <w:rPr>
                <w:sz w:val="16"/>
                <w:szCs w:val="16"/>
                <w:color w:val="auto"/>
              </w:rPr>
            </w:pPr>
          </w:p>
        </w:tc>
        <w:tc>
          <w:tcPr>
            <w:tcW w:w="900" w:type="dxa"/>
            <w:vAlign w:val="bottom"/>
          </w:tcPr>
          <w:p>
            <w:pPr>
              <w:jc w:val="right"/>
              <w:ind w:right="50"/>
              <w:spacing w:after="0"/>
              <w:rPr>
                <w:sz w:val="20"/>
                <w:szCs w:val="20"/>
                <w:color w:val="auto"/>
              </w:rPr>
            </w:pPr>
            <w:r>
              <w:rPr>
                <w:rFonts w:ascii="Arial" w:cs="Arial" w:eastAsia="Arial" w:hAnsi="Arial"/>
                <w:sz w:val="14"/>
                <w:szCs w:val="14"/>
                <w:color w:val="auto"/>
              </w:rPr>
              <w:t>4,500</w:t>
            </w:r>
          </w:p>
        </w:tc>
        <w:tc>
          <w:tcPr>
            <w:tcW w:w="920" w:type="dxa"/>
            <w:vAlign w:val="bottom"/>
          </w:tcPr>
          <w:p>
            <w:pPr>
              <w:jc w:val="right"/>
              <w:ind w:right="30"/>
              <w:spacing w:after="0"/>
              <w:rPr>
                <w:sz w:val="20"/>
                <w:szCs w:val="20"/>
                <w:color w:val="auto"/>
              </w:rPr>
            </w:pPr>
            <w:r>
              <w:rPr>
                <w:rFonts w:ascii="Arial" w:cs="Arial" w:eastAsia="Arial" w:hAnsi="Arial"/>
                <w:sz w:val="14"/>
                <w:szCs w:val="14"/>
                <w:color w:val="auto"/>
              </w:rPr>
              <w:t>189,315</w:t>
            </w:r>
          </w:p>
        </w:tc>
        <w:tc>
          <w:tcPr>
            <w:tcW w:w="136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16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7"/>
        </w:trPr>
        <w:tc>
          <w:tcPr>
            <w:tcW w:w="680" w:type="dxa"/>
            <w:vAlign w:val="bottom"/>
          </w:tcPr>
          <w:p>
            <w:pPr>
              <w:spacing w:after="0"/>
              <w:rPr>
                <w:sz w:val="16"/>
                <w:szCs w:val="16"/>
                <w:color w:val="auto"/>
              </w:rPr>
            </w:pPr>
          </w:p>
        </w:tc>
        <w:tc>
          <w:tcPr>
            <w:tcW w:w="980" w:type="dxa"/>
            <w:vAlign w:val="bottom"/>
            <w:shd w:val="clear" w:color="auto" w:fill="F0F7E7"/>
          </w:tcPr>
          <w:p>
            <w:pPr>
              <w:jc w:val="right"/>
              <w:ind w:right="50"/>
              <w:spacing w:after="0"/>
              <w:rPr>
                <w:sz w:val="20"/>
                <w:szCs w:val="20"/>
                <w:color w:val="auto"/>
              </w:rPr>
            </w:pPr>
            <w:r>
              <w:rPr>
                <w:rFonts w:ascii="Arial" w:cs="Arial" w:eastAsia="Arial" w:hAnsi="Arial"/>
                <w:sz w:val="14"/>
                <w:szCs w:val="14"/>
                <w:color w:val="auto"/>
              </w:rPr>
              <w:t>3/1/2020</w:t>
            </w:r>
          </w:p>
        </w:tc>
        <w:tc>
          <w:tcPr>
            <w:tcW w:w="940" w:type="dxa"/>
            <w:vAlign w:val="bottom"/>
            <w:shd w:val="clear" w:color="auto" w:fill="F0F7E7"/>
          </w:tcPr>
          <w:p>
            <w:pPr>
              <w:jc w:val="right"/>
              <w:spacing w:after="0"/>
              <w:rPr>
                <w:sz w:val="20"/>
                <w:szCs w:val="20"/>
                <w:color w:val="auto"/>
              </w:rPr>
            </w:pPr>
            <w:r>
              <w:rPr>
                <w:rFonts w:ascii="Arial" w:cs="Arial" w:eastAsia="Arial" w:hAnsi="Arial"/>
                <w:sz w:val="14"/>
                <w:szCs w:val="14"/>
                <w:color w:val="auto"/>
              </w:rPr>
              <w:t>56,100</w:t>
            </w:r>
          </w:p>
        </w:tc>
        <w:tc>
          <w:tcPr>
            <w:tcW w:w="1080" w:type="dxa"/>
            <w:vAlign w:val="bottom"/>
            <w:shd w:val="clear" w:color="auto" w:fill="F0F7E7"/>
          </w:tcPr>
          <w:p>
            <w:pPr>
              <w:jc w:val="right"/>
              <w:spacing w:after="0"/>
              <w:rPr>
                <w:sz w:val="20"/>
                <w:szCs w:val="20"/>
                <w:color w:val="auto"/>
              </w:rPr>
            </w:pPr>
            <w:r>
              <w:rPr>
                <w:rFonts w:ascii="Arial" w:cs="Arial" w:eastAsia="Arial" w:hAnsi="Arial"/>
                <w:sz w:val="14"/>
                <w:szCs w:val="14"/>
                <w:color w:val="auto"/>
              </w:rPr>
              <w:t>—</w:t>
            </w:r>
          </w:p>
        </w:tc>
        <w:tc>
          <w:tcPr>
            <w:tcW w:w="1260" w:type="dxa"/>
            <w:vAlign w:val="bottom"/>
            <w:shd w:val="clear" w:color="auto" w:fill="F0F7E7"/>
          </w:tcPr>
          <w:p>
            <w:pPr>
              <w:jc w:val="right"/>
              <w:ind w:right="10"/>
              <w:spacing w:after="0"/>
              <w:rPr>
                <w:sz w:val="20"/>
                <w:szCs w:val="20"/>
                <w:color w:val="auto"/>
              </w:rPr>
            </w:pPr>
            <w:r>
              <w:rPr>
                <w:rFonts w:ascii="Arial" w:cs="Arial" w:eastAsia="Arial" w:hAnsi="Arial"/>
                <w:sz w:val="14"/>
                <w:szCs w:val="14"/>
                <w:color w:val="auto"/>
              </w:rPr>
              <w:t>—</w:t>
            </w:r>
          </w:p>
        </w:tc>
        <w:tc>
          <w:tcPr>
            <w:tcW w:w="700" w:type="dxa"/>
            <w:vAlign w:val="bottom"/>
            <w:shd w:val="clear" w:color="auto" w:fill="F0F7E7"/>
          </w:tcPr>
          <w:p>
            <w:pPr>
              <w:jc w:val="right"/>
              <w:spacing w:after="0"/>
              <w:rPr>
                <w:sz w:val="20"/>
                <w:szCs w:val="20"/>
                <w:color w:val="auto"/>
              </w:rPr>
            </w:pPr>
            <w:r>
              <w:rPr>
                <w:rFonts w:ascii="Arial" w:cs="Arial" w:eastAsia="Arial" w:hAnsi="Arial"/>
                <w:sz w:val="14"/>
                <w:szCs w:val="14"/>
                <w:color w:val="auto"/>
              </w:rPr>
              <w:t>56.08</w:t>
            </w:r>
          </w:p>
        </w:tc>
        <w:tc>
          <w:tcPr>
            <w:tcW w:w="800" w:type="dxa"/>
            <w:vAlign w:val="bottom"/>
            <w:shd w:val="clear" w:color="auto" w:fill="F0F7E7"/>
          </w:tcPr>
          <w:p>
            <w:pPr>
              <w:jc w:val="right"/>
              <w:spacing w:after="0"/>
              <w:rPr>
                <w:sz w:val="20"/>
                <w:szCs w:val="20"/>
                <w:color w:val="auto"/>
              </w:rPr>
            </w:pPr>
            <w:r>
              <w:rPr>
                <w:rFonts w:ascii="Arial" w:cs="Arial" w:eastAsia="Arial" w:hAnsi="Arial"/>
                <w:sz w:val="14"/>
                <w:szCs w:val="14"/>
                <w:color w:val="auto"/>
              </w:rPr>
              <w:t>3/1/2030</w:t>
            </w:r>
          </w:p>
        </w:tc>
        <w:tc>
          <w:tcPr>
            <w:tcW w:w="120" w:type="dxa"/>
            <w:vAlign w:val="bottom"/>
            <w:shd w:val="clear" w:color="auto" w:fill="F0F7E7"/>
          </w:tcPr>
          <w:p>
            <w:pPr>
              <w:spacing w:after="0"/>
              <w:rPr>
                <w:sz w:val="16"/>
                <w:szCs w:val="16"/>
                <w:color w:val="auto"/>
              </w:rPr>
            </w:pPr>
          </w:p>
        </w:tc>
        <w:tc>
          <w:tcPr>
            <w:tcW w:w="900" w:type="dxa"/>
            <w:vAlign w:val="bottom"/>
            <w:shd w:val="clear" w:color="auto" w:fill="F0F7E7"/>
          </w:tcPr>
          <w:p>
            <w:pPr>
              <w:jc w:val="right"/>
              <w:ind w:right="50"/>
              <w:spacing w:after="0"/>
              <w:rPr>
                <w:sz w:val="20"/>
                <w:szCs w:val="20"/>
                <w:color w:val="auto"/>
              </w:rPr>
            </w:pPr>
            <w:r>
              <w:rPr>
                <w:rFonts w:ascii="Arial" w:cs="Arial" w:eastAsia="Arial" w:hAnsi="Arial"/>
                <w:sz w:val="14"/>
                <w:szCs w:val="14"/>
                <w:color w:val="auto"/>
              </w:rPr>
              <w:t>—</w:t>
            </w:r>
          </w:p>
        </w:tc>
        <w:tc>
          <w:tcPr>
            <w:tcW w:w="920" w:type="dxa"/>
            <w:vAlign w:val="bottom"/>
            <w:shd w:val="clear" w:color="auto" w:fill="F0F7E7"/>
          </w:tcPr>
          <w:p>
            <w:pPr>
              <w:jc w:val="right"/>
              <w:ind w:right="30"/>
              <w:spacing w:after="0"/>
              <w:rPr>
                <w:sz w:val="20"/>
                <w:szCs w:val="20"/>
                <w:color w:val="auto"/>
              </w:rPr>
            </w:pPr>
            <w:r>
              <w:rPr>
                <w:rFonts w:ascii="Arial" w:cs="Arial" w:eastAsia="Arial" w:hAnsi="Arial"/>
                <w:sz w:val="14"/>
                <w:szCs w:val="14"/>
                <w:color w:val="auto"/>
              </w:rPr>
              <w:t>—</w:t>
            </w:r>
          </w:p>
        </w:tc>
        <w:tc>
          <w:tcPr>
            <w:tcW w:w="1360" w:type="dxa"/>
            <w:vAlign w:val="bottom"/>
            <w:shd w:val="clear" w:color="auto" w:fill="F0F7E7"/>
          </w:tcPr>
          <w:p>
            <w:pPr>
              <w:jc w:val="right"/>
              <w:ind w:right="50"/>
              <w:spacing w:after="0"/>
              <w:rPr>
                <w:sz w:val="20"/>
                <w:szCs w:val="20"/>
                <w:color w:val="auto"/>
              </w:rPr>
            </w:pPr>
            <w:r>
              <w:rPr>
                <w:rFonts w:ascii="Arial" w:cs="Arial" w:eastAsia="Arial" w:hAnsi="Arial"/>
                <w:sz w:val="14"/>
                <w:szCs w:val="14"/>
                <w:color w:val="auto"/>
              </w:rPr>
              <w:t>—</w:t>
            </w:r>
          </w:p>
        </w:tc>
        <w:tc>
          <w:tcPr>
            <w:tcW w:w="1600" w:type="dxa"/>
            <w:vAlign w:val="bottom"/>
            <w:shd w:val="clear" w:color="auto" w:fill="F0F7E7"/>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680" w:type="dxa"/>
            <w:vAlign w:val="bottom"/>
          </w:tcPr>
          <w:p>
            <w:pPr>
              <w:spacing w:after="0"/>
              <w:rPr>
                <w:sz w:val="16"/>
                <w:szCs w:val="16"/>
                <w:color w:val="auto"/>
              </w:rPr>
            </w:pPr>
          </w:p>
        </w:tc>
        <w:tc>
          <w:tcPr>
            <w:tcW w:w="980" w:type="dxa"/>
            <w:vAlign w:val="bottom"/>
          </w:tcPr>
          <w:p>
            <w:pPr>
              <w:jc w:val="right"/>
              <w:ind w:right="50"/>
              <w:spacing w:after="0"/>
              <w:rPr>
                <w:sz w:val="20"/>
                <w:szCs w:val="20"/>
                <w:color w:val="auto"/>
              </w:rPr>
            </w:pPr>
            <w:r>
              <w:rPr>
                <w:rFonts w:ascii="Arial" w:cs="Arial" w:eastAsia="Arial" w:hAnsi="Arial"/>
                <w:sz w:val="14"/>
                <w:szCs w:val="14"/>
                <w:color w:val="auto"/>
              </w:rPr>
              <w:t>3/1/2019</w:t>
            </w:r>
          </w:p>
        </w:tc>
        <w:tc>
          <w:tcPr>
            <w:tcW w:w="940" w:type="dxa"/>
            <w:vAlign w:val="bottom"/>
          </w:tcPr>
          <w:p>
            <w:pPr>
              <w:jc w:val="right"/>
              <w:spacing w:after="0"/>
              <w:rPr>
                <w:sz w:val="20"/>
                <w:szCs w:val="20"/>
                <w:color w:val="auto"/>
              </w:rPr>
            </w:pPr>
            <w:r>
              <w:rPr>
                <w:rFonts w:ascii="Arial" w:cs="Arial" w:eastAsia="Arial" w:hAnsi="Arial"/>
                <w:sz w:val="14"/>
                <w:szCs w:val="14"/>
                <w:color w:val="auto"/>
              </w:rPr>
              <w:t>66,000</w:t>
            </w: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67.55</w:t>
            </w:r>
          </w:p>
        </w:tc>
        <w:tc>
          <w:tcPr>
            <w:tcW w:w="800" w:type="dxa"/>
            <w:vAlign w:val="bottom"/>
          </w:tcPr>
          <w:p>
            <w:pPr>
              <w:jc w:val="right"/>
              <w:spacing w:after="0"/>
              <w:rPr>
                <w:sz w:val="20"/>
                <w:szCs w:val="20"/>
                <w:color w:val="auto"/>
              </w:rPr>
            </w:pPr>
            <w:r>
              <w:rPr>
                <w:rFonts w:ascii="Arial" w:cs="Arial" w:eastAsia="Arial" w:hAnsi="Arial"/>
                <w:sz w:val="14"/>
                <w:szCs w:val="14"/>
                <w:color w:val="auto"/>
              </w:rPr>
              <w:t>3/1/2029</w:t>
            </w:r>
          </w:p>
        </w:tc>
        <w:tc>
          <w:tcPr>
            <w:tcW w:w="120" w:type="dxa"/>
            <w:vAlign w:val="bottom"/>
          </w:tcPr>
          <w:p>
            <w:pPr>
              <w:spacing w:after="0"/>
              <w:rPr>
                <w:sz w:val="16"/>
                <w:szCs w:val="16"/>
                <w:color w:val="auto"/>
              </w:rPr>
            </w:pPr>
          </w:p>
        </w:tc>
        <w:tc>
          <w:tcPr>
            <w:tcW w:w="90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16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7"/>
        </w:trPr>
        <w:tc>
          <w:tcPr>
            <w:tcW w:w="680" w:type="dxa"/>
            <w:vAlign w:val="bottom"/>
          </w:tcPr>
          <w:p>
            <w:pPr>
              <w:spacing w:after="0"/>
              <w:rPr>
                <w:sz w:val="16"/>
                <w:szCs w:val="16"/>
                <w:color w:val="auto"/>
              </w:rPr>
            </w:pPr>
          </w:p>
        </w:tc>
        <w:tc>
          <w:tcPr>
            <w:tcW w:w="980" w:type="dxa"/>
            <w:vAlign w:val="bottom"/>
            <w:shd w:val="clear" w:color="auto" w:fill="F0F7E7"/>
          </w:tcPr>
          <w:p>
            <w:pPr>
              <w:jc w:val="right"/>
              <w:ind w:right="50"/>
              <w:spacing w:after="0"/>
              <w:rPr>
                <w:sz w:val="20"/>
                <w:szCs w:val="20"/>
                <w:color w:val="auto"/>
              </w:rPr>
            </w:pPr>
            <w:r>
              <w:rPr>
                <w:rFonts w:ascii="Arial" w:cs="Arial" w:eastAsia="Arial" w:hAnsi="Arial"/>
                <w:sz w:val="14"/>
                <w:szCs w:val="14"/>
                <w:color w:val="auto"/>
              </w:rPr>
              <w:t>3/1/2018</w:t>
            </w:r>
          </w:p>
        </w:tc>
        <w:tc>
          <w:tcPr>
            <w:tcW w:w="940" w:type="dxa"/>
            <w:vAlign w:val="bottom"/>
            <w:shd w:val="clear" w:color="auto" w:fill="F0F7E7"/>
          </w:tcPr>
          <w:p>
            <w:pPr>
              <w:jc w:val="right"/>
              <w:spacing w:after="0"/>
              <w:rPr>
                <w:sz w:val="20"/>
                <w:szCs w:val="20"/>
                <w:color w:val="auto"/>
              </w:rPr>
            </w:pPr>
            <w:r>
              <w:rPr>
                <w:rFonts w:ascii="Arial" w:cs="Arial" w:eastAsia="Arial" w:hAnsi="Arial"/>
                <w:sz w:val="14"/>
                <w:szCs w:val="14"/>
                <w:color w:val="auto"/>
              </w:rPr>
              <w:t>94,500</w:t>
            </w:r>
          </w:p>
        </w:tc>
        <w:tc>
          <w:tcPr>
            <w:tcW w:w="1080" w:type="dxa"/>
            <w:vAlign w:val="bottom"/>
            <w:shd w:val="clear" w:color="auto" w:fill="F0F7E7"/>
          </w:tcPr>
          <w:p>
            <w:pPr>
              <w:jc w:val="right"/>
              <w:spacing w:after="0"/>
              <w:rPr>
                <w:sz w:val="20"/>
                <w:szCs w:val="20"/>
                <w:color w:val="auto"/>
              </w:rPr>
            </w:pPr>
            <w:r>
              <w:rPr>
                <w:rFonts w:ascii="Arial" w:cs="Arial" w:eastAsia="Arial" w:hAnsi="Arial"/>
                <w:sz w:val="14"/>
                <w:szCs w:val="14"/>
                <w:color w:val="auto"/>
              </w:rPr>
              <w:t>—</w:t>
            </w:r>
          </w:p>
        </w:tc>
        <w:tc>
          <w:tcPr>
            <w:tcW w:w="1260" w:type="dxa"/>
            <w:vAlign w:val="bottom"/>
            <w:shd w:val="clear" w:color="auto" w:fill="F0F7E7"/>
          </w:tcPr>
          <w:p>
            <w:pPr>
              <w:jc w:val="right"/>
              <w:ind w:right="10"/>
              <w:spacing w:after="0"/>
              <w:rPr>
                <w:sz w:val="20"/>
                <w:szCs w:val="20"/>
                <w:color w:val="auto"/>
              </w:rPr>
            </w:pPr>
            <w:r>
              <w:rPr>
                <w:rFonts w:ascii="Arial" w:cs="Arial" w:eastAsia="Arial" w:hAnsi="Arial"/>
                <w:sz w:val="14"/>
                <w:szCs w:val="14"/>
                <w:color w:val="auto"/>
              </w:rPr>
              <w:t>—</w:t>
            </w:r>
          </w:p>
        </w:tc>
        <w:tc>
          <w:tcPr>
            <w:tcW w:w="700" w:type="dxa"/>
            <w:vAlign w:val="bottom"/>
            <w:shd w:val="clear" w:color="auto" w:fill="F0F7E7"/>
          </w:tcPr>
          <w:p>
            <w:pPr>
              <w:jc w:val="right"/>
              <w:spacing w:after="0"/>
              <w:rPr>
                <w:sz w:val="20"/>
                <w:szCs w:val="20"/>
                <w:color w:val="auto"/>
              </w:rPr>
            </w:pPr>
            <w:r>
              <w:rPr>
                <w:rFonts w:ascii="Arial" w:cs="Arial" w:eastAsia="Arial" w:hAnsi="Arial"/>
                <w:sz w:val="14"/>
                <w:szCs w:val="14"/>
                <w:color w:val="auto"/>
              </w:rPr>
              <w:t>48.43</w:t>
            </w:r>
          </w:p>
        </w:tc>
        <w:tc>
          <w:tcPr>
            <w:tcW w:w="800" w:type="dxa"/>
            <w:vAlign w:val="bottom"/>
            <w:shd w:val="clear" w:color="auto" w:fill="F0F7E7"/>
          </w:tcPr>
          <w:p>
            <w:pPr>
              <w:jc w:val="right"/>
              <w:spacing w:after="0"/>
              <w:rPr>
                <w:sz w:val="20"/>
                <w:szCs w:val="20"/>
                <w:color w:val="auto"/>
              </w:rPr>
            </w:pPr>
            <w:r>
              <w:rPr>
                <w:rFonts w:ascii="Arial" w:cs="Arial" w:eastAsia="Arial" w:hAnsi="Arial"/>
                <w:sz w:val="14"/>
                <w:szCs w:val="14"/>
                <w:color w:val="auto"/>
              </w:rPr>
              <w:t>3/1/2028</w:t>
            </w:r>
          </w:p>
        </w:tc>
        <w:tc>
          <w:tcPr>
            <w:tcW w:w="120" w:type="dxa"/>
            <w:vAlign w:val="bottom"/>
            <w:shd w:val="clear" w:color="auto" w:fill="F0F7E7"/>
          </w:tcPr>
          <w:p>
            <w:pPr>
              <w:spacing w:after="0"/>
              <w:rPr>
                <w:sz w:val="16"/>
                <w:szCs w:val="16"/>
                <w:color w:val="auto"/>
              </w:rPr>
            </w:pPr>
          </w:p>
        </w:tc>
        <w:tc>
          <w:tcPr>
            <w:tcW w:w="900" w:type="dxa"/>
            <w:vAlign w:val="bottom"/>
            <w:shd w:val="clear" w:color="auto" w:fill="F0F7E7"/>
          </w:tcPr>
          <w:p>
            <w:pPr>
              <w:jc w:val="right"/>
              <w:ind w:right="50"/>
              <w:spacing w:after="0"/>
              <w:rPr>
                <w:sz w:val="20"/>
                <w:szCs w:val="20"/>
                <w:color w:val="auto"/>
              </w:rPr>
            </w:pPr>
            <w:r>
              <w:rPr>
                <w:rFonts w:ascii="Arial" w:cs="Arial" w:eastAsia="Arial" w:hAnsi="Arial"/>
                <w:sz w:val="14"/>
                <w:szCs w:val="14"/>
                <w:color w:val="auto"/>
              </w:rPr>
              <w:t>—</w:t>
            </w:r>
          </w:p>
        </w:tc>
        <w:tc>
          <w:tcPr>
            <w:tcW w:w="920" w:type="dxa"/>
            <w:vAlign w:val="bottom"/>
            <w:shd w:val="clear" w:color="auto" w:fill="F0F7E7"/>
          </w:tcPr>
          <w:p>
            <w:pPr>
              <w:jc w:val="right"/>
              <w:ind w:right="30"/>
              <w:spacing w:after="0"/>
              <w:rPr>
                <w:sz w:val="20"/>
                <w:szCs w:val="20"/>
                <w:color w:val="auto"/>
              </w:rPr>
            </w:pPr>
            <w:r>
              <w:rPr>
                <w:rFonts w:ascii="Arial" w:cs="Arial" w:eastAsia="Arial" w:hAnsi="Arial"/>
                <w:sz w:val="14"/>
                <w:szCs w:val="14"/>
                <w:color w:val="auto"/>
              </w:rPr>
              <w:t>—</w:t>
            </w:r>
          </w:p>
        </w:tc>
        <w:tc>
          <w:tcPr>
            <w:tcW w:w="1360" w:type="dxa"/>
            <w:vAlign w:val="bottom"/>
            <w:shd w:val="clear" w:color="auto" w:fill="F0F7E7"/>
          </w:tcPr>
          <w:p>
            <w:pPr>
              <w:jc w:val="right"/>
              <w:ind w:right="50"/>
              <w:spacing w:after="0"/>
              <w:rPr>
                <w:sz w:val="20"/>
                <w:szCs w:val="20"/>
                <w:color w:val="auto"/>
              </w:rPr>
            </w:pPr>
            <w:r>
              <w:rPr>
                <w:rFonts w:ascii="Arial" w:cs="Arial" w:eastAsia="Arial" w:hAnsi="Arial"/>
                <w:sz w:val="14"/>
                <w:szCs w:val="14"/>
                <w:color w:val="auto"/>
              </w:rPr>
              <w:t>—</w:t>
            </w:r>
          </w:p>
        </w:tc>
        <w:tc>
          <w:tcPr>
            <w:tcW w:w="1600" w:type="dxa"/>
            <w:vAlign w:val="bottom"/>
            <w:shd w:val="clear" w:color="auto" w:fill="F0F7E7"/>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680" w:type="dxa"/>
            <w:vAlign w:val="bottom"/>
          </w:tcPr>
          <w:p>
            <w:pPr>
              <w:spacing w:after="0"/>
              <w:rPr>
                <w:sz w:val="16"/>
                <w:szCs w:val="16"/>
                <w:color w:val="auto"/>
              </w:rPr>
            </w:pPr>
          </w:p>
        </w:tc>
        <w:tc>
          <w:tcPr>
            <w:tcW w:w="980" w:type="dxa"/>
            <w:vAlign w:val="bottom"/>
          </w:tcPr>
          <w:p>
            <w:pPr>
              <w:jc w:val="right"/>
              <w:ind w:right="50"/>
              <w:spacing w:after="0"/>
              <w:rPr>
                <w:sz w:val="20"/>
                <w:szCs w:val="20"/>
                <w:color w:val="auto"/>
              </w:rPr>
            </w:pPr>
            <w:r>
              <w:rPr>
                <w:rFonts w:ascii="Arial" w:cs="Arial" w:eastAsia="Arial" w:hAnsi="Arial"/>
                <w:sz w:val="14"/>
                <w:szCs w:val="14"/>
                <w:color w:val="auto"/>
              </w:rPr>
              <w:t>3/1/2017</w:t>
            </w:r>
          </w:p>
        </w:tc>
        <w:tc>
          <w:tcPr>
            <w:tcW w:w="940" w:type="dxa"/>
            <w:vAlign w:val="bottom"/>
          </w:tcPr>
          <w:p>
            <w:pPr>
              <w:jc w:val="right"/>
              <w:spacing w:after="0"/>
              <w:rPr>
                <w:sz w:val="20"/>
                <w:szCs w:val="20"/>
                <w:color w:val="auto"/>
              </w:rPr>
            </w:pPr>
            <w:r>
              <w:rPr>
                <w:rFonts w:ascii="Arial" w:cs="Arial" w:eastAsia="Arial" w:hAnsi="Arial"/>
                <w:sz w:val="14"/>
                <w:szCs w:val="14"/>
                <w:color w:val="auto"/>
              </w:rPr>
              <w:t>78,000</w:t>
            </w: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88.80</w:t>
            </w:r>
          </w:p>
        </w:tc>
        <w:tc>
          <w:tcPr>
            <w:tcW w:w="800" w:type="dxa"/>
            <w:vAlign w:val="bottom"/>
          </w:tcPr>
          <w:p>
            <w:pPr>
              <w:jc w:val="right"/>
              <w:spacing w:after="0"/>
              <w:rPr>
                <w:sz w:val="20"/>
                <w:szCs w:val="20"/>
                <w:color w:val="auto"/>
              </w:rPr>
            </w:pPr>
            <w:r>
              <w:rPr>
                <w:rFonts w:ascii="Arial" w:cs="Arial" w:eastAsia="Arial" w:hAnsi="Arial"/>
                <w:sz w:val="14"/>
                <w:szCs w:val="14"/>
                <w:color w:val="auto"/>
              </w:rPr>
              <w:t>3/1/2027</w:t>
            </w:r>
          </w:p>
        </w:tc>
        <w:tc>
          <w:tcPr>
            <w:tcW w:w="120" w:type="dxa"/>
            <w:vAlign w:val="bottom"/>
          </w:tcPr>
          <w:p>
            <w:pPr>
              <w:spacing w:after="0"/>
              <w:rPr>
                <w:sz w:val="16"/>
                <w:szCs w:val="16"/>
                <w:color w:val="auto"/>
              </w:rPr>
            </w:pPr>
          </w:p>
        </w:tc>
        <w:tc>
          <w:tcPr>
            <w:tcW w:w="90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16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7"/>
        </w:trPr>
        <w:tc>
          <w:tcPr>
            <w:tcW w:w="680" w:type="dxa"/>
            <w:vAlign w:val="bottom"/>
          </w:tcPr>
          <w:p>
            <w:pPr>
              <w:spacing w:after="0"/>
              <w:rPr>
                <w:sz w:val="16"/>
                <w:szCs w:val="16"/>
                <w:color w:val="auto"/>
              </w:rPr>
            </w:pPr>
          </w:p>
        </w:tc>
        <w:tc>
          <w:tcPr>
            <w:tcW w:w="980" w:type="dxa"/>
            <w:vAlign w:val="bottom"/>
            <w:shd w:val="clear" w:color="auto" w:fill="F0F7E7"/>
          </w:tcPr>
          <w:p>
            <w:pPr>
              <w:jc w:val="right"/>
              <w:ind w:right="50"/>
              <w:spacing w:after="0"/>
              <w:rPr>
                <w:sz w:val="20"/>
                <w:szCs w:val="20"/>
                <w:color w:val="auto"/>
              </w:rPr>
            </w:pPr>
            <w:r>
              <w:rPr>
                <w:rFonts w:ascii="Arial" w:cs="Arial" w:eastAsia="Arial" w:hAnsi="Arial"/>
                <w:sz w:val="14"/>
                <w:szCs w:val="14"/>
                <w:color w:val="auto"/>
              </w:rPr>
              <w:t>6/1/2016</w:t>
            </w:r>
          </w:p>
        </w:tc>
        <w:tc>
          <w:tcPr>
            <w:tcW w:w="940" w:type="dxa"/>
            <w:vAlign w:val="bottom"/>
            <w:shd w:val="clear" w:color="auto" w:fill="F0F7E7"/>
          </w:tcPr>
          <w:p>
            <w:pPr>
              <w:jc w:val="right"/>
              <w:spacing w:after="0"/>
              <w:rPr>
                <w:sz w:val="20"/>
                <w:szCs w:val="20"/>
                <w:color w:val="auto"/>
              </w:rPr>
            </w:pPr>
            <w:r>
              <w:rPr>
                <w:rFonts w:ascii="Arial" w:cs="Arial" w:eastAsia="Arial" w:hAnsi="Arial"/>
                <w:sz w:val="14"/>
                <w:szCs w:val="14"/>
                <w:color w:val="auto"/>
              </w:rPr>
              <w:t>63,700</w:t>
            </w:r>
          </w:p>
        </w:tc>
        <w:tc>
          <w:tcPr>
            <w:tcW w:w="1080" w:type="dxa"/>
            <w:vAlign w:val="bottom"/>
            <w:shd w:val="clear" w:color="auto" w:fill="F0F7E7"/>
          </w:tcPr>
          <w:p>
            <w:pPr>
              <w:jc w:val="right"/>
              <w:spacing w:after="0"/>
              <w:rPr>
                <w:sz w:val="20"/>
                <w:szCs w:val="20"/>
                <w:color w:val="auto"/>
              </w:rPr>
            </w:pPr>
            <w:r>
              <w:rPr>
                <w:rFonts w:ascii="Arial" w:cs="Arial" w:eastAsia="Arial" w:hAnsi="Arial"/>
                <w:sz w:val="14"/>
                <w:szCs w:val="14"/>
                <w:color w:val="auto"/>
              </w:rPr>
              <w:t>—</w:t>
            </w:r>
          </w:p>
        </w:tc>
        <w:tc>
          <w:tcPr>
            <w:tcW w:w="1260" w:type="dxa"/>
            <w:vAlign w:val="bottom"/>
            <w:shd w:val="clear" w:color="auto" w:fill="F0F7E7"/>
          </w:tcPr>
          <w:p>
            <w:pPr>
              <w:jc w:val="right"/>
              <w:ind w:right="10"/>
              <w:spacing w:after="0"/>
              <w:rPr>
                <w:sz w:val="20"/>
                <w:szCs w:val="20"/>
                <w:color w:val="auto"/>
              </w:rPr>
            </w:pPr>
            <w:r>
              <w:rPr>
                <w:rFonts w:ascii="Arial" w:cs="Arial" w:eastAsia="Arial" w:hAnsi="Arial"/>
                <w:sz w:val="14"/>
                <w:szCs w:val="14"/>
                <w:color w:val="auto"/>
              </w:rPr>
              <w:t>—</w:t>
            </w:r>
          </w:p>
        </w:tc>
        <w:tc>
          <w:tcPr>
            <w:tcW w:w="700" w:type="dxa"/>
            <w:vAlign w:val="bottom"/>
            <w:shd w:val="clear" w:color="auto" w:fill="F0F7E7"/>
          </w:tcPr>
          <w:p>
            <w:pPr>
              <w:jc w:val="right"/>
              <w:spacing w:after="0"/>
              <w:rPr>
                <w:sz w:val="20"/>
                <w:szCs w:val="20"/>
                <w:color w:val="auto"/>
              </w:rPr>
            </w:pPr>
            <w:r>
              <w:rPr>
                <w:rFonts w:ascii="Arial" w:cs="Arial" w:eastAsia="Arial" w:hAnsi="Arial"/>
                <w:sz w:val="14"/>
                <w:szCs w:val="14"/>
                <w:color w:val="auto"/>
              </w:rPr>
              <w:t>70.57</w:t>
            </w:r>
          </w:p>
        </w:tc>
        <w:tc>
          <w:tcPr>
            <w:tcW w:w="800" w:type="dxa"/>
            <w:vAlign w:val="bottom"/>
            <w:shd w:val="clear" w:color="auto" w:fill="F0F7E7"/>
          </w:tcPr>
          <w:p>
            <w:pPr>
              <w:jc w:val="right"/>
              <w:spacing w:after="0"/>
              <w:rPr>
                <w:sz w:val="20"/>
                <w:szCs w:val="20"/>
                <w:color w:val="auto"/>
              </w:rPr>
            </w:pPr>
            <w:r>
              <w:rPr>
                <w:rFonts w:ascii="Arial" w:cs="Arial" w:eastAsia="Arial" w:hAnsi="Arial"/>
                <w:sz w:val="14"/>
                <w:szCs w:val="14"/>
                <w:color w:val="auto"/>
              </w:rPr>
              <w:t>6/1/2026</w:t>
            </w:r>
          </w:p>
        </w:tc>
        <w:tc>
          <w:tcPr>
            <w:tcW w:w="120" w:type="dxa"/>
            <w:vAlign w:val="bottom"/>
            <w:shd w:val="clear" w:color="auto" w:fill="F0F7E7"/>
          </w:tcPr>
          <w:p>
            <w:pPr>
              <w:spacing w:after="0"/>
              <w:rPr>
                <w:sz w:val="16"/>
                <w:szCs w:val="16"/>
                <w:color w:val="auto"/>
              </w:rPr>
            </w:pPr>
          </w:p>
        </w:tc>
        <w:tc>
          <w:tcPr>
            <w:tcW w:w="900" w:type="dxa"/>
            <w:vAlign w:val="bottom"/>
            <w:shd w:val="clear" w:color="auto" w:fill="F0F7E7"/>
          </w:tcPr>
          <w:p>
            <w:pPr>
              <w:jc w:val="right"/>
              <w:ind w:right="50"/>
              <w:spacing w:after="0"/>
              <w:rPr>
                <w:sz w:val="20"/>
                <w:szCs w:val="20"/>
                <w:color w:val="auto"/>
              </w:rPr>
            </w:pPr>
            <w:r>
              <w:rPr>
                <w:rFonts w:ascii="Arial" w:cs="Arial" w:eastAsia="Arial" w:hAnsi="Arial"/>
                <w:sz w:val="14"/>
                <w:szCs w:val="14"/>
                <w:color w:val="auto"/>
              </w:rPr>
              <w:t>—</w:t>
            </w:r>
          </w:p>
        </w:tc>
        <w:tc>
          <w:tcPr>
            <w:tcW w:w="920" w:type="dxa"/>
            <w:vAlign w:val="bottom"/>
            <w:shd w:val="clear" w:color="auto" w:fill="F0F7E7"/>
          </w:tcPr>
          <w:p>
            <w:pPr>
              <w:jc w:val="right"/>
              <w:ind w:right="30"/>
              <w:spacing w:after="0"/>
              <w:rPr>
                <w:sz w:val="20"/>
                <w:szCs w:val="20"/>
                <w:color w:val="auto"/>
              </w:rPr>
            </w:pPr>
            <w:r>
              <w:rPr>
                <w:rFonts w:ascii="Arial" w:cs="Arial" w:eastAsia="Arial" w:hAnsi="Arial"/>
                <w:sz w:val="14"/>
                <w:szCs w:val="14"/>
                <w:color w:val="auto"/>
              </w:rPr>
              <w:t>—</w:t>
            </w:r>
          </w:p>
        </w:tc>
        <w:tc>
          <w:tcPr>
            <w:tcW w:w="1360" w:type="dxa"/>
            <w:vAlign w:val="bottom"/>
            <w:shd w:val="clear" w:color="auto" w:fill="F0F7E7"/>
          </w:tcPr>
          <w:p>
            <w:pPr>
              <w:jc w:val="right"/>
              <w:ind w:right="50"/>
              <w:spacing w:after="0"/>
              <w:rPr>
                <w:sz w:val="20"/>
                <w:szCs w:val="20"/>
                <w:color w:val="auto"/>
              </w:rPr>
            </w:pPr>
            <w:r>
              <w:rPr>
                <w:rFonts w:ascii="Arial" w:cs="Arial" w:eastAsia="Arial" w:hAnsi="Arial"/>
                <w:sz w:val="14"/>
                <w:szCs w:val="14"/>
                <w:color w:val="auto"/>
              </w:rPr>
              <w:t>—</w:t>
            </w:r>
          </w:p>
        </w:tc>
        <w:tc>
          <w:tcPr>
            <w:tcW w:w="1600" w:type="dxa"/>
            <w:vAlign w:val="bottom"/>
            <w:shd w:val="clear" w:color="auto" w:fill="F0F7E7"/>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680" w:type="dxa"/>
            <w:vAlign w:val="bottom"/>
            <w:tcBorders>
              <w:bottom w:val="single" w:sz="8" w:color="7CBD3F"/>
            </w:tcBorders>
          </w:tcPr>
          <w:p>
            <w:pPr>
              <w:spacing w:after="0"/>
              <w:rPr>
                <w:sz w:val="16"/>
                <w:szCs w:val="16"/>
                <w:color w:val="auto"/>
              </w:rPr>
            </w:pPr>
          </w:p>
        </w:tc>
        <w:tc>
          <w:tcPr>
            <w:tcW w:w="980" w:type="dxa"/>
            <w:vAlign w:val="bottom"/>
            <w:tcBorders>
              <w:bottom w:val="single" w:sz="8" w:color="7CBD3F"/>
            </w:tcBorders>
          </w:tcPr>
          <w:p>
            <w:pPr>
              <w:jc w:val="right"/>
              <w:ind w:right="50"/>
              <w:spacing w:after="0"/>
              <w:rPr>
                <w:sz w:val="20"/>
                <w:szCs w:val="20"/>
                <w:color w:val="auto"/>
              </w:rPr>
            </w:pPr>
            <w:r>
              <w:rPr>
                <w:rFonts w:ascii="Arial" w:cs="Arial" w:eastAsia="Arial" w:hAnsi="Arial"/>
                <w:sz w:val="14"/>
                <w:szCs w:val="14"/>
                <w:color w:val="auto"/>
              </w:rPr>
              <w:t>5/21/2015</w:t>
            </w:r>
          </w:p>
        </w:tc>
        <w:tc>
          <w:tcPr>
            <w:tcW w:w="940" w:type="dxa"/>
            <w:vAlign w:val="bottom"/>
            <w:tcBorders>
              <w:bottom w:val="single" w:sz="8" w:color="7CBD3F"/>
            </w:tcBorders>
          </w:tcPr>
          <w:p>
            <w:pPr>
              <w:jc w:val="right"/>
              <w:spacing w:after="0"/>
              <w:rPr>
                <w:sz w:val="20"/>
                <w:szCs w:val="20"/>
                <w:color w:val="auto"/>
              </w:rPr>
            </w:pPr>
            <w:r>
              <w:rPr>
                <w:rFonts w:ascii="Arial" w:cs="Arial" w:eastAsia="Arial" w:hAnsi="Arial"/>
                <w:sz w:val="14"/>
                <w:szCs w:val="14"/>
                <w:color w:val="auto"/>
              </w:rPr>
              <w:t>68,300</w:t>
            </w:r>
          </w:p>
        </w:tc>
        <w:tc>
          <w:tcPr>
            <w:tcW w:w="1080" w:type="dxa"/>
            <w:vAlign w:val="bottom"/>
            <w:tcBorders>
              <w:bottom w:val="single" w:sz="8" w:color="7CBD3F"/>
            </w:tcBorders>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7CBD3F"/>
            </w:tcBorders>
          </w:tcPr>
          <w:p>
            <w:pPr>
              <w:jc w:val="right"/>
              <w:ind w:right="1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7CBD3F"/>
            </w:tcBorders>
          </w:tcPr>
          <w:p>
            <w:pPr>
              <w:jc w:val="right"/>
              <w:spacing w:after="0"/>
              <w:rPr>
                <w:sz w:val="20"/>
                <w:szCs w:val="20"/>
                <w:color w:val="auto"/>
              </w:rPr>
            </w:pPr>
            <w:r>
              <w:rPr>
                <w:rFonts w:ascii="Arial" w:cs="Arial" w:eastAsia="Arial" w:hAnsi="Arial"/>
                <w:sz w:val="14"/>
                <w:szCs w:val="14"/>
                <w:color w:val="auto"/>
              </w:rPr>
              <w:t>84.89</w:t>
            </w:r>
          </w:p>
        </w:tc>
        <w:tc>
          <w:tcPr>
            <w:tcW w:w="800" w:type="dxa"/>
            <w:vAlign w:val="bottom"/>
            <w:tcBorders>
              <w:bottom w:val="single" w:sz="8" w:color="7CBD3F"/>
            </w:tcBorders>
          </w:tcPr>
          <w:p>
            <w:pPr>
              <w:jc w:val="right"/>
              <w:spacing w:after="0"/>
              <w:rPr>
                <w:sz w:val="20"/>
                <w:szCs w:val="20"/>
                <w:color w:val="auto"/>
              </w:rPr>
            </w:pPr>
            <w:r>
              <w:rPr>
                <w:rFonts w:ascii="Arial" w:cs="Arial" w:eastAsia="Arial" w:hAnsi="Arial"/>
                <w:sz w:val="14"/>
                <w:szCs w:val="14"/>
                <w:color w:val="auto"/>
              </w:rPr>
              <w:t>5/21/2025</w:t>
            </w:r>
          </w:p>
        </w:tc>
        <w:tc>
          <w:tcPr>
            <w:tcW w:w="120" w:type="dxa"/>
            <w:vAlign w:val="bottom"/>
            <w:tcBorders>
              <w:bottom w:val="single" w:sz="8" w:color="7CBD3F"/>
            </w:tcBorders>
          </w:tcPr>
          <w:p>
            <w:pPr>
              <w:spacing w:after="0"/>
              <w:rPr>
                <w:sz w:val="16"/>
                <w:szCs w:val="16"/>
                <w:color w:val="auto"/>
              </w:rPr>
            </w:pPr>
          </w:p>
        </w:tc>
        <w:tc>
          <w:tcPr>
            <w:tcW w:w="900" w:type="dxa"/>
            <w:vAlign w:val="bottom"/>
            <w:tcBorders>
              <w:bottom w:val="single" w:sz="8" w:color="7CBD3F"/>
            </w:tcBorders>
          </w:tcPr>
          <w:p>
            <w:pPr>
              <w:jc w:val="right"/>
              <w:ind w:right="5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7CBD3F"/>
            </w:tcBorders>
          </w:tcPr>
          <w:p>
            <w:pPr>
              <w:jc w:val="right"/>
              <w:ind w:right="30"/>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7CBD3F"/>
            </w:tcBorders>
          </w:tcPr>
          <w:p>
            <w:pPr>
              <w:jc w:val="right"/>
              <w:ind w:right="50"/>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7CBD3F"/>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680" w:type="dxa"/>
            <w:vAlign w:val="bottom"/>
            <w:tcBorders>
              <w:bottom w:val="single" w:sz="8" w:color="F0F7E7"/>
            </w:tcBorders>
            <w:shd w:val="clear" w:color="auto" w:fill="F0F7E7"/>
          </w:tcPr>
          <w:p>
            <w:pPr>
              <w:ind w:left="40"/>
              <w:spacing w:after="0" w:line="155" w:lineRule="exact"/>
              <w:rPr>
                <w:sz w:val="20"/>
                <w:szCs w:val="20"/>
                <w:color w:val="auto"/>
              </w:rPr>
            </w:pPr>
            <w:r>
              <w:rPr>
                <w:rFonts w:ascii="Arial" w:cs="Arial" w:eastAsia="Arial" w:hAnsi="Arial"/>
                <w:sz w:val="14"/>
                <w:szCs w:val="14"/>
                <w:b w:val="1"/>
                <w:bCs w:val="1"/>
                <w:color w:val="auto"/>
              </w:rPr>
              <w:t>Howard</w:t>
            </w:r>
          </w:p>
        </w:tc>
        <w:tc>
          <w:tcPr>
            <w:tcW w:w="980" w:type="dxa"/>
            <w:vAlign w:val="bottom"/>
            <w:tcBorders>
              <w:bottom w:val="single" w:sz="8" w:color="F0F7E7"/>
            </w:tcBorders>
            <w:shd w:val="clear" w:color="auto" w:fill="F0F7E7"/>
          </w:tcPr>
          <w:p>
            <w:pPr>
              <w:jc w:val="right"/>
              <w:ind w:right="50"/>
              <w:spacing w:after="0" w:line="155" w:lineRule="exact"/>
              <w:rPr>
                <w:sz w:val="20"/>
                <w:szCs w:val="20"/>
                <w:color w:val="auto"/>
              </w:rPr>
            </w:pPr>
            <w:r>
              <w:rPr>
                <w:rFonts w:ascii="Arial" w:cs="Arial" w:eastAsia="Arial" w:hAnsi="Arial"/>
                <w:sz w:val="14"/>
                <w:szCs w:val="14"/>
                <w:color w:val="auto"/>
              </w:rPr>
              <w:t>10/21/2024</w:t>
            </w:r>
          </w:p>
        </w:tc>
        <w:tc>
          <w:tcPr>
            <w:tcW w:w="940" w:type="dxa"/>
            <w:vAlign w:val="bottom"/>
            <w:tcBorders>
              <w:bottom w:val="single" w:sz="8" w:color="F0F7E7"/>
            </w:tcBorders>
            <w:shd w:val="clear" w:color="auto" w:fill="F0F7E7"/>
          </w:tcPr>
          <w:p>
            <w:pPr>
              <w:jc w:val="right"/>
              <w:spacing w:after="0" w:line="155"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F0F7E7"/>
            </w:tcBorders>
            <w:shd w:val="clear" w:color="auto" w:fill="F0F7E7"/>
          </w:tcPr>
          <w:p>
            <w:pPr>
              <w:jc w:val="right"/>
              <w:spacing w:after="0" w:line="155" w:lineRule="exact"/>
              <w:rPr>
                <w:sz w:val="20"/>
                <w:szCs w:val="20"/>
                <w:color w:val="auto"/>
              </w:rPr>
            </w:pPr>
            <w:r>
              <w:rPr>
                <w:rFonts w:ascii="Arial" w:cs="Arial" w:eastAsia="Arial" w:hAnsi="Arial"/>
                <w:sz w:val="14"/>
                <w:szCs w:val="14"/>
                <w:color w:val="auto"/>
              </w:rPr>
              <w:t>—</w:t>
            </w:r>
          </w:p>
        </w:tc>
        <w:tc>
          <w:tcPr>
            <w:tcW w:w="1260" w:type="dxa"/>
            <w:vAlign w:val="bottom"/>
            <w:tcBorders>
              <w:bottom w:val="single" w:sz="8" w:color="F0F7E7"/>
            </w:tcBorders>
            <w:shd w:val="clear" w:color="auto" w:fill="F0F7E7"/>
          </w:tcPr>
          <w:p>
            <w:pPr>
              <w:jc w:val="right"/>
              <w:ind w:right="10"/>
              <w:spacing w:after="0" w:line="155" w:lineRule="exact"/>
              <w:rPr>
                <w:sz w:val="20"/>
                <w:szCs w:val="20"/>
                <w:color w:val="auto"/>
              </w:rPr>
            </w:pPr>
            <w:r>
              <w:rPr>
                <w:rFonts w:ascii="Arial" w:cs="Arial" w:eastAsia="Arial" w:hAnsi="Arial"/>
                <w:sz w:val="14"/>
                <w:szCs w:val="14"/>
                <w:color w:val="auto"/>
              </w:rPr>
              <w:t>22,500</w:t>
            </w:r>
          </w:p>
        </w:tc>
        <w:tc>
          <w:tcPr>
            <w:tcW w:w="700" w:type="dxa"/>
            <w:vAlign w:val="bottom"/>
            <w:tcBorders>
              <w:bottom w:val="single" w:sz="8" w:color="F0F7E7"/>
            </w:tcBorders>
            <w:shd w:val="clear" w:color="auto" w:fill="F0F7E7"/>
          </w:tcPr>
          <w:p>
            <w:pPr>
              <w:jc w:val="right"/>
              <w:spacing w:after="0" w:line="155" w:lineRule="exact"/>
              <w:rPr>
                <w:sz w:val="20"/>
                <w:szCs w:val="20"/>
                <w:color w:val="auto"/>
              </w:rPr>
            </w:pPr>
            <w:r>
              <w:rPr>
                <w:rFonts w:ascii="Arial" w:cs="Arial" w:eastAsia="Arial" w:hAnsi="Arial"/>
                <w:sz w:val="14"/>
                <w:szCs w:val="14"/>
                <w:color w:val="auto"/>
              </w:rPr>
              <w:t>2.31</w:t>
            </w:r>
          </w:p>
        </w:tc>
        <w:tc>
          <w:tcPr>
            <w:tcW w:w="800" w:type="dxa"/>
            <w:vAlign w:val="bottom"/>
            <w:tcBorders>
              <w:bottom w:val="single" w:sz="8" w:color="F0F7E7"/>
            </w:tcBorders>
            <w:shd w:val="clear" w:color="auto" w:fill="F0F7E7"/>
          </w:tcPr>
          <w:p>
            <w:pPr>
              <w:jc w:val="right"/>
              <w:spacing w:after="0" w:line="155" w:lineRule="exact"/>
              <w:rPr>
                <w:sz w:val="20"/>
                <w:szCs w:val="20"/>
                <w:color w:val="auto"/>
              </w:rPr>
            </w:pPr>
            <w:r>
              <w:rPr>
                <w:rFonts w:ascii="Arial" w:cs="Arial" w:eastAsia="Arial" w:hAnsi="Arial"/>
                <w:sz w:val="14"/>
                <w:szCs w:val="14"/>
                <w:color w:val="auto"/>
              </w:rPr>
              <w:t>10/21/2034</w:t>
            </w:r>
          </w:p>
        </w:tc>
        <w:tc>
          <w:tcPr>
            <w:tcW w:w="120" w:type="dxa"/>
            <w:vAlign w:val="bottom"/>
            <w:tcBorders>
              <w:bottom w:val="single" w:sz="8" w:color="F0F7E7"/>
            </w:tcBorders>
            <w:shd w:val="clear" w:color="auto" w:fill="F0F7E7"/>
          </w:tcPr>
          <w:p>
            <w:pPr>
              <w:spacing w:after="0"/>
              <w:rPr>
                <w:sz w:val="13"/>
                <w:szCs w:val="13"/>
                <w:color w:val="auto"/>
              </w:rPr>
            </w:pPr>
          </w:p>
        </w:tc>
        <w:tc>
          <w:tcPr>
            <w:tcW w:w="900" w:type="dxa"/>
            <w:vAlign w:val="bottom"/>
            <w:tcBorders>
              <w:bottom w:val="single" w:sz="8" w:color="F0F7E7"/>
            </w:tcBorders>
            <w:shd w:val="clear" w:color="auto" w:fill="F0F7E7"/>
          </w:tcPr>
          <w:p>
            <w:pPr>
              <w:jc w:val="right"/>
              <w:ind w:right="50"/>
              <w:spacing w:after="0" w:line="155"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F0F7E7"/>
            </w:tcBorders>
            <w:shd w:val="clear" w:color="auto" w:fill="F0F7E7"/>
          </w:tcPr>
          <w:p>
            <w:pPr>
              <w:jc w:val="right"/>
              <w:ind w:right="30"/>
              <w:spacing w:after="0" w:line="155" w:lineRule="exact"/>
              <w:rPr>
                <w:sz w:val="20"/>
                <w:szCs w:val="20"/>
                <w:color w:val="auto"/>
              </w:rPr>
            </w:pPr>
            <w:r>
              <w:rPr>
                <w:rFonts w:ascii="Arial" w:cs="Arial" w:eastAsia="Arial" w:hAnsi="Arial"/>
                <w:sz w:val="14"/>
                <w:szCs w:val="14"/>
                <w:color w:val="auto"/>
              </w:rPr>
              <w:t>—</w:t>
            </w:r>
          </w:p>
        </w:tc>
        <w:tc>
          <w:tcPr>
            <w:tcW w:w="1360" w:type="dxa"/>
            <w:vAlign w:val="bottom"/>
            <w:tcBorders>
              <w:bottom w:val="single" w:sz="8" w:color="F0F7E7"/>
            </w:tcBorders>
            <w:shd w:val="clear" w:color="auto" w:fill="F0F7E7"/>
          </w:tcPr>
          <w:p>
            <w:pPr>
              <w:jc w:val="right"/>
              <w:ind w:right="50"/>
              <w:spacing w:after="0" w:line="155" w:lineRule="exact"/>
              <w:rPr>
                <w:sz w:val="20"/>
                <w:szCs w:val="20"/>
                <w:color w:val="auto"/>
              </w:rPr>
            </w:pPr>
            <w:r>
              <w:rPr>
                <w:rFonts w:ascii="Arial" w:cs="Arial" w:eastAsia="Arial" w:hAnsi="Arial"/>
                <w:sz w:val="14"/>
                <w:szCs w:val="14"/>
                <w:color w:val="auto"/>
              </w:rPr>
              <w:t>—</w:t>
            </w:r>
          </w:p>
        </w:tc>
        <w:tc>
          <w:tcPr>
            <w:tcW w:w="1600" w:type="dxa"/>
            <w:vAlign w:val="bottom"/>
            <w:tcBorders>
              <w:bottom w:val="single" w:sz="8" w:color="F0F7E7"/>
            </w:tcBorders>
            <w:shd w:val="clear" w:color="auto" w:fill="F0F7E7"/>
          </w:tcPr>
          <w:p>
            <w:pPr>
              <w:jc w:val="right"/>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680" w:type="dxa"/>
            <w:vAlign w:val="bottom"/>
            <w:shd w:val="clear" w:color="auto" w:fill="F0F7E7"/>
          </w:tcPr>
          <w:p>
            <w:pPr>
              <w:ind w:left="40"/>
              <w:spacing w:after="0"/>
              <w:rPr>
                <w:sz w:val="20"/>
                <w:szCs w:val="20"/>
                <w:color w:val="auto"/>
              </w:rPr>
            </w:pPr>
            <w:r>
              <w:rPr>
                <w:rFonts w:ascii="Arial" w:cs="Arial" w:eastAsia="Arial" w:hAnsi="Arial"/>
                <w:sz w:val="14"/>
                <w:szCs w:val="14"/>
                <w:b w:val="1"/>
                <w:bCs w:val="1"/>
                <w:color w:val="auto"/>
              </w:rPr>
              <w:t>Horn</w:t>
            </w:r>
          </w:p>
        </w:tc>
        <w:tc>
          <w:tcPr>
            <w:tcW w:w="980" w:type="dxa"/>
            <w:vAlign w:val="bottom"/>
          </w:tcPr>
          <w:p>
            <w:pPr>
              <w:jc w:val="right"/>
              <w:ind w:right="50"/>
              <w:spacing w:after="0"/>
              <w:rPr>
                <w:sz w:val="20"/>
                <w:szCs w:val="20"/>
                <w:color w:val="auto"/>
              </w:rPr>
            </w:pPr>
            <w:r>
              <w:rPr>
                <w:rFonts w:ascii="Arial" w:cs="Arial" w:eastAsia="Arial" w:hAnsi="Arial"/>
                <w:sz w:val="14"/>
                <w:szCs w:val="14"/>
                <w:color w:val="auto"/>
              </w:rPr>
              <w:t>3/1/2024</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34,200</w:t>
            </w:r>
          </w:p>
        </w:tc>
        <w:tc>
          <w:tcPr>
            <w:tcW w:w="126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53.69</w:t>
            </w:r>
          </w:p>
        </w:tc>
        <w:tc>
          <w:tcPr>
            <w:tcW w:w="800" w:type="dxa"/>
            <w:vAlign w:val="bottom"/>
          </w:tcPr>
          <w:p>
            <w:pPr>
              <w:jc w:val="right"/>
              <w:spacing w:after="0"/>
              <w:rPr>
                <w:sz w:val="20"/>
                <w:szCs w:val="20"/>
                <w:color w:val="auto"/>
              </w:rPr>
            </w:pPr>
            <w:r>
              <w:rPr>
                <w:rFonts w:ascii="Arial" w:cs="Arial" w:eastAsia="Arial" w:hAnsi="Arial"/>
                <w:sz w:val="14"/>
                <w:szCs w:val="14"/>
                <w:color w:val="auto"/>
              </w:rPr>
              <w:t>3/1/2034</w:t>
            </w:r>
          </w:p>
        </w:tc>
        <w:tc>
          <w:tcPr>
            <w:tcW w:w="120" w:type="dxa"/>
            <w:vAlign w:val="bottom"/>
          </w:tcPr>
          <w:p>
            <w:pPr>
              <w:spacing w:after="0"/>
              <w:rPr>
                <w:sz w:val="16"/>
                <w:szCs w:val="16"/>
                <w:color w:val="auto"/>
              </w:rPr>
            </w:pPr>
          </w:p>
        </w:tc>
        <w:tc>
          <w:tcPr>
            <w:tcW w:w="900" w:type="dxa"/>
            <w:vAlign w:val="bottom"/>
          </w:tcPr>
          <w:p>
            <w:pPr>
              <w:jc w:val="right"/>
              <w:ind w:right="50"/>
              <w:spacing w:after="0"/>
              <w:rPr>
                <w:sz w:val="20"/>
                <w:szCs w:val="20"/>
                <w:color w:val="auto"/>
              </w:rPr>
            </w:pPr>
            <w:r>
              <w:rPr>
                <w:rFonts w:ascii="Arial" w:cs="Arial" w:eastAsia="Arial" w:hAnsi="Arial"/>
                <w:sz w:val="14"/>
                <w:szCs w:val="14"/>
                <w:color w:val="auto"/>
              </w:rPr>
              <w:t>19,400</w:t>
            </w:r>
          </w:p>
        </w:tc>
        <w:tc>
          <w:tcPr>
            <w:tcW w:w="920" w:type="dxa"/>
            <w:vAlign w:val="bottom"/>
          </w:tcPr>
          <w:p>
            <w:pPr>
              <w:jc w:val="right"/>
              <w:ind w:right="30"/>
              <w:spacing w:after="0"/>
              <w:rPr>
                <w:sz w:val="20"/>
                <w:szCs w:val="20"/>
                <w:color w:val="auto"/>
              </w:rPr>
            </w:pPr>
            <w:r>
              <w:rPr>
                <w:rFonts w:ascii="Arial" w:cs="Arial" w:eastAsia="Arial" w:hAnsi="Arial"/>
                <w:sz w:val="14"/>
                <w:szCs w:val="14"/>
                <w:color w:val="auto"/>
              </w:rPr>
              <w:t>816,158</w:t>
            </w:r>
          </w:p>
        </w:tc>
        <w:tc>
          <w:tcPr>
            <w:tcW w:w="1360" w:type="dxa"/>
            <w:vAlign w:val="bottom"/>
          </w:tcPr>
          <w:p>
            <w:pPr>
              <w:jc w:val="right"/>
              <w:ind w:right="50"/>
              <w:spacing w:after="0"/>
              <w:rPr>
                <w:sz w:val="20"/>
                <w:szCs w:val="20"/>
                <w:color w:val="auto"/>
              </w:rPr>
            </w:pPr>
            <w:r>
              <w:rPr>
                <w:rFonts w:ascii="Arial" w:cs="Arial" w:eastAsia="Arial" w:hAnsi="Arial"/>
                <w:sz w:val="14"/>
                <w:szCs w:val="14"/>
                <w:color w:val="auto"/>
              </w:rPr>
              <w:t>19,400</w:t>
            </w:r>
          </w:p>
        </w:tc>
        <w:tc>
          <w:tcPr>
            <w:tcW w:w="1600" w:type="dxa"/>
            <w:vAlign w:val="bottom"/>
          </w:tcPr>
          <w:p>
            <w:pPr>
              <w:jc w:val="right"/>
              <w:spacing w:after="0"/>
              <w:rPr>
                <w:sz w:val="20"/>
                <w:szCs w:val="20"/>
                <w:color w:val="auto"/>
              </w:rPr>
            </w:pPr>
            <w:r>
              <w:rPr>
                <w:rFonts w:ascii="Arial" w:cs="Arial" w:eastAsia="Arial" w:hAnsi="Arial"/>
                <w:sz w:val="14"/>
                <w:szCs w:val="14"/>
                <w:color w:val="auto"/>
              </w:rPr>
              <w:t>816,158</w:t>
            </w:r>
          </w:p>
        </w:tc>
        <w:tc>
          <w:tcPr>
            <w:tcW w:w="0" w:type="dxa"/>
            <w:vAlign w:val="bottom"/>
          </w:tcPr>
          <w:p>
            <w:pPr>
              <w:spacing w:after="0"/>
              <w:rPr>
                <w:sz w:val="1"/>
                <w:szCs w:val="1"/>
                <w:color w:val="auto"/>
              </w:rPr>
            </w:pPr>
          </w:p>
        </w:tc>
      </w:tr>
      <w:tr>
        <w:trPr>
          <w:trHeight w:val="187"/>
        </w:trPr>
        <w:tc>
          <w:tcPr>
            <w:tcW w:w="680" w:type="dxa"/>
            <w:vAlign w:val="bottom"/>
            <w:tcBorders>
              <w:bottom w:val="single" w:sz="8" w:color="7CBD3F"/>
            </w:tcBorders>
            <w:shd w:val="clear" w:color="auto" w:fill="F0F7E7"/>
          </w:tcPr>
          <w:p>
            <w:pPr>
              <w:spacing w:after="0"/>
              <w:rPr>
                <w:sz w:val="16"/>
                <w:szCs w:val="16"/>
                <w:color w:val="auto"/>
              </w:rPr>
            </w:pPr>
          </w:p>
        </w:tc>
        <w:tc>
          <w:tcPr>
            <w:tcW w:w="980" w:type="dxa"/>
            <w:vAlign w:val="bottom"/>
            <w:tcBorders>
              <w:bottom w:val="single" w:sz="8" w:color="7CBD3F"/>
            </w:tcBorders>
            <w:shd w:val="clear" w:color="auto" w:fill="F0F7E7"/>
          </w:tcPr>
          <w:p>
            <w:pPr>
              <w:jc w:val="right"/>
              <w:ind w:right="50"/>
              <w:spacing w:after="0"/>
              <w:rPr>
                <w:sz w:val="20"/>
                <w:szCs w:val="20"/>
                <w:color w:val="auto"/>
              </w:rPr>
            </w:pPr>
            <w:r>
              <w:rPr>
                <w:rFonts w:ascii="Arial" w:cs="Arial" w:eastAsia="Arial" w:hAnsi="Arial"/>
                <w:sz w:val="14"/>
                <w:szCs w:val="14"/>
                <w:color w:val="auto"/>
              </w:rPr>
              <w:t>10/9/2023</w:t>
            </w:r>
          </w:p>
        </w:tc>
        <w:tc>
          <w:tcPr>
            <w:tcW w:w="940" w:type="dxa"/>
            <w:vAlign w:val="bottom"/>
            <w:tcBorders>
              <w:bottom w:val="single" w:sz="8" w:color="7CBD3F"/>
            </w:tcBorders>
            <w:shd w:val="clear" w:color="auto" w:fill="F0F7E7"/>
          </w:tcPr>
          <w:p>
            <w:pPr>
              <w:jc w:val="right"/>
              <w:spacing w:after="0"/>
              <w:rPr>
                <w:sz w:val="20"/>
                <w:szCs w:val="20"/>
                <w:color w:val="auto"/>
              </w:rPr>
            </w:pPr>
            <w:r>
              <w:rPr>
                <w:rFonts w:ascii="Arial" w:cs="Arial" w:eastAsia="Arial" w:hAnsi="Arial"/>
                <w:sz w:val="14"/>
                <w:szCs w:val="14"/>
                <w:color w:val="auto"/>
              </w:rPr>
              <w:t>40,971</w:t>
            </w:r>
          </w:p>
        </w:tc>
        <w:tc>
          <w:tcPr>
            <w:tcW w:w="1080" w:type="dxa"/>
            <w:vAlign w:val="bottom"/>
            <w:tcBorders>
              <w:bottom w:val="single" w:sz="8" w:color="7CBD3F"/>
            </w:tcBorders>
            <w:shd w:val="clear" w:color="auto" w:fill="F0F7E7"/>
          </w:tcPr>
          <w:p>
            <w:pPr>
              <w:jc w:val="right"/>
              <w:spacing w:after="0"/>
              <w:rPr>
                <w:sz w:val="20"/>
                <w:szCs w:val="20"/>
                <w:color w:val="auto"/>
              </w:rPr>
            </w:pPr>
            <w:r>
              <w:rPr>
                <w:rFonts w:ascii="Arial" w:cs="Arial" w:eastAsia="Arial" w:hAnsi="Arial"/>
                <w:sz w:val="14"/>
                <w:szCs w:val="14"/>
                <w:color w:val="auto"/>
              </w:rPr>
              <w:t>99,498</w:t>
            </w:r>
          </w:p>
        </w:tc>
        <w:tc>
          <w:tcPr>
            <w:tcW w:w="1260" w:type="dxa"/>
            <w:vAlign w:val="bottom"/>
            <w:tcBorders>
              <w:bottom w:val="single" w:sz="8" w:color="7CBD3F"/>
            </w:tcBorders>
            <w:shd w:val="clear" w:color="auto" w:fill="F0F7E7"/>
          </w:tcPr>
          <w:p>
            <w:pPr>
              <w:jc w:val="right"/>
              <w:ind w:right="1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7CBD3F"/>
            </w:tcBorders>
            <w:shd w:val="clear" w:color="auto" w:fill="F0F7E7"/>
          </w:tcPr>
          <w:p>
            <w:pPr>
              <w:jc w:val="right"/>
              <w:spacing w:after="0"/>
              <w:rPr>
                <w:sz w:val="20"/>
                <w:szCs w:val="20"/>
                <w:color w:val="auto"/>
              </w:rPr>
            </w:pPr>
            <w:r>
              <w:rPr>
                <w:rFonts w:ascii="Arial" w:cs="Arial" w:eastAsia="Arial" w:hAnsi="Arial"/>
                <w:sz w:val="14"/>
                <w:szCs w:val="14"/>
                <w:color w:val="auto"/>
              </w:rPr>
              <w:t>35.68</w:t>
            </w:r>
          </w:p>
        </w:tc>
        <w:tc>
          <w:tcPr>
            <w:tcW w:w="800" w:type="dxa"/>
            <w:vAlign w:val="bottom"/>
            <w:tcBorders>
              <w:bottom w:val="single" w:sz="8" w:color="7CBD3F"/>
            </w:tcBorders>
            <w:shd w:val="clear" w:color="auto" w:fill="F0F7E7"/>
          </w:tcPr>
          <w:p>
            <w:pPr>
              <w:jc w:val="right"/>
              <w:spacing w:after="0"/>
              <w:rPr>
                <w:sz w:val="20"/>
                <w:szCs w:val="20"/>
                <w:color w:val="auto"/>
              </w:rPr>
            </w:pPr>
            <w:r>
              <w:rPr>
                <w:rFonts w:ascii="Arial" w:cs="Arial" w:eastAsia="Arial" w:hAnsi="Arial"/>
                <w:sz w:val="14"/>
                <w:szCs w:val="14"/>
                <w:color w:val="auto"/>
              </w:rPr>
              <w:t>10/9/2033</w:t>
            </w:r>
          </w:p>
        </w:tc>
        <w:tc>
          <w:tcPr>
            <w:tcW w:w="120" w:type="dxa"/>
            <w:vAlign w:val="bottom"/>
            <w:tcBorders>
              <w:bottom w:val="single" w:sz="8" w:color="7CBD3F"/>
            </w:tcBorders>
            <w:shd w:val="clear" w:color="auto" w:fill="F0F7E7"/>
          </w:tcPr>
          <w:p>
            <w:pPr>
              <w:spacing w:after="0"/>
              <w:rPr>
                <w:sz w:val="16"/>
                <w:szCs w:val="16"/>
                <w:color w:val="auto"/>
              </w:rPr>
            </w:pPr>
          </w:p>
        </w:tc>
        <w:tc>
          <w:tcPr>
            <w:tcW w:w="900" w:type="dxa"/>
            <w:vAlign w:val="bottom"/>
            <w:tcBorders>
              <w:bottom w:val="single" w:sz="8" w:color="7CBD3F"/>
            </w:tcBorders>
            <w:shd w:val="clear" w:color="auto" w:fill="F0F7E7"/>
          </w:tcPr>
          <w:p>
            <w:pPr>
              <w:jc w:val="right"/>
              <w:ind w:right="50"/>
              <w:spacing w:after="0"/>
              <w:rPr>
                <w:sz w:val="20"/>
                <w:szCs w:val="20"/>
                <w:color w:val="auto"/>
              </w:rPr>
            </w:pPr>
            <w:r>
              <w:rPr>
                <w:rFonts w:ascii="Arial" w:cs="Arial" w:eastAsia="Arial" w:hAnsi="Arial"/>
                <w:sz w:val="14"/>
                <w:szCs w:val="14"/>
                <w:color w:val="auto"/>
              </w:rPr>
              <w:t>60,274</w:t>
            </w:r>
          </w:p>
        </w:tc>
        <w:tc>
          <w:tcPr>
            <w:tcW w:w="920" w:type="dxa"/>
            <w:vAlign w:val="bottom"/>
            <w:tcBorders>
              <w:bottom w:val="single" w:sz="8" w:color="7CBD3F"/>
            </w:tcBorders>
            <w:shd w:val="clear" w:color="auto" w:fill="F0F7E7"/>
          </w:tcPr>
          <w:p>
            <w:pPr>
              <w:jc w:val="right"/>
              <w:ind w:right="30"/>
              <w:spacing w:after="0"/>
              <w:rPr>
                <w:sz w:val="20"/>
                <w:szCs w:val="20"/>
                <w:color w:val="auto"/>
              </w:rPr>
            </w:pPr>
            <w:r>
              <w:rPr>
                <w:rFonts w:ascii="Arial" w:cs="Arial" w:eastAsia="Arial" w:hAnsi="Arial"/>
                <w:sz w:val="14"/>
                <w:szCs w:val="14"/>
                <w:color w:val="auto"/>
              </w:rPr>
              <w:t>2,535,727</w:t>
            </w:r>
          </w:p>
        </w:tc>
        <w:tc>
          <w:tcPr>
            <w:tcW w:w="1360" w:type="dxa"/>
            <w:vAlign w:val="bottom"/>
            <w:tcBorders>
              <w:bottom w:val="single" w:sz="8" w:color="7CBD3F"/>
            </w:tcBorders>
            <w:shd w:val="clear" w:color="auto" w:fill="F0F7E7"/>
          </w:tcPr>
          <w:p>
            <w:pPr>
              <w:jc w:val="right"/>
              <w:ind w:right="50"/>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7CBD3F"/>
            </w:tcBorders>
            <w:shd w:val="clear" w:color="auto" w:fill="F0F7E7"/>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680" w:type="dxa"/>
            <w:vAlign w:val="bottom"/>
          </w:tcPr>
          <w:p>
            <w:pPr>
              <w:ind w:left="40"/>
              <w:spacing w:after="0" w:line="155" w:lineRule="exact"/>
              <w:rPr>
                <w:sz w:val="20"/>
                <w:szCs w:val="20"/>
                <w:color w:val="auto"/>
              </w:rPr>
            </w:pPr>
            <w:r>
              <w:rPr>
                <w:rFonts w:ascii="Arial" w:cs="Arial" w:eastAsia="Arial" w:hAnsi="Arial"/>
                <w:sz w:val="14"/>
                <w:szCs w:val="14"/>
                <w:b w:val="1"/>
                <w:bCs w:val="1"/>
                <w:color w:val="auto"/>
              </w:rPr>
              <w:t>Erik</w:t>
            </w:r>
          </w:p>
        </w:tc>
        <w:tc>
          <w:tcPr>
            <w:tcW w:w="980" w:type="dxa"/>
            <w:vAlign w:val="bottom"/>
          </w:tcPr>
          <w:p>
            <w:pPr>
              <w:jc w:val="right"/>
              <w:ind w:right="50"/>
              <w:spacing w:after="0" w:line="155" w:lineRule="exact"/>
              <w:rPr>
                <w:sz w:val="20"/>
                <w:szCs w:val="20"/>
                <w:color w:val="auto"/>
              </w:rPr>
            </w:pPr>
            <w:r>
              <w:rPr>
                <w:rFonts w:ascii="Arial" w:cs="Arial" w:eastAsia="Arial" w:hAnsi="Arial"/>
                <w:sz w:val="14"/>
                <w:szCs w:val="14"/>
                <w:color w:val="auto"/>
              </w:rPr>
              <w:t>3/1/2024</w:t>
            </w:r>
          </w:p>
        </w:tc>
        <w:tc>
          <w:tcPr>
            <w:tcW w:w="94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080" w:type="dxa"/>
            <w:vAlign w:val="bottom"/>
          </w:tcPr>
          <w:p>
            <w:pPr>
              <w:jc w:val="right"/>
              <w:spacing w:after="0" w:line="155" w:lineRule="exact"/>
              <w:rPr>
                <w:sz w:val="20"/>
                <w:szCs w:val="20"/>
                <w:color w:val="auto"/>
              </w:rPr>
            </w:pPr>
            <w:r>
              <w:rPr>
                <w:rFonts w:ascii="Arial" w:cs="Arial" w:eastAsia="Arial" w:hAnsi="Arial"/>
                <w:sz w:val="14"/>
                <w:szCs w:val="14"/>
                <w:color w:val="auto"/>
              </w:rPr>
              <w:t>34,200</w:t>
            </w:r>
          </w:p>
        </w:tc>
        <w:tc>
          <w:tcPr>
            <w:tcW w:w="1260" w:type="dxa"/>
            <w:vAlign w:val="bottom"/>
          </w:tcPr>
          <w:p>
            <w:pPr>
              <w:jc w:val="right"/>
              <w:ind w:right="10"/>
              <w:spacing w:after="0" w:line="155"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53.69</w:t>
            </w:r>
          </w:p>
        </w:tc>
        <w:tc>
          <w:tcPr>
            <w:tcW w:w="800" w:type="dxa"/>
            <w:vAlign w:val="bottom"/>
          </w:tcPr>
          <w:p>
            <w:pPr>
              <w:jc w:val="right"/>
              <w:spacing w:after="0" w:line="155" w:lineRule="exact"/>
              <w:rPr>
                <w:sz w:val="20"/>
                <w:szCs w:val="20"/>
                <w:color w:val="auto"/>
              </w:rPr>
            </w:pPr>
            <w:r>
              <w:rPr>
                <w:rFonts w:ascii="Arial" w:cs="Arial" w:eastAsia="Arial" w:hAnsi="Arial"/>
                <w:sz w:val="14"/>
                <w:szCs w:val="14"/>
                <w:color w:val="auto"/>
              </w:rPr>
              <w:t>3/1/2034</w:t>
            </w:r>
          </w:p>
        </w:tc>
        <w:tc>
          <w:tcPr>
            <w:tcW w:w="120" w:type="dxa"/>
            <w:vAlign w:val="bottom"/>
          </w:tcPr>
          <w:p>
            <w:pPr>
              <w:spacing w:after="0"/>
              <w:rPr>
                <w:sz w:val="13"/>
                <w:szCs w:val="13"/>
                <w:color w:val="auto"/>
              </w:rPr>
            </w:pPr>
          </w:p>
        </w:tc>
        <w:tc>
          <w:tcPr>
            <w:tcW w:w="900" w:type="dxa"/>
            <w:vAlign w:val="bottom"/>
          </w:tcPr>
          <w:p>
            <w:pPr>
              <w:jc w:val="right"/>
              <w:ind w:right="50"/>
              <w:spacing w:after="0" w:line="155" w:lineRule="exact"/>
              <w:rPr>
                <w:sz w:val="20"/>
                <w:szCs w:val="20"/>
                <w:color w:val="auto"/>
              </w:rPr>
            </w:pPr>
            <w:r>
              <w:rPr>
                <w:rFonts w:ascii="Arial" w:cs="Arial" w:eastAsia="Arial" w:hAnsi="Arial"/>
                <w:sz w:val="14"/>
                <w:szCs w:val="14"/>
                <w:color w:val="auto"/>
              </w:rPr>
              <w:t>19,400</w:t>
            </w:r>
          </w:p>
        </w:tc>
        <w:tc>
          <w:tcPr>
            <w:tcW w:w="920" w:type="dxa"/>
            <w:vAlign w:val="bottom"/>
          </w:tcPr>
          <w:p>
            <w:pPr>
              <w:jc w:val="right"/>
              <w:ind w:right="30"/>
              <w:spacing w:after="0" w:line="155" w:lineRule="exact"/>
              <w:rPr>
                <w:sz w:val="20"/>
                <w:szCs w:val="20"/>
                <w:color w:val="auto"/>
              </w:rPr>
            </w:pPr>
            <w:r>
              <w:rPr>
                <w:rFonts w:ascii="Arial" w:cs="Arial" w:eastAsia="Arial" w:hAnsi="Arial"/>
                <w:sz w:val="14"/>
                <w:szCs w:val="14"/>
                <w:color w:val="auto"/>
              </w:rPr>
              <w:t>816,158</w:t>
            </w:r>
          </w:p>
        </w:tc>
        <w:tc>
          <w:tcPr>
            <w:tcW w:w="1360" w:type="dxa"/>
            <w:vAlign w:val="bottom"/>
          </w:tcPr>
          <w:p>
            <w:pPr>
              <w:jc w:val="right"/>
              <w:ind w:right="50"/>
              <w:spacing w:after="0" w:line="155" w:lineRule="exact"/>
              <w:rPr>
                <w:sz w:val="20"/>
                <w:szCs w:val="20"/>
                <w:color w:val="auto"/>
              </w:rPr>
            </w:pPr>
            <w:r>
              <w:rPr>
                <w:rFonts w:ascii="Arial" w:cs="Arial" w:eastAsia="Arial" w:hAnsi="Arial"/>
                <w:sz w:val="14"/>
                <w:szCs w:val="14"/>
                <w:color w:val="auto"/>
              </w:rPr>
              <w:t>19,400</w:t>
            </w:r>
          </w:p>
        </w:tc>
        <w:tc>
          <w:tcPr>
            <w:tcW w:w="1600" w:type="dxa"/>
            <w:vAlign w:val="bottom"/>
          </w:tcPr>
          <w:p>
            <w:pPr>
              <w:jc w:val="right"/>
              <w:spacing w:after="0" w:line="155" w:lineRule="exact"/>
              <w:rPr>
                <w:sz w:val="20"/>
                <w:szCs w:val="20"/>
                <w:color w:val="auto"/>
              </w:rPr>
            </w:pPr>
            <w:r>
              <w:rPr>
                <w:rFonts w:ascii="Arial" w:cs="Arial" w:eastAsia="Arial" w:hAnsi="Arial"/>
                <w:sz w:val="14"/>
                <w:szCs w:val="14"/>
                <w:color w:val="auto"/>
              </w:rPr>
              <w:t>816,158</w:t>
            </w:r>
          </w:p>
        </w:tc>
        <w:tc>
          <w:tcPr>
            <w:tcW w:w="0" w:type="dxa"/>
            <w:vAlign w:val="bottom"/>
          </w:tcPr>
          <w:p>
            <w:pPr>
              <w:spacing w:after="0"/>
              <w:rPr>
                <w:sz w:val="1"/>
                <w:szCs w:val="1"/>
                <w:color w:val="auto"/>
              </w:rPr>
            </w:pPr>
          </w:p>
        </w:tc>
      </w:tr>
      <w:tr>
        <w:trPr>
          <w:trHeight w:val="24"/>
        </w:trPr>
        <w:tc>
          <w:tcPr>
            <w:tcW w:w="6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Harris</w:t>
            </w:r>
          </w:p>
        </w:tc>
        <w:tc>
          <w:tcPr>
            <w:tcW w:w="9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680" w:type="dxa"/>
            <w:vAlign w:val="bottom"/>
            <w:vMerge w:val="continue"/>
          </w:tcPr>
          <w:p>
            <w:pPr>
              <w:spacing w:after="0"/>
              <w:rPr>
                <w:sz w:val="16"/>
                <w:szCs w:val="16"/>
                <w:color w:val="auto"/>
              </w:rPr>
            </w:pPr>
          </w:p>
        </w:tc>
        <w:tc>
          <w:tcPr>
            <w:tcW w:w="980" w:type="dxa"/>
            <w:vAlign w:val="bottom"/>
            <w:shd w:val="clear" w:color="auto" w:fill="F0F7E7"/>
          </w:tcPr>
          <w:p>
            <w:pPr>
              <w:jc w:val="right"/>
              <w:ind w:right="50"/>
              <w:spacing w:after="0"/>
              <w:rPr>
                <w:sz w:val="20"/>
                <w:szCs w:val="20"/>
                <w:color w:val="auto"/>
              </w:rPr>
            </w:pPr>
            <w:r>
              <w:rPr>
                <w:rFonts w:ascii="Arial" w:cs="Arial" w:eastAsia="Arial" w:hAnsi="Arial"/>
                <w:sz w:val="14"/>
                <w:szCs w:val="14"/>
                <w:color w:val="auto"/>
              </w:rPr>
              <w:t>3/1/2023</w:t>
            </w:r>
          </w:p>
        </w:tc>
        <w:tc>
          <w:tcPr>
            <w:tcW w:w="940" w:type="dxa"/>
            <w:vAlign w:val="bottom"/>
            <w:shd w:val="clear" w:color="auto" w:fill="F0F7E7"/>
          </w:tcPr>
          <w:p>
            <w:pPr>
              <w:jc w:val="right"/>
              <w:spacing w:after="0"/>
              <w:rPr>
                <w:sz w:val="20"/>
                <w:szCs w:val="20"/>
                <w:color w:val="auto"/>
              </w:rPr>
            </w:pPr>
            <w:r>
              <w:rPr>
                <w:rFonts w:ascii="Arial" w:cs="Arial" w:eastAsia="Arial" w:hAnsi="Arial"/>
                <w:sz w:val="14"/>
                <w:szCs w:val="14"/>
                <w:color w:val="auto"/>
              </w:rPr>
              <w:t>17,238</w:t>
            </w:r>
          </w:p>
        </w:tc>
        <w:tc>
          <w:tcPr>
            <w:tcW w:w="1080" w:type="dxa"/>
            <w:vAlign w:val="bottom"/>
            <w:shd w:val="clear" w:color="auto" w:fill="F0F7E7"/>
          </w:tcPr>
          <w:p>
            <w:pPr>
              <w:jc w:val="right"/>
              <w:spacing w:after="0"/>
              <w:rPr>
                <w:sz w:val="20"/>
                <w:szCs w:val="20"/>
                <w:color w:val="auto"/>
              </w:rPr>
            </w:pPr>
            <w:r>
              <w:rPr>
                <w:rFonts w:ascii="Arial" w:cs="Arial" w:eastAsia="Arial" w:hAnsi="Arial"/>
                <w:sz w:val="14"/>
                <w:szCs w:val="14"/>
                <w:color w:val="auto"/>
              </w:rPr>
              <w:t>22,162</w:t>
            </w:r>
          </w:p>
        </w:tc>
        <w:tc>
          <w:tcPr>
            <w:tcW w:w="1260" w:type="dxa"/>
            <w:vAlign w:val="bottom"/>
            <w:shd w:val="clear" w:color="auto" w:fill="F0F7E7"/>
          </w:tcPr>
          <w:p>
            <w:pPr>
              <w:jc w:val="right"/>
              <w:ind w:right="10"/>
              <w:spacing w:after="0"/>
              <w:rPr>
                <w:sz w:val="20"/>
                <w:szCs w:val="20"/>
                <w:color w:val="auto"/>
              </w:rPr>
            </w:pPr>
            <w:r>
              <w:rPr>
                <w:rFonts w:ascii="Arial" w:cs="Arial" w:eastAsia="Arial" w:hAnsi="Arial"/>
                <w:sz w:val="14"/>
                <w:szCs w:val="14"/>
                <w:color w:val="auto"/>
              </w:rPr>
              <w:t>—</w:t>
            </w:r>
          </w:p>
        </w:tc>
        <w:tc>
          <w:tcPr>
            <w:tcW w:w="700" w:type="dxa"/>
            <w:vAlign w:val="bottom"/>
            <w:shd w:val="clear" w:color="auto" w:fill="F0F7E7"/>
          </w:tcPr>
          <w:p>
            <w:pPr>
              <w:jc w:val="right"/>
              <w:spacing w:after="0"/>
              <w:rPr>
                <w:sz w:val="20"/>
                <w:szCs w:val="20"/>
                <w:color w:val="auto"/>
              </w:rPr>
            </w:pPr>
            <w:r>
              <w:rPr>
                <w:rFonts w:ascii="Arial" w:cs="Arial" w:eastAsia="Arial" w:hAnsi="Arial"/>
                <w:sz w:val="14"/>
                <w:szCs w:val="14"/>
                <w:color w:val="auto"/>
              </w:rPr>
              <w:t>45.65</w:t>
            </w:r>
          </w:p>
        </w:tc>
        <w:tc>
          <w:tcPr>
            <w:tcW w:w="800" w:type="dxa"/>
            <w:vAlign w:val="bottom"/>
            <w:shd w:val="clear" w:color="auto" w:fill="F0F7E7"/>
          </w:tcPr>
          <w:p>
            <w:pPr>
              <w:jc w:val="right"/>
              <w:spacing w:after="0"/>
              <w:rPr>
                <w:sz w:val="20"/>
                <w:szCs w:val="20"/>
                <w:color w:val="auto"/>
              </w:rPr>
            </w:pPr>
            <w:r>
              <w:rPr>
                <w:rFonts w:ascii="Arial" w:cs="Arial" w:eastAsia="Arial" w:hAnsi="Arial"/>
                <w:sz w:val="14"/>
                <w:szCs w:val="14"/>
                <w:color w:val="auto"/>
              </w:rPr>
              <w:t>3/1/2033</w:t>
            </w:r>
          </w:p>
        </w:tc>
        <w:tc>
          <w:tcPr>
            <w:tcW w:w="120" w:type="dxa"/>
            <w:vAlign w:val="bottom"/>
            <w:shd w:val="clear" w:color="auto" w:fill="F0F7E7"/>
          </w:tcPr>
          <w:p>
            <w:pPr>
              <w:spacing w:after="0"/>
              <w:rPr>
                <w:sz w:val="16"/>
                <w:szCs w:val="16"/>
                <w:color w:val="auto"/>
              </w:rPr>
            </w:pPr>
          </w:p>
        </w:tc>
        <w:tc>
          <w:tcPr>
            <w:tcW w:w="900" w:type="dxa"/>
            <w:vAlign w:val="bottom"/>
            <w:shd w:val="clear" w:color="auto" w:fill="F0F7E7"/>
          </w:tcPr>
          <w:p>
            <w:pPr>
              <w:jc w:val="right"/>
              <w:ind w:right="50"/>
              <w:spacing w:after="0"/>
              <w:rPr>
                <w:sz w:val="20"/>
                <w:szCs w:val="20"/>
                <w:color w:val="auto"/>
              </w:rPr>
            </w:pPr>
            <w:r>
              <w:rPr>
                <w:rFonts w:ascii="Arial" w:cs="Arial" w:eastAsia="Arial" w:hAnsi="Arial"/>
                <w:sz w:val="14"/>
                <w:szCs w:val="14"/>
                <w:color w:val="auto"/>
              </w:rPr>
              <w:t>31,471</w:t>
            </w:r>
          </w:p>
        </w:tc>
        <w:tc>
          <w:tcPr>
            <w:tcW w:w="920" w:type="dxa"/>
            <w:vAlign w:val="bottom"/>
            <w:shd w:val="clear" w:color="auto" w:fill="F0F7E7"/>
          </w:tcPr>
          <w:p>
            <w:pPr>
              <w:jc w:val="right"/>
              <w:ind w:right="30"/>
              <w:spacing w:after="0"/>
              <w:rPr>
                <w:sz w:val="20"/>
                <w:szCs w:val="20"/>
                <w:color w:val="auto"/>
              </w:rPr>
            </w:pPr>
            <w:r>
              <w:rPr>
                <w:rFonts w:ascii="Arial" w:cs="Arial" w:eastAsia="Arial" w:hAnsi="Arial"/>
                <w:sz w:val="14"/>
                <w:szCs w:val="14"/>
                <w:color w:val="auto"/>
              </w:rPr>
              <w:t>1,323,985</w:t>
            </w:r>
          </w:p>
        </w:tc>
        <w:tc>
          <w:tcPr>
            <w:tcW w:w="1360" w:type="dxa"/>
            <w:vAlign w:val="bottom"/>
            <w:shd w:val="clear" w:color="auto" w:fill="F0F7E7"/>
          </w:tcPr>
          <w:p>
            <w:pPr>
              <w:jc w:val="right"/>
              <w:ind w:right="50"/>
              <w:spacing w:after="0"/>
              <w:rPr>
                <w:sz w:val="20"/>
                <w:szCs w:val="20"/>
                <w:color w:val="auto"/>
              </w:rPr>
            </w:pPr>
            <w:r>
              <w:rPr>
                <w:rFonts w:ascii="Arial" w:cs="Arial" w:eastAsia="Arial" w:hAnsi="Arial"/>
                <w:sz w:val="14"/>
                <w:szCs w:val="14"/>
                <w:color w:val="auto"/>
              </w:rPr>
              <w:t>7,029</w:t>
            </w:r>
          </w:p>
        </w:tc>
        <w:tc>
          <w:tcPr>
            <w:tcW w:w="1600" w:type="dxa"/>
            <w:vAlign w:val="bottom"/>
            <w:shd w:val="clear" w:color="auto" w:fill="F0F7E7"/>
          </w:tcPr>
          <w:p>
            <w:pPr>
              <w:jc w:val="right"/>
              <w:spacing w:after="0"/>
              <w:rPr>
                <w:sz w:val="20"/>
                <w:szCs w:val="20"/>
                <w:color w:val="auto"/>
              </w:rPr>
            </w:pPr>
            <w:r>
              <w:rPr>
                <w:rFonts w:ascii="Arial" w:cs="Arial" w:eastAsia="Arial" w:hAnsi="Arial"/>
                <w:sz w:val="14"/>
                <w:szCs w:val="14"/>
                <w:color w:val="auto"/>
              </w:rPr>
              <w:t>295,710</w:t>
            </w:r>
          </w:p>
        </w:tc>
        <w:tc>
          <w:tcPr>
            <w:tcW w:w="0" w:type="dxa"/>
            <w:vAlign w:val="bottom"/>
          </w:tcPr>
          <w:p>
            <w:pPr>
              <w:spacing w:after="0"/>
              <w:rPr>
                <w:sz w:val="1"/>
                <w:szCs w:val="1"/>
                <w:color w:val="auto"/>
              </w:rPr>
            </w:pPr>
          </w:p>
        </w:tc>
      </w:tr>
      <w:tr>
        <w:trPr>
          <w:trHeight w:val="186"/>
        </w:trPr>
        <w:tc>
          <w:tcPr>
            <w:tcW w:w="680" w:type="dxa"/>
            <w:vAlign w:val="bottom"/>
          </w:tcPr>
          <w:p>
            <w:pPr>
              <w:spacing w:after="0"/>
              <w:rPr>
                <w:sz w:val="16"/>
                <w:szCs w:val="16"/>
                <w:color w:val="auto"/>
              </w:rPr>
            </w:pPr>
          </w:p>
        </w:tc>
        <w:tc>
          <w:tcPr>
            <w:tcW w:w="980" w:type="dxa"/>
            <w:vAlign w:val="bottom"/>
          </w:tcPr>
          <w:p>
            <w:pPr>
              <w:jc w:val="right"/>
              <w:ind w:right="50"/>
              <w:spacing w:after="0"/>
              <w:rPr>
                <w:sz w:val="20"/>
                <w:szCs w:val="20"/>
                <w:color w:val="auto"/>
              </w:rPr>
            </w:pPr>
            <w:r>
              <w:rPr>
                <w:rFonts w:ascii="Arial" w:cs="Arial" w:eastAsia="Arial" w:hAnsi="Arial"/>
                <w:sz w:val="14"/>
                <w:szCs w:val="14"/>
                <w:color w:val="auto"/>
              </w:rPr>
              <w:t>3/1/2022</w:t>
            </w:r>
          </w:p>
        </w:tc>
        <w:tc>
          <w:tcPr>
            <w:tcW w:w="940" w:type="dxa"/>
            <w:vAlign w:val="bottom"/>
          </w:tcPr>
          <w:p>
            <w:pPr>
              <w:jc w:val="right"/>
              <w:spacing w:after="0"/>
              <w:rPr>
                <w:sz w:val="20"/>
                <w:szCs w:val="20"/>
                <w:color w:val="auto"/>
              </w:rPr>
            </w:pPr>
            <w:r>
              <w:rPr>
                <w:rFonts w:ascii="Arial" w:cs="Arial" w:eastAsia="Arial" w:hAnsi="Arial"/>
                <w:sz w:val="14"/>
                <w:szCs w:val="14"/>
                <w:color w:val="auto"/>
              </w:rPr>
              <w:t>17,119</w:t>
            </w:r>
          </w:p>
        </w:tc>
        <w:tc>
          <w:tcPr>
            <w:tcW w:w="1080" w:type="dxa"/>
            <w:vAlign w:val="bottom"/>
          </w:tcPr>
          <w:p>
            <w:pPr>
              <w:jc w:val="right"/>
              <w:spacing w:after="0"/>
              <w:rPr>
                <w:sz w:val="20"/>
                <w:szCs w:val="20"/>
                <w:color w:val="auto"/>
              </w:rPr>
            </w:pPr>
            <w:r>
              <w:rPr>
                <w:rFonts w:ascii="Arial" w:cs="Arial" w:eastAsia="Arial" w:hAnsi="Arial"/>
                <w:sz w:val="14"/>
                <w:szCs w:val="14"/>
                <w:color w:val="auto"/>
              </w:rPr>
              <w:t>7,781</w:t>
            </w:r>
          </w:p>
        </w:tc>
        <w:tc>
          <w:tcPr>
            <w:tcW w:w="126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67.37</w:t>
            </w:r>
          </w:p>
        </w:tc>
        <w:tc>
          <w:tcPr>
            <w:tcW w:w="800" w:type="dxa"/>
            <w:vAlign w:val="bottom"/>
          </w:tcPr>
          <w:p>
            <w:pPr>
              <w:jc w:val="right"/>
              <w:spacing w:after="0"/>
              <w:rPr>
                <w:sz w:val="20"/>
                <w:szCs w:val="20"/>
                <w:color w:val="auto"/>
              </w:rPr>
            </w:pPr>
            <w:r>
              <w:rPr>
                <w:rFonts w:ascii="Arial" w:cs="Arial" w:eastAsia="Arial" w:hAnsi="Arial"/>
                <w:sz w:val="14"/>
                <w:szCs w:val="14"/>
                <w:color w:val="auto"/>
              </w:rPr>
              <w:t>3/1/2032</w:t>
            </w:r>
          </w:p>
        </w:tc>
        <w:tc>
          <w:tcPr>
            <w:tcW w:w="120" w:type="dxa"/>
            <w:vAlign w:val="bottom"/>
          </w:tcPr>
          <w:p>
            <w:pPr>
              <w:spacing w:after="0"/>
              <w:rPr>
                <w:sz w:val="16"/>
                <w:szCs w:val="16"/>
                <w:color w:val="auto"/>
              </w:rPr>
            </w:pPr>
          </w:p>
        </w:tc>
        <w:tc>
          <w:tcPr>
            <w:tcW w:w="900" w:type="dxa"/>
            <w:vAlign w:val="bottom"/>
          </w:tcPr>
          <w:p>
            <w:pPr>
              <w:jc w:val="right"/>
              <w:ind w:right="50"/>
              <w:spacing w:after="0"/>
              <w:rPr>
                <w:sz w:val="20"/>
                <w:szCs w:val="20"/>
                <w:color w:val="auto"/>
              </w:rPr>
            </w:pPr>
            <w:r>
              <w:rPr>
                <w:rFonts w:ascii="Arial" w:cs="Arial" w:eastAsia="Arial" w:hAnsi="Arial"/>
                <w:sz w:val="14"/>
                <w:szCs w:val="14"/>
                <w:color w:val="auto"/>
              </w:rPr>
              <w:t>10,472</w:t>
            </w:r>
          </w:p>
        </w:tc>
        <w:tc>
          <w:tcPr>
            <w:tcW w:w="920" w:type="dxa"/>
            <w:vAlign w:val="bottom"/>
          </w:tcPr>
          <w:p>
            <w:pPr>
              <w:jc w:val="right"/>
              <w:ind w:right="30"/>
              <w:spacing w:after="0"/>
              <w:rPr>
                <w:sz w:val="20"/>
                <w:szCs w:val="20"/>
                <w:color w:val="auto"/>
              </w:rPr>
            </w:pPr>
            <w:r>
              <w:rPr>
                <w:rFonts w:ascii="Arial" w:cs="Arial" w:eastAsia="Arial" w:hAnsi="Arial"/>
                <w:sz w:val="14"/>
                <w:szCs w:val="14"/>
                <w:color w:val="auto"/>
              </w:rPr>
              <w:t>440,557</w:t>
            </w:r>
          </w:p>
        </w:tc>
        <w:tc>
          <w:tcPr>
            <w:tcW w:w="136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16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7"/>
        </w:trPr>
        <w:tc>
          <w:tcPr>
            <w:tcW w:w="680" w:type="dxa"/>
            <w:vAlign w:val="bottom"/>
          </w:tcPr>
          <w:p>
            <w:pPr>
              <w:spacing w:after="0"/>
              <w:rPr>
                <w:sz w:val="16"/>
                <w:szCs w:val="16"/>
                <w:color w:val="auto"/>
              </w:rPr>
            </w:pPr>
          </w:p>
        </w:tc>
        <w:tc>
          <w:tcPr>
            <w:tcW w:w="980" w:type="dxa"/>
            <w:vAlign w:val="bottom"/>
            <w:shd w:val="clear" w:color="auto" w:fill="F0F7E7"/>
          </w:tcPr>
          <w:p>
            <w:pPr>
              <w:jc w:val="right"/>
              <w:ind w:right="50"/>
              <w:spacing w:after="0"/>
              <w:rPr>
                <w:sz w:val="20"/>
                <w:szCs w:val="20"/>
                <w:color w:val="auto"/>
              </w:rPr>
            </w:pPr>
            <w:r>
              <w:rPr>
                <w:rFonts w:ascii="Arial" w:cs="Arial" w:eastAsia="Arial" w:hAnsi="Arial"/>
                <w:sz w:val="14"/>
                <w:szCs w:val="14"/>
                <w:color w:val="auto"/>
              </w:rPr>
              <w:t>3/1/2021</w:t>
            </w:r>
          </w:p>
        </w:tc>
        <w:tc>
          <w:tcPr>
            <w:tcW w:w="940" w:type="dxa"/>
            <w:vAlign w:val="bottom"/>
            <w:shd w:val="clear" w:color="auto" w:fill="F0F7E7"/>
          </w:tcPr>
          <w:p>
            <w:pPr>
              <w:jc w:val="right"/>
              <w:spacing w:after="0"/>
              <w:rPr>
                <w:sz w:val="20"/>
                <w:szCs w:val="20"/>
                <w:color w:val="auto"/>
              </w:rPr>
            </w:pPr>
            <w:r>
              <w:rPr>
                <w:rFonts w:ascii="Arial" w:cs="Arial" w:eastAsia="Arial" w:hAnsi="Arial"/>
                <w:sz w:val="14"/>
                <w:szCs w:val="14"/>
                <w:color w:val="auto"/>
              </w:rPr>
              <w:t>10,313</w:t>
            </w:r>
          </w:p>
        </w:tc>
        <w:tc>
          <w:tcPr>
            <w:tcW w:w="1080" w:type="dxa"/>
            <w:vAlign w:val="bottom"/>
            <w:shd w:val="clear" w:color="auto" w:fill="F0F7E7"/>
          </w:tcPr>
          <w:p>
            <w:pPr>
              <w:jc w:val="right"/>
              <w:spacing w:after="0"/>
              <w:rPr>
                <w:sz w:val="20"/>
                <w:szCs w:val="20"/>
                <w:color w:val="auto"/>
              </w:rPr>
            </w:pPr>
            <w:r>
              <w:rPr>
                <w:rFonts w:ascii="Arial" w:cs="Arial" w:eastAsia="Arial" w:hAnsi="Arial"/>
                <w:sz w:val="14"/>
                <w:szCs w:val="14"/>
                <w:color w:val="auto"/>
              </w:rPr>
              <w:t>687</w:t>
            </w:r>
          </w:p>
        </w:tc>
        <w:tc>
          <w:tcPr>
            <w:tcW w:w="1260" w:type="dxa"/>
            <w:vAlign w:val="bottom"/>
            <w:shd w:val="clear" w:color="auto" w:fill="F0F7E7"/>
          </w:tcPr>
          <w:p>
            <w:pPr>
              <w:jc w:val="right"/>
              <w:ind w:right="10"/>
              <w:spacing w:after="0"/>
              <w:rPr>
                <w:sz w:val="20"/>
                <w:szCs w:val="20"/>
                <w:color w:val="auto"/>
              </w:rPr>
            </w:pPr>
            <w:r>
              <w:rPr>
                <w:rFonts w:ascii="Arial" w:cs="Arial" w:eastAsia="Arial" w:hAnsi="Arial"/>
                <w:sz w:val="14"/>
                <w:szCs w:val="14"/>
                <w:color w:val="auto"/>
              </w:rPr>
              <w:t>—</w:t>
            </w:r>
          </w:p>
        </w:tc>
        <w:tc>
          <w:tcPr>
            <w:tcW w:w="700" w:type="dxa"/>
            <w:vAlign w:val="bottom"/>
            <w:shd w:val="clear" w:color="auto" w:fill="F0F7E7"/>
          </w:tcPr>
          <w:p>
            <w:pPr>
              <w:jc w:val="right"/>
              <w:spacing w:after="0"/>
              <w:rPr>
                <w:sz w:val="20"/>
                <w:szCs w:val="20"/>
                <w:color w:val="auto"/>
              </w:rPr>
            </w:pPr>
            <w:r>
              <w:rPr>
                <w:rFonts w:ascii="Arial" w:cs="Arial" w:eastAsia="Arial" w:hAnsi="Arial"/>
                <w:sz w:val="14"/>
                <w:szCs w:val="14"/>
                <w:color w:val="auto"/>
              </w:rPr>
              <w:t>142.47</w:t>
            </w:r>
          </w:p>
        </w:tc>
        <w:tc>
          <w:tcPr>
            <w:tcW w:w="800" w:type="dxa"/>
            <w:vAlign w:val="bottom"/>
            <w:shd w:val="clear" w:color="auto" w:fill="F0F7E7"/>
          </w:tcPr>
          <w:p>
            <w:pPr>
              <w:jc w:val="right"/>
              <w:spacing w:after="0"/>
              <w:rPr>
                <w:sz w:val="20"/>
                <w:szCs w:val="20"/>
                <w:color w:val="auto"/>
              </w:rPr>
            </w:pPr>
            <w:r>
              <w:rPr>
                <w:rFonts w:ascii="Arial" w:cs="Arial" w:eastAsia="Arial" w:hAnsi="Arial"/>
                <w:sz w:val="14"/>
                <w:szCs w:val="14"/>
                <w:color w:val="auto"/>
              </w:rPr>
              <w:t>3/1/2031</w:t>
            </w:r>
          </w:p>
        </w:tc>
        <w:tc>
          <w:tcPr>
            <w:tcW w:w="120" w:type="dxa"/>
            <w:vAlign w:val="bottom"/>
            <w:shd w:val="clear" w:color="auto" w:fill="F0F7E7"/>
          </w:tcPr>
          <w:p>
            <w:pPr>
              <w:spacing w:after="0"/>
              <w:rPr>
                <w:sz w:val="16"/>
                <w:szCs w:val="16"/>
                <w:color w:val="auto"/>
              </w:rPr>
            </w:pPr>
          </w:p>
        </w:tc>
        <w:tc>
          <w:tcPr>
            <w:tcW w:w="900" w:type="dxa"/>
            <w:vAlign w:val="bottom"/>
            <w:shd w:val="clear" w:color="auto" w:fill="F0F7E7"/>
          </w:tcPr>
          <w:p>
            <w:pPr>
              <w:jc w:val="right"/>
              <w:ind w:right="50"/>
              <w:spacing w:after="0"/>
              <w:rPr>
                <w:sz w:val="20"/>
                <w:szCs w:val="20"/>
                <w:color w:val="auto"/>
              </w:rPr>
            </w:pPr>
            <w:r>
              <w:rPr>
                <w:rFonts w:ascii="Arial" w:cs="Arial" w:eastAsia="Arial" w:hAnsi="Arial"/>
                <w:sz w:val="14"/>
                <w:szCs w:val="14"/>
                <w:color w:val="auto"/>
              </w:rPr>
              <w:t>1,375</w:t>
            </w:r>
          </w:p>
        </w:tc>
        <w:tc>
          <w:tcPr>
            <w:tcW w:w="920" w:type="dxa"/>
            <w:vAlign w:val="bottom"/>
            <w:shd w:val="clear" w:color="auto" w:fill="F0F7E7"/>
          </w:tcPr>
          <w:p>
            <w:pPr>
              <w:jc w:val="right"/>
              <w:ind w:right="30"/>
              <w:spacing w:after="0"/>
              <w:rPr>
                <w:sz w:val="20"/>
                <w:szCs w:val="20"/>
                <w:color w:val="auto"/>
              </w:rPr>
            </w:pPr>
            <w:r>
              <w:rPr>
                <w:rFonts w:ascii="Arial" w:cs="Arial" w:eastAsia="Arial" w:hAnsi="Arial"/>
                <w:sz w:val="14"/>
                <w:szCs w:val="14"/>
                <w:color w:val="auto"/>
              </w:rPr>
              <w:t>57,846</w:t>
            </w:r>
          </w:p>
        </w:tc>
        <w:tc>
          <w:tcPr>
            <w:tcW w:w="1360" w:type="dxa"/>
            <w:vAlign w:val="bottom"/>
            <w:shd w:val="clear" w:color="auto" w:fill="F0F7E7"/>
          </w:tcPr>
          <w:p>
            <w:pPr>
              <w:jc w:val="right"/>
              <w:ind w:right="50"/>
              <w:spacing w:after="0"/>
              <w:rPr>
                <w:sz w:val="20"/>
                <w:szCs w:val="20"/>
                <w:color w:val="auto"/>
              </w:rPr>
            </w:pPr>
            <w:r>
              <w:rPr>
                <w:rFonts w:ascii="Arial" w:cs="Arial" w:eastAsia="Arial" w:hAnsi="Arial"/>
                <w:sz w:val="14"/>
                <w:szCs w:val="14"/>
                <w:color w:val="auto"/>
              </w:rPr>
              <w:t>—</w:t>
            </w:r>
          </w:p>
        </w:tc>
        <w:tc>
          <w:tcPr>
            <w:tcW w:w="1600" w:type="dxa"/>
            <w:vAlign w:val="bottom"/>
            <w:shd w:val="clear" w:color="auto" w:fill="F0F7E7"/>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680" w:type="dxa"/>
            <w:vAlign w:val="bottom"/>
          </w:tcPr>
          <w:p>
            <w:pPr>
              <w:spacing w:after="0"/>
              <w:rPr>
                <w:sz w:val="16"/>
                <w:szCs w:val="16"/>
                <w:color w:val="auto"/>
              </w:rPr>
            </w:pPr>
          </w:p>
        </w:tc>
        <w:tc>
          <w:tcPr>
            <w:tcW w:w="980" w:type="dxa"/>
            <w:vAlign w:val="bottom"/>
          </w:tcPr>
          <w:p>
            <w:pPr>
              <w:jc w:val="right"/>
              <w:ind w:right="50"/>
              <w:spacing w:after="0"/>
              <w:rPr>
                <w:sz w:val="20"/>
                <w:szCs w:val="20"/>
                <w:color w:val="auto"/>
              </w:rPr>
            </w:pPr>
            <w:r>
              <w:rPr>
                <w:rFonts w:ascii="Arial" w:cs="Arial" w:eastAsia="Arial" w:hAnsi="Arial"/>
                <w:sz w:val="14"/>
                <w:szCs w:val="14"/>
                <w:color w:val="auto"/>
              </w:rPr>
              <w:t>3/1/2020</w:t>
            </w:r>
          </w:p>
        </w:tc>
        <w:tc>
          <w:tcPr>
            <w:tcW w:w="940" w:type="dxa"/>
            <w:vAlign w:val="bottom"/>
          </w:tcPr>
          <w:p>
            <w:pPr>
              <w:jc w:val="right"/>
              <w:spacing w:after="0"/>
              <w:rPr>
                <w:sz w:val="20"/>
                <w:szCs w:val="20"/>
                <w:color w:val="auto"/>
              </w:rPr>
            </w:pPr>
            <w:r>
              <w:rPr>
                <w:rFonts w:ascii="Arial" w:cs="Arial" w:eastAsia="Arial" w:hAnsi="Arial"/>
                <w:sz w:val="14"/>
                <w:szCs w:val="14"/>
                <w:color w:val="auto"/>
              </w:rPr>
              <w:t>22,000</w:t>
            </w: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56.08</w:t>
            </w:r>
          </w:p>
        </w:tc>
        <w:tc>
          <w:tcPr>
            <w:tcW w:w="800" w:type="dxa"/>
            <w:vAlign w:val="bottom"/>
          </w:tcPr>
          <w:p>
            <w:pPr>
              <w:jc w:val="right"/>
              <w:spacing w:after="0"/>
              <w:rPr>
                <w:sz w:val="20"/>
                <w:szCs w:val="20"/>
                <w:color w:val="auto"/>
              </w:rPr>
            </w:pPr>
            <w:r>
              <w:rPr>
                <w:rFonts w:ascii="Arial" w:cs="Arial" w:eastAsia="Arial" w:hAnsi="Arial"/>
                <w:sz w:val="14"/>
                <w:szCs w:val="14"/>
                <w:color w:val="auto"/>
              </w:rPr>
              <w:t>3/1/2030</w:t>
            </w:r>
          </w:p>
        </w:tc>
        <w:tc>
          <w:tcPr>
            <w:tcW w:w="120" w:type="dxa"/>
            <w:vAlign w:val="bottom"/>
          </w:tcPr>
          <w:p>
            <w:pPr>
              <w:spacing w:after="0"/>
              <w:rPr>
                <w:sz w:val="16"/>
                <w:szCs w:val="16"/>
                <w:color w:val="auto"/>
              </w:rPr>
            </w:pPr>
          </w:p>
        </w:tc>
        <w:tc>
          <w:tcPr>
            <w:tcW w:w="90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16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7"/>
        </w:trPr>
        <w:tc>
          <w:tcPr>
            <w:tcW w:w="680" w:type="dxa"/>
            <w:vAlign w:val="bottom"/>
          </w:tcPr>
          <w:p>
            <w:pPr>
              <w:spacing w:after="0"/>
              <w:rPr>
                <w:sz w:val="16"/>
                <w:szCs w:val="16"/>
                <w:color w:val="auto"/>
              </w:rPr>
            </w:pPr>
          </w:p>
        </w:tc>
        <w:tc>
          <w:tcPr>
            <w:tcW w:w="980" w:type="dxa"/>
            <w:vAlign w:val="bottom"/>
            <w:shd w:val="clear" w:color="auto" w:fill="F0F7E7"/>
          </w:tcPr>
          <w:p>
            <w:pPr>
              <w:jc w:val="right"/>
              <w:ind w:right="50"/>
              <w:spacing w:after="0"/>
              <w:rPr>
                <w:sz w:val="20"/>
                <w:szCs w:val="20"/>
                <w:color w:val="auto"/>
              </w:rPr>
            </w:pPr>
            <w:r>
              <w:rPr>
                <w:rFonts w:ascii="Arial" w:cs="Arial" w:eastAsia="Arial" w:hAnsi="Arial"/>
                <w:sz w:val="14"/>
                <w:szCs w:val="14"/>
                <w:color w:val="auto"/>
              </w:rPr>
              <w:t>6/19/2019</w:t>
            </w:r>
          </w:p>
        </w:tc>
        <w:tc>
          <w:tcPr>
            <w:tcW w:w="940" w:type="dxa"/>
            <w:vAlign w:val="bottom"/>
            <w:shd w:val="clear" w:color="auto" w:fill="F0F7E7"/>
          </w:tcPr>
          <w:p>
            <w:pPr>
              <w:jc w:val="right"/>
              <w:spacing w:after="0"/>
              <w:rPr>
                <w:sz w:val="20"/>
                <w:szCs w:val="20"/>
                <w:color w:val="auto"/>
              </w:rPr>
            </w:pPr>
            <w:r>
              <w:rPr>
                <w:rFonts w:ascii="Arial" w:cs="Arial" w:eastAsia="Arial" w:hAnsi="Arial"/>
                <w:sz w:val="14"/>
                <w:szCs w:val="14"/>
                <w:color w:val="auto"/>
              </w:rPr>
              <w:t>12,000</w:t>
            </w:r>
          </w:p>
        </w:tc>
        <w:tc>
          <w:tcPr>
            <w:tcW w:w="1080" w:type="dxa"/>
            <w:vAlign w:val="bottom"/>
            <w:shd w:val="clear" w:color="auto" w:fill="F0F7E7"/>
          </w:tcPr>
          <w:p>
            <w:pPr>
              <w:jc w:val="right"/>
              <w:spacing w:after="0"/>
              <w:rPr>
                <w:sz w:val="20"/>
                <w:szCs w:val="20"/>
                <w:color w:val="auto"/>
              </w:rPr>
            </w:pPr>
            <w:r>
              <w:rPr>
                <w:rFonts w:ascii="Arial" w:cs="Arial" w:eastAsia="Arial" w:hAnsi="Arial"/>
                <w:sz w:val="14"/>
                <w:szCs w:val="14"/>
                <w:color w:val="auto"/>
              </w:rPr>
              <w:t>—</w:t>
            </w:r>
          </w:p>
        </w:tc>
        <w:tc>
          <w:tcPr>
            <w:tcW w:w="1260" w:type="dxa"/>
            <w:vAlign w:val="bottom"/>
            <w:shd w:val="clear" w:color="auto" w:fill="F0F7E7"/>
          </w:tcPr>
          <w:p>
            <w:pPr>
              <w:jc w:val="right"/>
              <w:ind w:right="10"/>
              <w:spacing w:after="0"/>
              <w:rPr>
                <w:sz w:val="20"/>
                <w:szCs w:val="20"/>
                <w:color w:val="auto"/>
              </w:rPr>
            </w:pPr>
            <w:r>
              <w:rPr>
                <w:rFonts w:ascii="Arial" w:cs="Arial" w:eastAsia="Arial" w:hAnsi="Arial"/>
                <w:sz w:val="14"/>
                <w:szCs w:val="14"/>
                <w:color w:val="auto"/>
              </w:rPr>
              <w:t>—</w:t>
            </w:r>
          </w:p>
        </w:tc>
        <w:tc>
          <w:tcPr>
            <w:tcW w:w="700" w:type="dxa"/>
            <w:vAlign w:val="bottom"/>
            <w:shd w:val="clear" w:color="auto" w:fill="F0F7E7"/>
          </w:tcPr>
          <w:p>
            <w:pPr>
              <w:jc w:val="right"/>
              <w:spacing w:after="0"/>
              <w:rPr>
                <w:sz w:val="20"/>
                <w:szCs w:val="20"/>
                <w:color w:val="auto"/>
              </w:rPr>
            </w:pPr>
            <w:r>
              <w:rPr>
                <w:rFonts w:ascii="Arial" w:cs="Arial" w:eastAsia="Arial" w:hAnsi="Arial"/>
                <w:sz w:val="14"/>
                <w:szCs w:val="14"/>
                <w:color w:val="auto"/>
              </w:rPr>
              <w:t>63.27</w:t>
            </w:r>
          </w:p>
        </w:tc>
        <w:tc>
          <w:tcPr>
            <w:tcW w:w="800" w:type="dxa"/>
            <w:vAlign w:val="bottom"/>
            <w:shd w:val="clear" w:color="auto" w:fill="F0F7E7"/>
          </w:tcPr>
          <w:p>
            <w:pPr>
              <w:jc w:val="right"/>
              <w:spacing w:after="0"/>
              <w:rPr>
                <w:sz w:val="20"/>
                <w:szCs w:val="20"/>
                <w:color w:val="auto"/>
              </w:rPr>
            </w:pPr>
            <w:r>
              <w:rPr>
                <w:rFonts w:ascii="Arial" w:cs="Arial" w:eastAsia="Arial" w:hAnsi="Arial"/>
                <w:sz w:val="14"/>
                <w:szCs w:val="14"/>
                <w:color w:val="auto"/>
              </w:rPr>
              <w:t>6/19/2029</w:t>
            </w:r>
          </w:p>
        </w:tc>
        <w:tc>
          <w:tcPr>
            <w:tcW w:w="120" w:type="dxa"/>
            <w:vAlign w:val="bottom"/>
            <w:shd w:val="clear" w:color="auto" w:fill="F0F7E7"/>
          </w:tcPr>
          <w:p>
            <w:pPr>
              <w:spacing w:after="0"/>
              <w:rPr>
                <w:sz w:val="16"/>
                <w:szCs w:val="16"/>
                <w:color w:val="auto"/>
              </w:rPr>
            </w:pPr>
          </w:p>
        </w:tc>
        <w:tc>
          <w:tcPr>
            <w:tcW w:w="900" w:type="dxa"/>
            <w:vAlign w:val="bottom"/>
            <w:shd w:val="clear" w:color="auto" w:fill="F0F7E7"/>
          </w:tcPr>
          <w:p>
            <w:pPr>
              <w:jc w:val="right"/>
              <w:ind w:right="50"/>
              <w:spacing w:after="0"/>
              <w:rPr>
                <w:sz w:val="20"/>
                <w:szCs w:val="20"/>
                <w:color w:val="auto"/>
              </w:rPr>
            </w:pPr>
            <w:r>
              <w:rPr>
                <w:rFonts w:ascii="Arial" w:cs="Arial" w:eastAsia="Arial" w:hAnsi="Arial"/>
                <w:sz w:val="14"/>
                <w:szCs w:val="14"/>
                <w:color w:val="auto"/>
              </w:rPr>
              <w:t>—</w:t>
            </w:r>
          </w:p>
        </w:tc>
        <w:tc>
          <w:tcPr>
            <w:tcW w:w="920" w:type="dxa"/>
            <w:vAlign w:val="bottom"/>
            <w:shd w:val="clear" w:color="auto" w:fill="F0F7E7"/>
          </w:tcPr>
          <w:p>
            <w:pPr>
              <w:jc w:val="right"/>
              <w:ind w:right="30"/>
              <w:spacing w:after="0"/>
              <w:rPr>
                <w:sz w:val="20"/>
                <w:szCs w:val="20"/>
                <w:color w:val="auto"/>
              </w:rPr>
            </w:pPr>
            <w:r>
              <w:rPr>
                <w:rFonts w:ascii="Arial" w:cs="Arial" w:eastAsia="Arial" w:hAnsi="Arial"/>
                <w:sz w:val="14"/>
                <w:szCs w:val="14"/>
                <w:color w:val="auto"/>
              </w:rPr>
              <w:t>—</w:t>
            </w:r>
          </w:p>
        </w:tc>
        <w:tc>
          <w:tcPr>
            <w:tcW w:w="1360" w:type="dxa"/>
            <w:vAlign w:val="bottom"/>
            <w:shd w:val="clear" w:color="auto" w:fill="F0F7E7"/>
          </w:tcPr>
          <w:p>
            <w:pPr>
              <w:jc w:val="right"/>
              <w:ind w:right="50"/>
              <w:spacing w:after="0"/>
              <w:rPr>
                <w:sz w:val="20"/>
                <w:szCs w:val="20"/>
                <w:color w:val="auto"/>
              </w:rPr>
            </w:pPr>
            <w:r>
              <w:rPr>
                <w:rFonts w:ascii="Arial" w:cs="Arial" w:eastAsia="Arial" w:hAnsi="Arial"/>
                <w:sz w:val="14"/>
                <w:szCs w:val="14"/>
                <w:color w:val="auto"/>
              </w:rPr>
              <w:t>—</w:t>
            </w:r>
          </w:p>
        </w:tc>
        <w:tc>
          <w:tcPr>
            <w:tcW w:w="1600" w:type="dxa"/>
            <w:vAlign w:val="bottom"/>
            <w:shd w:val="clear" w:color="auto" w:fill="F0F7E7"/>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680" w:type="dxa"/>
            <w:vAlign w:val="bottom"/>
          </w:tcPr>
          <w:p>
            <w:pPr>
              <w:spacing w:after="0"/>
              <w:rPr>
                <w:sz w:val="16"/>
                <w:szCs w:val="16"/>
                <w:color w:val="auto"/>
              </w:rPr>
            </w:pPr>
          </w:p>
        </w:tc>
        <w:tc>
          <w:tcPr>
            <w:tcW w:w="980" w:type="dxa"/>
            <w:vAlign w:val="bottom"/>
          </w:tcPr>
          <w:p>
            <w:pPr>
              <w:jc w:val="right"/>
              <w:ind w:right="50"/>
              <w:spacing w:after="0"/>
              <w:rPr>
                <w:sz w:val="20"/>
                <w:szCs w:val="20"/>
                <w:color w:val="auto"/>
              </w:rPr>
            </w:pPr>
            <w:r>
              <w:rPr>
                <w:rFonts w:ascii="Arial" w:cs="Arial" w:eastAsia="Arial" w:hAnsi="Arial"/>
                <w:sz w:val="14"/>
                <w:szCs w:val="14"/>
                <w:color w:val="auto"/>
              </w:rPr>
              <w:t>3/1/2019</w:t>
            </w:r>
          </w:p>
        </w:tc>
        <w:tc>
          <w:tcPr>
            <w:tcW w:w="940" w:type="dxa"/>
            <w:vAlign w:val="bottom"/>
          </w:tcPr>
          <w:p>
            <w:pPr>
              <w:jc w:val="right"/>
              <w:spacing w:after="0"/>
              <w:rPr>
                <w:sz w:val="20"/>
                <w:szCs w:val="20"/>
                <w:color w:val="auto"/>
              </w:rPr>
            </w:pPr>
            <w:r>
              <w:rPr>
                <w:rFonts w:ascii="Arial" w:cs="Arial" w:eastAsia="Arial" w:hAnsi="Arial"/>
                <w:sz w:val="14"/>
                <w:szCs w:val="14"/>
                <w:color w:val="auto"/>
              </w:rPr>
              <w:t>13,000</w:t>
            </w: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67.55</w:t>
            </w:r>
          </w:p>
        </w:tc>
        <w:tc>
          <w:tcPr>
            <w:tcW w:w="800" w:type="dxa"/>
            <w:vAlign w:val="bottom"/>
          </w:tcPr>
          <w:p>
            <w:pPr>
              <w:jc w:val="right"/>
              <w:spacing w:after="0"/>
              <w:rPr>
                <w:sz w:val="20"/>
                <w:szCs w:val="20"/>
                <w:color w:val="auto"/>
              </w:rPr>
            </w:pPr>
            <w:r>
              <w:rPr>
                <w:rFonts w:ascii="Arial" w:cs="Arial" w:eastAsia="Arial" w:hAnsi="Arial"/>
                <w:sz w:val="14"/>
                <w:szCs w:val="14"/>
                <w:color w:val="auto"/>
              </w:rPr>
              <w:t>3/1/2029</w:t>
            </w:r>
          </w:p>
        </w:tc>
        <w:tc>
          <w:tcPr>
            <w:tcW w:w="120" w:type="dxa"/>
            <w:vAlign w:val="bottom"/>
          </w:tcPr>
          <w:p>
            <w:pPr>
              <w:spacing w:after="0"/>
              <w:rPr>
                <w:sz w:val="16"/>
                <w:szCs w:val="16"/>
                <w:color w:val="auto"/>
              </w:rPr>
            </w:pPr>
          </w:p>
        </w:tc>
        <w:tc>
          <w:tcPr>
            <w:tcW w:w="90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16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7"/>
        </w:trPr>
        <w:tc>
          <w:tcPr>
            <w:tcW w:w="680" w:type="dxa"/>
            <w:vAlign w:val="bottom"/>
          </w:tcPr>
          <w:p>
            <w:pPr>
              <w:spacing w:after="0"/>
              <w:rPr>
                <w:sz w:val="16"/>
                <w:szCs w:val="16"/>
                <w:color w:val="auto"/>
              </w:rPr>
            </w:pPr>
          </w:p>
        </w:tc>
        <w:tc>
          <w:tcPr>
            <w:tcW w:w="980" w:type="dxa"/>
            <w:vAlign w:val="bottom"/>
            <w:shd w:val="clear" w:color="auto" w:fill="F0F7E7"/>
          </w:tcPr>
          <w:p>
            <w:pPr>
              <w:jc w:val="right"/>
              <w:ind w:right="50"/>
              <w:spacing w:after="0"/>
              <w:rPr>
                <w:sz w:val="20"/>
                <w:szCs w:val="20"/>
                <w:color w:val="auto"/>
              </w:rPr>
            </w:pPr>
            <w:r>
              <w:rPr>
                <w:rFonts w:ascii="Arial" w:cs="Arial" w:eastAsia="Arial" w:hAnsi="Arial"/>
                <w:sz w:val="14"/>
                <w:szCs w:val="14"/>
                <w:color w:val="auto"/>
              </w:rPr>
              <w:t>3/1/2018</w:t>
            </w:r>
          </w:p>
        </w:tc>
        <w:tc>
          <w:tcPr>
            <w:tcW w:w="940" w:type="dxa"/>
            <w:vAlign w:val="bottom"/>
            <w:shd w:val="clear" w:color="auto" w:fill="F0F7E7"/>
          </w:tcPr>
          <w:p>
            <w:pPr>
              <w:jc w:val="right"/>
              <w:spacing w:after="0"/>
              <w:rPr>
                <w:sz w:val="20"/>
                <w:szCs w:val="20"/>
                <w:color w:val="auto"/>
              </w:rPr>
            </w:pPr>
            <w:r>
              <w:rPr>
                <w:rFonts w:ascii="Arial" w:cs="Arial" w:eastAsia="Arial" w:hAnsi="Arial"/>
                <w:sz w:val="14"/>
                <w:szCs w:val="14"/>
                <w:color w:val="auto"/>
              </w:rPr>
              <w:t>3,900</w:t>
            </w:r>
          </w:p>
        </w:tc>
        <w:tc>
          <w:tcPr>
            <w:tcW w:w="1080" w:type="dxa"/>
            <w:vAlign w:val="bottom"/>
            <w:shd w:val="clear" w:color="auto" w:fill="F0F7E7"/>
          </w:tcPr>
          <w:p>
            <w:pPr>
              <w:jc w:val="right"/>
              <w:spacing w:after="0"/>
              <w:rPr>
                <w:sz w:val="20"/>
                <w:szCs w:val="20"/>
                <w:color w:val="auto"/>
              </w:rPr>
            </w:pPr>
            <w:r>
              <w:rPr>
                <w:rFonts w:ascii="Arial" w:cs="Arial" w:eastAsia="Arial" w:hAnsi="Arial"/>
                <w:sz w:val="14"/>
                <w:szCs w:val="14"/>
                <w:color w:val="auto"/>
              </w:rPr>
              <w:t>—</w:t>
            </w:r>
          </w:p>
        </w:tc>
        <w:tc>
          <w:tcPr>
            <w:tcW w:w="1260" w:type="dxa"/>
            <w:vAlign w:val="bottom"/>
            <w:shd w:val="clear" w:color="auto" w:fill="F0F7E7"/>
          </w:tcPr>
          <w:p>
            <w:pPr>
              <w:jc w:val="right"/>
              <w:ind w:right="10"/>
              <w:spacing w:after="0"/>
              <w:rPr>
                <w:sz w:val="20"/>
                <w:szCs w:val="20"/>
                <w:color w:val="auto"/>
              </w:rPr>
            </w:pPr>
            <w:r>
              <w:rPr>
                <w:rFonts w:ascii="Arial" w:cs="Arial" w:eastAsia="Arial" w:hAnsi="Arial"/>
                <w:sz w:val="14"/>
                <w:szCs w:val="14"/>
                <w:color w:val="auto"/>
              </w:rPr>
              <w:t>—</w:t>
            </w:r>
          </w:p>
        </w:tc>
        <w:tc>
          <w:tcPr>
            <w:tcW w:w="700" w:type="dxa"/>
            <w:vAlign w:val="bottom"/>
            <w:shd w:val="clear" w:color="auto" w:fill="F0F7E7"/>
          </w:tcPr>
          <w:p>
            <w:pPr>
              <w:jc w:val="right"/>
              <w:spacing w:after="0"/>
              <w:rPr>
                <w:sz w:val="20"/>
                <w:szCs w:val="20"/>
                <w:color w:val="auto"/>
              </w:rPr>
            </w:pPr>
            <w:r>
              <w:rPr>
                <w:rFonts w:ascii="Arial" w:cs="Arial" w:eastAsia="Arial" w:hAnsi="Arial"/>
                <w:sz w:val="14"/>
                <w:szCs w:val="14"/>
                <w:color w:val="auto"/>
              </w:rPr>
              <w:t>48.43</w:t>
            </w:r>
          </w:p>
        </w:tc>
        <w:tc>
          <w:tcPr>
            <w:tcW w:w="800" w:type="dxa"/>
            <w:vAlign w:val="bottom"/>
            <w:shd w:val="clear" w:color="auto" w:fill="F0F7E7"/>
          </w:tcPr>
          <w:p>
            <w:pPr>
              <w:jc w:val="right"/>
              <w:spacing w:after="0"/>
              <w:rPr>
                <w:sz w:val="20"/>
                <w:szCs w:val="20"/>
                <w:color w:val="auto"/>
              </w:rPr>
            </w:pPr>
            <w:r>
              <w:rPr>
                <w:rFonts w:ascii="Arial" w:cs="Arial" w:eastAsia="Arial" w:hAnsi="Arial"/>
                <w:sz w:val="14"/>
                <w:szCs w:val="14"/>
                <w:color w:val="auto"/>
              </w:rPr>
              <w:t>3/1/2028</w:t>
            </w:r>
          </w:p>
        </w:tc>
        <w:tc>
          <w:tcPr>
            <w:tcW w:w="120" w:type="dxa"/>
            <w:vAlign w:val="bottom"/>
            <w:shd w:val="clear" w:color="auto" w:fill="F0F7E7"/>
          </w:tcPr>
          <w:p>
            <w:pPr>
              <w:spacing w:after="0"/>
              <w:rPr>
                <w:sz w:val="16"/>
                <w:szCs w:val="16"/>
                <w:color w:val="auto"/>
              </w:rPr>
            </w:pPr>
          </w:p>
        </w:tc>
        <w:tc>
          <w:tcPr>
            <w:tcW w:w="900" w:type="dxa"/>
            <w:vAlign w:val="bottom"/>
            <w:shd w:val="clear" w:color="auto" w:fill="F0F7E7"/>
          </w:tcPr>
          <w:p>
            <w:pPr>
              <w:jc w:val="right"/>
              <w:ind w:right="50"/>
              <w:spacing w:after="0"/>
              <w:rPr>
                <w:sz w:val="20"/>
                <w:szCs w:val="20"/>
                <w:color w:val="auto"/>
              </w:rPr>
            </w:pPr>
            <w:r>
              <w:rPr>
                <w:rFonts w:ascii="Arial" w:cs="Arial" w:eastAsia="Arial" w:hAnsi="Arial"/>
                <w:sz w:val="14"/>
                <w:szCs w:val="14"/>
                <w:color w:val="auto"/>
              </w:rPr>
              <w:t>—</w:t>
            </w:r>
          </w:p>
        </w:tc>
        <w:tc>
          <w:tcPr>
            <w:tcW w:w="920" w:type="dxa"/>
            <w:vAlign w:val="bottom"/>
            <w:shd w:val="clear" w:color="auto" w:fill="F0F7E7"/>
          </w:tcPr>
          <w:p>
            <w:pPr>
              <w:jc w:val="right"/>
              <w:ind w:right="30"/>
              <w:spacing w:after="0"/>
              <w:rPr>
                <w:sz w:val="20"/>
                <w:szCs w:val="20"/>
                <w:color w:val="auto"/>
              </w:rPr>
            </w:pPr>
            <w:r>
              <w:rPr>
                <w:rFonts w:ascii="Arial" w:cs="Arial" w:eastAsia="Arial" w:hAnsi="Arial"/>
                <w:sz w:val="14"/>
                <w:szCs w:val="14"/>
                <w:color w:val="auto"/>
              </w:rPr>
              <w:t>—</w:t>
            </w:r>
          </w:p>
        </w:tc>
        <w:tc>
          <w:tcPr>
            <w:tcW w:w="1360" w:type="dxa"/>
            <w:vAlign w:val="bottom"/>
            <w:shd w:val="clear" w:color="auto" w:fill="F0F7E7"/>
          </w:tcPr>
          <w:p>
            <w:pPr>
              <w:jc w:val="right"/>
              <w:ind w:right="50"/>
              <w:spacing w:after="0"/>
              <w:rPr>
                <w:sz w:val="20"/>
                <w:szCs w:val="20"/>
                <w:color w:val="auto"/>
              </w:rPr>
            </w:pPr>
            <w:r>
              <w:rPr>
                <w:rFonts w:ascii="Arial" w:cs="Arial" w:eastAsia="Arial" w:hAnsi="Arial"/>
                <w:sz w:val="14"/>
                <w:szCs w:val="14"/>
                <w:color w:val="auto"/>
              </w:rPr>
              <w:t>—</w:t>
            </w:r>
          </w:p>
        </w:tc>
        <w:tc>
          <w:tcPr>
            <w:tcW w:w="1600" w:type="dxa"/>
            <w:vAlign w:val="bottom"/>
            <w:shd w:val="clear" w:color="auto" w:fill="F0F7E7"/>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680" w:type="dxa"/>
            <w:vAlign w:val="bottom"/>
            <w:tcBorders>
              <w:bottom w:val="single" w:sz="8" w:color="7CBD3F"/>
            </w:tcBorders>
          </w:tcPr>
          <w:p>
            <w:pPr>
              <w:spacing w:after="0"/>
              <w:rPr>
                <w:sz w:val="16"/>
                <w:szCs w:val="16"/>
                <w:color w:val="auto"/>
              </w:rPr>
            </w:pPr>
          </w:p>
        </w:tc>
        <w:tc>
          <w:tcPr>
            <w:tcW w:w="980" w:type="dxa"/>
            <w:vAlign w:val="bottom"/>
            <w:tcBorders>
              <w:bottom w:val="single" w:sz="8" w:color="7CBD3F"/>
            </w:tcBorders>
          </w:tcPr>
          <w:p>
            <w:pPr>
              <w:jc w:val="right"/>
              <w:ind w:right="50"/>
              <w:spacing w:after="0"/>
              <w:rPr>
                <w:sz w:val="20"/>
                <w:szCs w:val="20"/>
                <w:color w:val="auto"/>
              </w:rPr>
            </w:pPr>
            <w:r>
              <w:rPr>
                <w:rFonts w:ascii="Arial" w:cs="Arial" w:eastAsia="Arial" w:hAnsi="Arial"/>
                <w:sz w:val="14"/>
                <w:szCs w:val="14"/>
                <w:color w:val="auto"/>
              </w:rPr>
              <w:t>7/6/2017</w:t>
            </w:r>
          </w:p>
        </w:tc>
        <w:tc>
          <w:tcPr>
            <w:tcW w:w="940" w:type="dxa"/>
            <w:vAlign w:val="bottom"/>
            <w:tcBorders>
              <w:bottom w:val="single" w:sz="8" w:color="7CBD3F"/>
            </w:tcBorders>
          </w:tcPr>
          <w:p>
            <w:pPr>
              <w:jc w:val="right"/>
              <w:spacing w:after="0"/>
              <w:rPr>
                <w:sz w:val="20"/>
                <w:szCs w:val="20"/>
                <w:color w:val="auto"/>
              </w:rPr>
            </w:pPr>
            <w:r>
              <w:rPr>
                <w:rFonts w:ascii="Arial" w:cs="Arial" w:eastAsia="Arial" w:hAnsi="Arial"/>
                <w:sz w:val="14"/>
                <w:szCs w:val="14"/>
                <w:color w:val="auto"/>
              </w:rPr>
              <w:t>30,000</w:t>
            </w:r>
          </w:p>
        </w:tc>
        <w:tc>
          <w:tcPr>
            <w:tcW w:w="1080" w:type="dxa"/>
            <w:vAlign w:val="bottom"/>
            <w:tcBorders>
              <w:bottom w:val="single" w:sz="8" w:color="7CBD3F"/>
            </w:tcBorders>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7CBD3F"/>
            </w:tcBorders>
          </w:tcPr>
          <w:p>
            <w:pPr>
              <w:jc w:val="right"/>
              <w:ind w:right="1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7CBD3F"/>
            </w:tcBorders>
          </w:tcPr>
          <w:p>
            <w:pPr>
              <w:jc w:val="right"/>
              <w:spacing w:after="0"/>
              <w:rPr>
                <w:sz w:val="20"/>
                <w:szCs w:val="20"/>
                <w:color w:val="auto"/>
              </w:rPr>
            </w:pPr>
            <w:r>
              <w:rPr>
                <w:rFonts w:ascii="Arial" w:cs="Arial" w:eastAsia="Arial" w:hAnsi="Arial"/>
                <w:sz w:val="14"/>
                <w:szCs w:val="14"/>
                <w:color w:val="auto"/>
              </w:rPr>
              <w:t>63.28</w:t>
            </w:r>
          </w:p>
        </w:tc>
        <w:tc>
          <w:tcPr>
            <w:tcW w:w="800" w:type="dxa"/>
            <w:vAlign w:val="bottom"/>
            <w:tcBorders>
              <w:bottom w:val="single" w:sz="8" w:color="7CBD3F"/>
            </w:tcBorders>
          </w:tcPr>
          <w:p>
            <w:pPr>
              <w:jc w:val="right"/>
              <w:spacing w:after="0"/>
              <w:rPr>
                <w:sz w:val="20"/>
                <w:szCs w:val="20"/>
                <w:color w:val="auto"/>
              </w:rPr>
            </w:pPr>
            <w:r>
              <w:rPr>
                <w:rFonts w:ascii="Arial" w:cs="Arial" w:eastAsia="Arial" w:hAnsi="Arial"/>
                <w:sz w:val="14"/>
                <w:szCs w:val="14"/>
                <w:color w:val="auto"/>
              </w:rPr>
              <w:t>7/6/2027</w:t>
            </w:r>
          </w:p>
        </w:tc>
        <w:tc>
          <w:tcPr>
            <w:tcW w:w="120" w:type="dxa"/>
            <w:vAlign w:val="bottom"/>
            <w:tcBorders>
              <w:bottom w:val="single" w:sz="8" w:color="7CBD3F"/>
            </w:tcBorders>
          </w:tcPr>
          <w:p>
            <w:pPr>
              <w:spacing w:after="0"/>
              <w:rPr>
                <w:sz w:val="16"/>
                <w:szCs w:val="16"/>
                <w:color w:val="auto"/>
              </w:rPr>
            </w:pPr>
          </w:p>
        </w:tc>
        <w:tc>
          <w:tcPr>
            <w:tcW w:w="900" w:type="dxa"/>
            <w:vAlign w:val="bottom"/>
            <w:tcBorders>
              <w:bottom w:val="single" w:sz="8" w:color="7CBD3F"/>
            </w:tcBorders>
          </w:tcPr>
          <w:p>
            <w:pPr>
              <w:jc w:val="right"/>
              <w:ind w:right="5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7CBD3F"/>
            </w:tcBorders>
          </w:tcPr>
          <w:p>
            <w:pPr>
              <w:jc w:val="right"/>
              <w:ind w:right="30"/>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7CBD3F"/>
            </w:tcBorders>
          </w:tcPr>
          <w:p>
            <w:pPr>
              <w:jc w:val="right"/>
              <w:ind w:right="50"/>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7CBD3F"/>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680" w:type="dxa"/>
            <w:vAlign w:val="bottom"/>
            <w:tcBorders>
              <w:bottom w:val="single" w:sz="8" w:color="F0F7E7"/>
            </w:tcBorders>
            <w:shd w:val="clear" w:color="auto" w:fill="F0F7E7"/>
          </w:tcPr>
          <w:p>
            <w:pPr>
              <w:ind w:left="40"/>
              <w:spacing w:after="0" w:line="155" w:lineRule="exact"/>
              <w:rPr>
                <w:sz w:val="20"/>
                <w:szCs w:val="20"/>
                <w:color w:val="auto"/>
              </w:rPr>
            </w:pPr>
            <w:r>
              <w:rPr>
                <w:rFonts w:ascii="Arial" w:cs="Arial" w:eastAsia="Arial" w:hAnsi="Arial"/>
                <w:sz w:val="14"/>
                <w:szCs w:val="14"/>
                <w:b w:val="1"/>
                <w:bCs w:val="1"/>
                <w:color w:val="auto"/>
              </w:rPr>
              <w:t>Eric</w:t>
            </w:r>
          </w:p>
        </w:tc>
        <w:tc>
          <w:tcPr>
            <w:tcW w:w="980" w:type="dxa"/>
            <w:vAlign w:val="bottom"/>
            <w:tcBorders>
              <w:bottom w:val="single" w:sz="8" w:color="F0F7E7"/>
            </w:tcBorders>
            <w:shd w:val="clear" w:color="auto" w:fill="F0F7E7"/>
          </w:tcPr>
          <w:p>
            <w:pPr>
              <w:jc w:val="right"/>
              <w:ind w:right="50"/>
              <w:spacing w:after="0" w:line="155" w:lineRule="exact"/>
              <w:rPr>
                <w:sz w:val="20"/>
                <w:szCs w:val="20"/>
                <w:color w:val="auto"/>
              </w:rPr>
            </w:pPr>
            <w:r>
              <w:rPr>
                <w:rFonts w:ascii="Arial" w:cs="Arial" w:eastAsia="Arial" w:hAnsi="Arial"/>
                <w:sz w:val="14"/>
                <w:szCs w:val="14"/>
                <w:color w:val="auto"/>
              </w:rPr>
              <w:t>3/1/2024</w:t>
            </w:r>
          </w:p>
        </w:tc>
        <w:tc>
          <w:tcPr>
            <w:tcW w:w="940" w:type="dxa"/>
            <w:vAlign w:val="bottom"/>
            <w:tcBorders>
              <w:bottom w:val="single" w:sz="8" w:color="F0F7E7"/>
            </w:tcBorders>
            <w:shd w:val="clear" w:color="auto" w:fill="F0F7E7"/>
          </w:tcPr>
          <w:p>
            <w:pPr>
              <w:jc w:val="right"/>
              <w:spacing w:after="0" w:line="155"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F0F7E7"/>
            </w:tcBorders>
            <w:shd w:val="clear" w:color="auto" w:fill="F0F7E7"/>
          </w:tcPr>
          <w:p>
            <w:pPr>
              <w:jc w:val="right"/>
              <w:spacing w:after="0" w:line="155" w:lineRule="exact"/>
              <w:rPr>
                <w:sz w:val="20"/>
                <w:szCs w:val="20"/>
                <w:color w:val="auto"/>
              </w:rPr>
            </w:pPr>
            <w:r>
              <w:rPr>
                <w:rFonts w:ascii="Arial" w:cs="Arial" w:eastAsia="Arial" w:hAnsi="Arial"/>
                <w:sz w:val="14"/>
                <w:szCs w:val="14"/>
                <w:color w:val="auto"/>
              </w:rPr>
              <w:t>34,200</w:t>
            </w:r>
          </w:p>
        </w:tc>
        <w:tc>
          <w:tcPr>
            <w:tcW w:w="1260" w:type="dxa"/>
            <w:vAlign w:val="bottom"/>
            <w:tcBorders>
              <w:bottom w:val="single" w:sz="8" w:color="F0F7E7"/>
            </w:tcBorders>
            <w:shd w:val="clear" w:color="auto" w:fill="F0F7E7"/>
          </w:tcPr>
          <w:p>
            <w:pPr>
              <w:jc w:val="right"/>
              <w:ind w:right="10"/>
              <w:spacing w:after="0" w:line="155"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F0F7E7"/>
            </w:tcBorders>
            <w:shd w:val="clear" w:color="auto" w:fill="F0F7E7"/>
          </w:tcPr>
          <w:p>
            <w:pPr>
              <w:jc w:val="right"/>
              <w:spacing w:after="0" w:line="155" w:lineRule="exact"/>
              <w:rPr>
                <w:sz w:val="20"/>
                <w:szCs w:val="20"/>
                <w:color w:val="auto"/>
              </w:rPr>
            </w:pPr>
            <w:r>
              <w:rPr>
                <w:rFonts w:ascii="Arial" w:cs="Arial" w:eastAsia="Arial" w:hAnsi="Arial"/>
                <w:sz w:val="14"/>
                <w:szCs w:val="14"/>
                <w:color w:val="auto"/>
              </w:rPr>
              <w:t>53.69</w:t>
            </w:r>
          </w:p>
        </w:tc>
        <w:tc>
          <w:tcPr>
            <w:tcW w:w="800" w:type="dxa"/>
            <w:vAlign w:val="bottom"/>
            <w:tcBorders>
              <w:bottom w:val="single" w:sz="8" w:color="F0F7E7"/>
            </w:tcBorders>
            <w:shd w:val="clear" w:color="auto" w:fill="F0F7E7"/>
          </w:tcPr>
          <w:p>
            <w:pPr>
              <w:jc w:val="right"/>
              <w:spacing w:after="0" w:line="155" w:lineRule="exact"/>
              <w:rPr>
                <w:sz w:val="20"/>
                <w:szCs w:val="20"/>
                <w:color w:val="auto"/>
              </w:rPr>
            </w:pPr>
            <w:r>
              <w:rPr>
                <w:rFonts w:ascii="Arial" w:cs="Arial" w:eastAsia="Arial" w:hAnsi="Arial"/>
                <w:sz w:val="14"/>
                <w:szCs w:val="14"/>
                <w:color w:val="auto"/>
              </w:rPr>
              <w:t>3/1/2034</w:t>
            </w:r>
          </w:p>
        </w:tc>
        <w:tc>
          <w:tcPr>
            <w:tcW w:w="120" w:type="dxa"/>
            <w:vAlign w:val="bottom"/>
            <w:tcBorders>
              <w:bottom w:val="single" w:sz="8" w:color="F0F7E7"/>
            </w:tcBorders>
            <w:shd w:val="clear" w:color="auto" w:fill="F0F7E7"/>
          </w:tcPr>
          <w:p>
            <w:pPr>
              <w:spacing w:after="0"/>
              <w:rPr>
                <w:sz w:val="13"/>
                <w:szCs w:val="13"/>
                <w:color w:val="auto"/>
              </w:rPr>
            </w:pPr>
          </w:p>
        </w:tc>
        <w:tc>
          <w:tcPr>
            <w:tcW w:w="900" w:type="dxa"/>
            <w:vAlign w:val="bottom"/>
            <w:tcBorders>
              <w:bottom w:val="single" w:sz="8" w:color="F0F7E7"/>
            </w:tcBorders>
            <w:shd w:val="clear" w:color="auto" w:fill="F0F7E7"/>
          </w:tcPr>
          <w:p>
            <w:pPr>
              <w:jc w:val="right"/>
              <w:ind w:right="50"/>
              <w:spacing w:after="0" w:line="155" w:lineRule="exact"/>
              <w:rPr>
                <w:sz w:val="20"/>
                <w:szCs w:val="20"/>
                <w:color w:val="auto"/>
              </w:rPr>
            </w:pPr>
            <w:r>
              <w:rPr>
                <w:rFonts w:ascii="Arial" w:cs="Arial" w:eastAsia="Arial" w:hAnsi="Arial"/>
                <w:sz w:val="14"/>
                <w:szCs w:val="14"/>
                <w:color w:val="auto"/>
              </w:rPr>
              <w:t>19,400</w:t>
            </w:r>
          </w:p>
        </w:tc>
        <w:tc>
          <w:tcPr>
            <w:tcW w:w="920" w:type="dxa"/>
            <w:vAlign w:val="bottom"/>
            <w:tcBorders>
              <w:bottom w:val="single" w:sz="8" w:color="F0F7E7"/>
            </w:tcBorders>
            <w:shd w:val="clear" w:color="auto" w:fill="F0F7E7"/>
          </w:tcPr>
          <w:p>
            <w:pPr>
              <w:jc w:val="right"/>
              <w:ind w:right="30"/>
              <w:spacing w:after="0" w:line="155" w:lineRule="exact"/>
              <w:rPr>
                <w:sz w:val="20"/>
                <w:szCs w:val="20"/>
                <w:color w:val="auto"/>
              </w:rPr>
            </w:pPr>
            <w:r>
              <w:rPr>
                <w:rFonts w:ascii="Arial" w:cs="Arial" w:eastAsia="Arial" w:hAnsi="Arial"/>
                <w:sz w:val="14"/>
                <w:szCs w:val="14"/>
                <w:color w:val="auto"/>
              </w:rPr>
              <w:t>816,158</w:t>
            </w:r>
          </w:p>
        </w:tc>
        <w:tc>
          <w:tcPr>
            <w:tcW w:w="1360" w:type="dxa"/>
            <w:vAlign w:val="bottom"/>
            <w:tcBorders>
              <w:bottom w:val="single" w:sz="8" w:color="F0F7E7"/>
            </w:tcBorders>
            <w:shd w:val="clear" w:color="auto" w:fill="F0F7E7"/>
          </w:tcPr>
          <w:p>
            <w:pPr>
              <w:jc w:val="right"/>
              <w:ind w:right="50"/>
              <w:spacing w:after="0" w:line="155" w:lineRule="exact"/>
              <w:rPr>
                <w:sz w:val="20"/>
                <w:szCs w:val="20"/>
                <w:color w:val="auto"/>
              </w:rPr>
            </w:pPr>
            <w:r>
              <w:rPr>
                <w:rFonts w:ascii="Arial" w:cs="Arial" w:eastAsia="Arial" w:hAnsi="Arial"/>
                <w:sz w:val="14"/>
                <w:szCs w:val="14"/>
                <w:color w:val="auto"/>
              </w:rPr>
              <w:t>19,400</w:t>
            </w:r>
          </w:p>
        </w:tc>
        <w:tc>
          <w:tcPr>
            <w:tcW w:w="1600" w:type="dxa"/>
            <w:vAlign w:val="bottom"/>
            <w:tcBorders>
              <w:bottom w:val="single" w:sz="8" w:color="F0F7E7"/>
            </w:tcBorders>
            <w:shd w:val="clear" w:color="auto" w:fill="F0F7E7"/>
          </w:tcPr>
          <w:p>
            <w:pPr>
              <w:jc w:val="right"/>
              <w:spacing w:after="0" w:line="155" w:lineRule="exact"/>
              <w:rPr>
                <w:sz w:val="20"/>
                <w:szCs w:val="20"/>
                <w:color w:val="auto"/>
              </w:rPr>
            </w:pPr>
            <w:r>
              <w:rPr>
                <w:rFonts w:ascii="Arial" w:cs="Arial" w:eastAsia="Arial" w:hAnsi="Arial"/>
                <w:sz w:val="14"/>
                <w:szCs w:val="14"/>
                <w:color w:val="auto"/>
              </w:rPr>
              <w:t>816,158</w:t>
            </w:r>
          </w:p>
        </w:tc>
        <w:tc>
          <w:tcPr>
            <w:tcW w:w="0" w:type="dxa"/>
            <w:vAlign w:val="bottom"/>
          </w:tcPr>
          <w:p>
            <w:pPr>
              <w:spacing w:after="0"/>
              <w:rPr>
                <w:sz w:val="1"/>
                <w:szCs w:val="1"/>
                <w:color w:val="auto"/>
              </w:rPr>
            </w:pPr>
          </w:p>
        </w:tc>
      </w:tr>
      <w:tr>
        <w:trPr>
          <w:trHeight w:val="140"/>
        </w:trPr>
        <w:tc>
          <w:tcPr>
            <w:tcW w:w="680" w:type="dxa"/>
            <w:vAlign w:val="bottom"/>
            <w:shd w:val="clear" w:color="auto" w:fill="F0F7E7"/>
          </w:tcPr>
          <w:p>
            <w:pPr>
              <w:ind w:left="40"/>
              <w:spacing w:after="0" w:line="140" w:lineRule="exact"/>
              <w:rPr>
                <w:sz w:val="20"/>
                <w:szCs w:val="20"/>
                <w:color w:val="auto"/>
              </w:rPr>
            </w:pPr>
            <w:r>
              <w:rPr>
                <w:rFonts w:ascii="Arial" w:cs="Arial" w:eastAsia="Arial" w:hAnsi="Arial"/>
                <w:sz w:val="14"/>
                <w:szCs w:val="14"/>
                <w:b w:val="1"/>
                <w:bCs w:val="1"/>
                <w:color w:val="auto"/>
                <w:w w:val="97"/>
              </w:rPr>
              <w:t>Crombez,</w:t>
            </w:r>
          </w:p>
        </w:tc>
        <w:tc>
          <w:tcPr>
            <w:tcW w:w="980" w:type="dxa"/>
            <w:vAlign w:val="bottom"/>
          </w:tcPr>
          <w:p>
            <w:pPr>
              <w:jc w:val="right"/>
              <w:ind w:right="50"/>
              <w:spacing w:after="0" w:line="140" w:lineRule="exact"/>
              <w:rPr>
                <w:sz w:val="20"/>
                <w:szCs w:val="20"/>
                <w:color w:val="auto"/>
              </w:rPr>
            </w:pPr>
            <w:r>
              <w:rPr>
                <w:rFonts w:ascii="Arial" w:cs="Arial" w:eastAsia="Arial" w:hAnsi="Arial"/>
                <w:sz w:val="14"/>
                <w:szCs w:val="14"/>
                <w:color w:val="auto"/>
              </w:rPr>
              <w:t>5/1/2023</w:t>
            </w:r>
          </w:p>
        </w:tc>
        <w:tc>
          <w:tcPr>
            <w:tcW w:w="940" w:type="dxa"/>
            <w:vAlign w:val="bottom"/>
          </w:tcPr>
          <w:p>
            <w:pPr>
              <w:jc w:val="right"/>
              <w:spacing w:after="0" w:line="140" w:lineRule="exact"/>
              <w:rPr>
                <w:sz w:val="20"/>
                <w:szCs w:val="20"/>
                <w:color w:val="auto"/>
              </w:rPr>
            </w:pPr>
            <w:r>
              <w:rPr>
                <w:rFonts w:ascii="Arial" w:cs="Arial" w:eastAsia="Arial" w:hAnsi="Arial"/>
                <w:sz w:val="14"/>
                <w:szCs w:val="14"/>
                <w:color w:val="auto"/>
              </w:rPr>
              <w:t>3,310</w:t>
            </w:r>
          </w:p>
        </w:tc>
        <w:tc>
          <w:tcPr>
            <w:tcW w:w="1080" w:type="dxa"/>
            <w:vAlign w:val="bottom"/>
          </w:tcPr>
          <w:p>
            <w:pPr>
              <w:jc w:val="right"/>
              <w:spacing w:after="0" w:line="140" w:lineRule="exact"/>
              <w:rPr>
                <w:sz w:val="20"/>
                <w:szCs w:val="20"/>
                <w:color w:val="auto"/>
              </w:rPr>
            </w:pPr>
            <w:r>
              <w:rPr>
                <w:rFonts w:ascii="Arial" w:cs="Arial" w:eastAsia="Arial" w:hAnsi="Arial"/>
                <w:sz w:val="14"/>
                <w:szCs w:val="14"/>
                <w:color w:val="auto"/>
              </w:rPr>
              <w:t>5,052</w:t>
            </w:r>
          </w:p>
        </w:tc>
        <w:tc>
          <w:tcPr>
            <w:tcW w:w="1260" w:type="dxa"/>
            <w:vAlign w:val="bottom"/>
          </w:tcPr>
          <w:p>
            <w:pPr>
              <w:jc w:val="right"/>
              <w:ind w:right="10"/>
              <w:spacing w:after="0" w:line="140"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0" w:lineRule="exact"/>
              <w:rPr>
                <w:sz w:val="20"/>
                <w:szCs w:val="20"/>
                <w:color w:val="auto"/>
              </w:rPr>
            </w:pPr>
            <w:r>
              <w:rPr>
                <w:rFonts w:ascii="Arial" w:cs="Arial" w:eastAsia="Arial" w:hAnsi="Arial"/>
                <w:sz w:val="14"/>
                <w:szCs w:val="14"/>
                <w:color w:val="auto"/>
              </w:rPr>
              <w:t>44.03</w:t>
            </w:r>
          </w:p>
        </w:tc>
        <w:tc>
          <w:tcPr>
            <w:tcW w:w="800" w:type="dxa"/>
            <w:vAlign w:val="bottom"/>
          </w:tcPr>
          <w:p>
            <w:pPr>
              <w:jc w:val="right"/>
              <w:spacing w:after="0" w:line="140" w:lineRule="exact"/>
              <w:rPr>
                <w:sz w:val="20"/>
                <w:szCs w:val="20"/>
                <w:color w:val="auto"/>
              </w:rPr>
            </w:pPr>
            <w:r>
              <w:rPr>
                <w:rFonts w:ascii="Arial" w:cs="Arial" w:eastAsia="Arial" w:hAnsi="Arial"/>
                <w:sz w:val="14"/>
                <w:szCs w:val="14"/>
                <w:color w:val="auto"/>
              </w:rPr>
              <w:t>5/1/2033</w:t>
            </w:r>
          </w:p>
        </w:tc>
        <w:tc>
          <w:tcPr>
            <w:tcW w:w="120" w:type="dxa"/>
            <w:vAlign w:val="bottom"/>
          </w:tcPr>
          <w:p>
            <w:pPr>
              <w:spacing w:after="0"/>
              <w:rPr>
                <w:sz w:val="12"/>
                <w:szCs w:val="12"/>
                <w:color w:val="auto"/>
              </w:rPr>
            </w:pPr>
          </w:p>
        </w:tc>
        <w:tc>
          <w:tcPr>
            <w:tcW w:w="900" w:type="dxa"/>
            <w:vAlign w:val="bottom"/>
          </w:tcPr>
          <w:p>
            <w:pPr>
              <w:jc w:val="right"/>
              <w:ind w:right="50"/>
              <w:spacing w:after="0" w:line="140" w:lineRule="exact"/>
              <w:rPr>
                <w:sz w:val="20"/>
                <w:szCs w:val="20"/>
                <w:color w:val="auto"/>
              </w:rPr>
            </w:pPr>
            <w:r>
              <w:rPr>
                <w:rFonts w:ascii="Arial" w:cs="Arial" w:eastAsia="Arial" w:hAnsi="Arial"/>
                <w:sz w:val="14"/>
                <w:szCs w:val="14"/>
                <w:color w:val="auto"/>
              </w:rPr>
              <w:t>18,464</w:t>
            </w:r>
          </w:p>
        </w:tc>
        <w:tc>
          <w:tcPr>
            <w:tcW w:w="920" w:type="dxa"/>
            <w:vAlign w:val="bottom"/>
          </w:tcPr>
          <w:p>
            <w:pPr>
              <w:jc w:val="right"/>
              <w:ind w:right="30"/>
              <w:spacing w:after="0" w:line="140" w:lineRule="exact"/>
              <w:rPr>
                <w:sz w:val="20"/>
                <w:szCs w:val="20"/>
                <w:color w:val="auto"/>
              </w:rPr>
            </w:pPr>
            <w:r>
              <w:rPr>
                <w:rFonts w:ascii="Arial" w:cs="Arial" w:eastAsia="Arial" w:hAnsi="Arial"/>
                <w:sz w:val="14"/>
                <w:szCs w:val="14"/>
                <w:color w:val="auto"/>
              </w:rPr>
              <w:t>776,780</w:t>
            </w:r>
          </w:p>
        </w:tc>
        <w:tc>
          <w:tcPr>
            <w:tcW w:w="1360" w:type="dxa"/>
            <w:vAlign w:val="bottom"/>
          </w:tcPr>
          <w:p>
            <w:pPr>
              <w:jc w:val="right"/>
              <w:ind w:right="50"/>
              <w:spacing w:after="0" w:line="140" w:lineRule="exact"/>
              <w:rPr>
                <w:sz w:val="20"/>
                <w:szCs w:val="20"/>
                <w:color w:val="auto"/>
              </w:rPr>
            </w:pPr>
            <w:r>
              <w:rPr>
                <w:rFonts w:ascii="Arial" w:cs="Arial" w:eastAsia="Arial" w:hAnsi="Arial"/>
                <w:sz w:val="14"/>
                <w:szCs w:val="14"/>
                <w:color w:val="auto"/>
              </w:rPr>
              <w:t>7,029</w:t>
            </w:r>
          </w:p>
        </w:tc>
        <w:tc>
          <w:tcPr>
            <w:tcW w:w="1600" w:type="dxa"/>
            <w:vAlign w:val="bottom"/>
          </w:tcPr>
          <w:p>
            <w:pPr>
              <w:jc w:val="right"/>
              <w:spacing w:after="0" w:line="140" w:lineRule="exact"/>
              <w:rPr>
                <w:sz w:val="20"/>
                <w:szCs w:val="20"/>
                <w:color w:val="auto"/>
              </w:rPr>
            </w:pPr>
            <w:r>
              <w:rPr>
                <w:rFonts w:ascii="Arial" w:cs="Arial" w:eastAsia="Arial" w:hAnsi="Arial"/>
                <w:sz w:val="14"/>
                <w:szCs w:val="14"/>
                <w:color w:val="auto"/>
              </w:rPr>
              <w:t>295,710</w:t>
            </w:r>
          </w:p>
        </w:tc>
        <w:tc>
          <w:tcPr>
            <w:tcW w:w="0" w:type="dxa"/>
            <w:vAlign w:val="bottom"/>
          </w:tcPr>
          <w:p>
            <w:pPr>
              <w:spacing w:after="0"/>
              <w:rPr>
                <w:sz w:val="1"/>
                <w:szCs w:val="1"/>
                <w:color w:val="auto"/>
              </w:rPr>
            </w:pPr>
          </w:p>
        </w:tc>
      </w:tr>
      <w:tr>
        <w:trPr>
          <w:trHeight w:val="47"/>
        </w:trPr>
        <w:tc>
          <w:tcPr>
            <w:tcW w:w="680" w:type="dxa"/>
            <w:vAlign w:val="bottom"/>
            <w:vMerge w:val="restart"/>
            <w:shd w:val="clear" w:color="auto" w:fill="F0F7E7"/>
          </w:tcPr>
          <w:p>
            <w:pPr>
              <w:ind w:left="40"/>
              <w:spacing w:after="0"/>
              <w:rPr>
                <w:sz w:val="20"/>
                <w:szCs w:val="20"/>
                <w:color w:val="auto"/>
              </w:rPr>
            </w:pPr>
            <w:r>
              <w:rPr>
                <w:rFonts w:ascii="Arial" w:cs="Arial" w:eastAsia="Arial" w:hAnsi="Arial"/>
                <w:sz w:val="14"/>
                <w:szCs w:val="14"/>
                <w:b w:val="1"/>
                <w:bCs w:val="1"/>
                <w:color w:val="auto"/>
              </w:rPr>
              <w:t>M.D.</w:t>
            </w:r>
          </w:p>
        </w:tc>
        <w:tc>
          <w:tcPr>
            <w:tcW w:w="9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680" w:type="dxa"/>
            <w:vAlign w:val="bottom"/>
            <w:vMerge w:val="continue"/>
            <w:shd w:val="clear" w:color="auto" w:fill="F0F7E7"/>
          </w:tcPr>
          <w:p>
            <w:pPr>
              <w:spacing w:after="0"/>
              <w:rPr>
                <w:sz w:val="16"/>
                <w:szCs w:val="16"/>
                <w:color w:val="auto"/>
              </w:rPr>
            </w:pPr>
          </w:p>
        </w:tc>
        <w:tc>
          <w:tcPr>
            <w:tcW w:w="980" w:type="dxa"/>
            <w:vAlign w:val="bottom"/>
            <w:shd w:val="clear" w:color="auto" w:fill="F0F7E7"/>
          </w:tcPr>
          <w:p>
            <w:pPr>
              <w:jc w:val="right"/>
              <w:ind w:right="50"/>
              <w:spacing w:after="0"/>
              <w:rPr>
                <w:sz w:val="20"/>
                <w:szCs w:val="20"/>
                <w:color w:val="auto"/>
              </w:rPr>
            </w:pPr>
            <w:r>
              <w:rPr>
                <w:rFonts w:ascii="Arial" w:cs="Arial" w:eastAsia="Arial" w:hAnsi="Arial"/>
                <w:sz w:val="14"/>
                <w:szCs w:val="14"/>
                <w:color w:val="auto"/>
              </w:rPr>
              <w:t>3/1/2023</w:t>
            </w:r>
          </w:p>
        </w:tc>
        <w:tc>
          <w:tcPr>
            <w:tcW w:w="940" w:type="dxa"/>
            <w:vAlign w:val="bottom"/>
            <w:shd w:val="clear" w:color="auto" w:fill="F0F7E7"/>
          </w:tcPr>
          <w:p>
            <w:pPr>
              <w:jc w:val="right"/>
              <w:spacing w:after="0"/>
              <w:rPr>
                <w:sz w:val="20"/>
                <w:szCs w:val="20"/>
                <w:color w:val="auto"/>
              </w:rPr>
            </w:pPr>
            <w:r>
              <w:rPr>
                <w:rFonts w:ascii="Arial" w:cs="Arial" w:eastAsia="Arial" w:hAnsi="Arial"/>
                <w:sz w:val="14"/>
                <w:szCs w:val="14"/>
                <w:color w:val="auto"/>
              </w:rPr>
              <w:t>4,308</w:t>
            </w:r>
          </w:p>
        </w:tc>
        <w:tc>
          <w:tcPr>
            <w:tcW w:w="1080" w:type="dxa"/>
            <w:vAlign w:val="bottom"/>
            <w:shd w:val="clear" w:color="auto" w:fill="F0F7E7"/>
          </w:tcPr>
          <w:p>
            <w:pPr>
              <w:jc w:val="right"/>
              <w:spacing w:after="0"/>
              <w:rPr>
                <w:sz w:val="20"/>
                <w:szCs w:val="20"/>
                <w:color w:val="auto"/>
              </w:rPr>
            </w:pPr>
            <w:r>
              <w:rPr>
                <w:rFonts w:ascii="Arial" w:cs="Arial" w:eastAsia="Arial" w:hAnsi="Arial"/>
                <w:sz w:val="14"/>
                <w:szCs w:val="14"/>
                <w:color w:val="auto"/>
              </w:rPr>
              <w:t>5,537</w:t>
            </w:r>
          </w:p>
        </w:tc>
        <w:tc>
          <w:tcPr>
            <w:tcW w:w="1260" w:type="dxa"/>
            <w:vAlign w:val="bottom"/>
            <w:shd w:val="clear" w:color="auto" w:fill="F0F7E7"/>
          </w:tcPr>
          <w:p>
            <w:pPr>
              <w:jc w:val="right"/>
              <w:ind w:right="10"/>
              <w:spacing w:after="0"/>
              <w:rPr>
                <w:sz w:val="20"/>
                <w:szCs w:val="20"/>
                <w:color w:val="auto"/>
              </w:rPr>
            </w:pPr>
            <w:r>
              <w:rPr>
                <w:rFonts w:ascii="Arial" w:cs="Arial" w:eastAsia="Arial" w:hAnsi="Arial"/>
                <w:sz w:val="14"/>
                <w:szCs w:val="14"/>
                <w:color w:val="auto"/>
              </w:rPr>
              <w:t>—</w:t>
            </w:r>
          </w:p>
        </w:tc>
        <w:tc>
          <w:tcPr>
            <w:tcW w:w="700" w:type="dxa"/>
            <w:vAlign w:val="bottom"/>
            <w:shd w:val="clear" w:color="auto" w:fill="F0F7E7"/>
          </w:tcPr>
          <w:p>
            <w:pPr>
              <w:jc w:val="right"/>
              <w:spacing w:after="0"/>
              <w:rPr>
                <w:sz w:val="20"/>
                <w:szCs w:val="20"/>
                <w:color w:val="auto"/>
              </w:rPr>
            </w:pPr>
            <w:r>
              <w:rPr>
                <w:rFonts w:ascii="Arial" w:cs="Arial" w:eastAsia="Arial" w:hAnsi="Arial"/>
                <w:sz w:val="14"/>
                <w:szCs w:val="14"/>
                <w:color w:val="auto"/>
              </w:rPr>
              <w:t>45.65</w:t>
            </w:r>
          </w:p>
        </w:tc>
        <w:tc>
          <w:tcPr>
            <w:tcW w:w="800" w:type="dxa"/>
            <w:vAlign w:val="bottom"/>
            <w:shd w:val="clear" w:color="auto" w:fill="F0F7E7"/>
          </w:tcPr>
          <w:p>
            <w:pPr>
              <w:jc w:val="right"/>
              <w:spacing w:after="0"/>
              <w:rPr>
                <w:sz w:val="20"/>
                <w:szCs w:val="20"/>
                <w:color w:val="auto"/>
              </w:rPr>
            </w:pPr>
            <w:r>
              <w:rPr>
                <w:rFonts w:ascii="Arial" w:cs="Arial" w:eastAsia="Arial" w:hAnsi="Arial"/>
                <w:sz w:val="14"/>
                <w:szCs w:val="14"/>
                <w:color w:val="auto"/>
              </w:rPr>
              <w:t>3/1/2033</w:t>
            </w:r>
          </w:p>
        </w:tc>
        <w:tc>
          <w:tcPr>
            <w:tcW w:w="120" w:type="dxa"/>
            <w:vAlign w:val="bottom"/>
            <w:shd w:val="clear" w:color="auto" w:fill="F0F7E7"/>
          </w:tcPr>
          <w:p>
            <w:pPr>
              <w:spacing w:after="0"/>
              <w:rPr>
                <w:sz w:val="16"/>
                <w:szCs w:val="16"/>
                <w:color w:val="auto"/>
              </w:rPr>
            </w:pPr>
          </w:p>
        </w:tc>
        <w:tc>
          <w:tcPr>
            <w:tcW w:w="900" w:type="dxa"/>
            <w:vAlign w:val="bottom"/>
            <w:shd w:val="clear" w:color="auto" w:fill="F0F7E7"/>
          </w:tcPr>
          <w:p>
            <w:pPr>
              <w:jc w:val="right"/>
              <w:ind w:right="50"/>
              <w:spacing w:after="0"/>
              <w:rPr>
                <w:sz w:val="20"/>
                <w:szCs w:val="20"/>
                <w:color w:val="auto"/>
              </w:rPr>
            </w:pPr>
            <w:r>
              <w:rPr>
                <w:rFonts w:ascii="Arial" w:cs="Arial" w:eastAsia="Arial" w:hAnsi="Arial"/>
                <w:sz w:val="14"/>
                <w:szCs w:val="14"/>
                <w:color w:val="auto"/>
              </w:rPr>
              <w:t>5,538</w:t>
            </w:r>
          </w:p>
        </w:tc>
        <w:tc>
          <w:tcPr>
            <w:tcW w:w="920" w:type="dxa"/>
            <w:vAlign w:val="bottom"/>
            <w:shd w:val="clear" w:color="auto" w:fill="F0F7E7"/>
          </w:tcPr>
          <w:p>
            <w:pPr>
              <w:jc w:val="right"/>
              <w:ind w:right="30"/>
              <w:spacing w:after="0"/>
              <w:rPr>
                <w:sz w:val="20"/>
                <w:szCs w:val="20"/>
                <w:color w:val="auto"/>
              </w:rPr>
            </w:pPr>
            <w:r>
              <w:rPr>
                <w:rFonts w:ascii="Arial" w:cs="Arial" w:eastAsia="Arial" w:hAnsi="Arial"/>
                <w:sz w:val="14"/>
                <w:szCs w:val="14"/>
                <w:color w:val="auto"/>
              </w:rPr>
              <w:t>232,984</w:t>
            </w:r>
          </w:p>
        </w:tc>
        <w:tc>
          <w:tcPr>
            <w:tcW w:w="1360" w:type="dxa"/>
            <w:vAlign w:val="bottom"/>
            <w:shd w:val="clear" w:color="auto" w:fill="F0F7E7"/>
          </w:tcPr>
          <w:p>
            <w:pPr>
              <w:jc w:val="right"/>
              <w:ind w:right="50"/>
              <w:spacing w:after="0"/>
              <w:rPr>
                <w:sz w:val="20"/>
                <w:szCs w:val="20"/>
                <w:color w:val="auto"/>
              </w:rPr>
            </w:pPr>
            <w:r>
              <w:rPr>
                <w:rFonts w:ascii="Arial" w:cs="Arial" w:eastAsia="Arial" w:hAnsi="Arial"/>
                <w:sz w:val="14"/>
                <w:szCs w:val="14"/>
                <w:color w:val="auto"/>
              </w:rPr>
              <w:t>—</w:t>
            </w:r>
          </w:p>
        </w:tc>
        <w:tc>
          <w:tcPr>
            <w:tcW w:w="1600" w:type="dxa"/>
            <w:vAlign w:val="bottom"/>
            <w:shd w:val="clear" w:color="auto" w:fill="F0F7E7"/>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680" w:type="dxa"/>
            <w:vAlign w:val="bottom"/>
            <w:shd w:val="clear" w:color="auto" w:fill="F0F7E7"/>
          </w:tcPr>
          <w:p>
            <w:pPr>
              <w:spacing w:after="0"/>
              <w:rPr>
                <w:sz w:val="16"/>
                <w:szCs w:val="16"/>
                <w:color w:val="auto"/>
              </w:rPr>
            </w:pPr>
          </w:p>
        </w:tc>
        <w:tc>
          <w:tcPr>
            <w:tcW w:w="980" w:type="dxa"/>
            <w:vAlign w:val="bottom"/>
          </w:tcPr>
          <w:p>
            <w:pPr>
              <w:jc w:val="right"/>
              <w:ind w:right="50"/>
              <w:spacing w:after="0"/>
              <w:rPr>
                <w:sz w:val="20"/>
                <w:szCs w:val="20"/>
                <w:color w:val="auto"/>
              </w:rPr>
            </w:pPr>
            <w:r>
              <w:rPr>
                <w:rFonts w:ascii="Arial" w:cs="Arial" w:eastAsia="Arial" w:hAnsi="Arial"/>
                <w:sz w:val="14"/>
                <w:szCs w:val="14"/>
                <w:color w:val="auto"/>
              </w:rPr>
              <w:t>3/1/2022</w:t>
            </w:r>
          </w:p>
        </w:tc>
        <w:tc>
          <w:tcPr>
            <w:tcW w:w="940" w:type="dxa"/>
            <w:vAlign w:val="bottom"/>
          </w:tcPr>
          <w:p>
            <w:pPr>
              <w:jc w:val="right"/>
              <w:spacing w:after="0"/>
              <w:rPr>
                <w:sz w:val="20"/>
                <w:szCs w:val="20"/>
                <w:color w:val="auto"/>
              </w:rPr>
            </w:pPr>
            <w:r>
              <w:rPr>
                <w:rFonts w:ascii="Arial" w:cs="Arial" w:eastAsia="Arial" w:hAnsi="Arial"/>
                <w:sz w:val="14"/>
                <w:szCs w:val="14"/>
                <w:color w:val="auto"/>
              </w:rPr>
              <w:t>7,491</w:t>
            </w:r>
          </w:p>
        </w:tc>
        <w:tc>
          <w:tcPr>
            <w:tcW w:w="1080" w:type="dxa"/>
            <w:vAlign w:val="bottom"/>
          </w:tcPr>
          <w:p>
            <w:pPr>
              <w:jc w:val="right"/>
              <w:spacing w:after="0"/>
              <w:rPr>
                <w:sz w:val="20"/>
                <w:szCs w:val="20"/>
                <w:color w:val="auto"/>
              </w:rPr>
            </w:pPr>
            <w:r>
              <w:rPr>
                <w:rFonts w:ascii="Arial" w:cs="Arial" w:eastAsia="Arial" w:hAnsi="Arial"/>
                <w:sz w:val="14"/>
                <w:szCs w:val="14"/>
                <w:color w:val="auto"/>
              </w:rPr>
              <w:t>8,249</w:t>
            </w:r>
          </w:p>
        </w:tc>
        <w:tc>
          <w:tcPr>
            <w:tcW w:w="126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67.37</w:t>
            </w:r>
          </w:p>
        </w:tc>
        <w:tc>
          <w:tcPr>
            <w:tcW w:w="800" w:type="dxa"/>
            <w:vAlign w:val="bottom"/>
          </w:tcPr>
          <w:p>
            <w:pPr>
              <w:jc w:val="right"/>
              <w:spacing w:after="0"/>
              <w:rPr>
                <w:sz w:val="20"/>
                <w:szCs w:val="20"/>
                <w:color w:val="auto"/>
              </w:rPr>
            </w:pPr>
            <w:r>
              <w:rPr>
                <w:rFonts w:ascii="Arial" w:cs="Arial" w:eastAsia="Arial" w:hAnsi="Arial"/>
                <w:sz w:val="14"/>
                <w:szCs w:val="14"/>
                <w:color w:val="auto"/>
              </w:rPr>
              <w:t>3/1/2032</w:t>
            </w:r>
          </w:p>
        </w:tc>
        <w:tc>
          <w:tcPr>
            <w:tcW w:w="120" w:type="dxa"/>
            <w:vAlign w:val="bottom"/>
          </w:tcPr>
          <w:p>
            <w:pPr>
              <w:spacing w:after="0"/>
              <w:rPr>
                <w:sz w:val="16"/>
                <w:szCs w:val="16"/>
                <w:color w:val="auto"/>
              </w:rPr>
            </w:pPr>
          </w:p>
        </w:tc>
        <w:tc>
          <w:tcPr>
            <w:tcW w:w="900" w:type="dxa"/>
            <w:vAlign w:val="bottom"/>
          </w:tcPr>
          <w:p>
            <w:pPr>
              <w:jc w:val="right"/>
              <w:ind w:right="50"/>
              <w:spacing w:after="0"/>
              <w:rPr>
                <w:sz w:val="20"/>
                <w:szCs w:val="20"/>
                <w:color w:val="auto"/>
              </w:rPr>
            </w:pPr>
            <w:r>
              <w:rPr>
                <w:rFonts w:ascii="Arial" w:cs="Arial" w:eastAsia="Arial" w:hAnsi="Arial"/>
                <w:sz w:val="14"/>
                <w:szCs w:val="14"/>
                <w:color w:val="auto"/>
              </w:rPr>
              <w:t>1,587</w:t>
            </w:r>
          </w:p>
        </w:tc>
        <w:tc>
          <w:tcPr>
            <w:tcW w:w="920" w:type="dxa"/>
            <w:vAlign w:val="bottom"/>
          </w:tcPr>
          <w:p>
            <w:pPr>
              <w:jc w:val="right"/>
              <w:ind w:right="30"/>
              <w:spacing w:after="0"/>
              <w:rPr>
                <w:sz w:val="20"/>
                <w:szCs w:val="20"/>
                <w:color w:val="auto"/>
              </w:rPr>
            </w:pPr>
            <w:r>
              <w:rPr>
                <w:rFonts w:ascii="Arial" w:cs="Arial" w:eastAsia="Arial" w:hAnsi="Arial"/>
                <w:sz w:val="14"/>
                <w:szCs w:val="14"/>
                <w:color w:val="auto"/>
              </w:rPr>
              <w:t>66,765</w:t>
            </w:r>
          </w:p>
        </w:tc>
        <w:tc>
          <w:tcPr>
            <w:tcW w:w="136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16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7"/>
        </w:trPr>
        <w:tc>
          <w:tcPr>
            <w:tcW w:w="680" w:type="dxa"/>
            <w:vAlign w:val="bottom"/>
            <w:shd w:val="clear" w:color="auto" w:fill="F0F7E7"/>
          </w:tcPr>
          <w:p>
            <w:pPr>
              <w:spacing w:after="0"/>
              <w:rPr>
                <w:sz w:val="16"/>
                <w:szCs w:val="16"/>
                <w:color w:val="auto"/>
              </w:rPr>
            </w:pPr>
          </w:p>
        </w:tc>
        <w:tc>
          <w:tcPr>
            <w:tcW w:w="980" w:type="dxa"/>
            <w:vAlign w:val="bottom"/>
            <w:shd w:val="clear" w:color="auto" w:fill="F0F7E7"/>
          </w:tcPr>
          <w:p>
            <w:pPr>
              <w:jc w:val="right"/>
              <w:ind w:right="50"/>
              <w:spacing w:after="0"/>
              <w:rPr>
                <w:sz w:val="20"/>
                <w:szCs w:val="20"/>
                <w:color w:val="auto"/>
              </w:rPr>
            </w:pPr>
            <w:r>
              <w:rPr>
                <w:rFonts w:ascii="Arial" w:cs="Arial" w:eastAsia="Arial" w:hAnsi="Arial"/>
                <w:sz w:val="14"/>
                <w:szCs w:val="14"/>
                <w:color w:val="auto"/>
              </w:rPr>
              <w:t>4/16/2021</w:t>
            </w:r>
          </w:p>
        </w:tc>
        <w:tc>
          <w:tcPr>
            <w:tcW w:w="940" w:type="dxa"/>
            <w:vAlign w:val="bottom"/>
            <w:shd w:val="clear" w:color="auto" w:fill="F0F7E7"/>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F0F7E7"/>
          </w:tcPr>
          <w:p>
            <w:pPr>
              <w:jc w:val="right"/>
              <w:spacing w:after="0"/>
              <w:rPr>
                <w:sz w:val="20"/>
                <w:szCs w:val="20"/>
                <w:color w:val="auto"/>
              </w:rPr>
            </w:pPr>
            <w:r>
              <w:rPr>
                <w:rFonts w:ascii="Arial" w:cs="Arial" w:eastAsia="Arial" w:hAnsi="Arial"/>
                <w:sz w:val="14"/>
                <w:szCs w:val="14"/>
                <w:color w:val="auto"/>
              </w:rPr>
              <w:t>—</w:t>
            </w:r>
          </w:p>
        </w:tc>
        <w:tc>
          <w:tcPr>
            <w:tcW w:w="1260" w:type="dxa"/>
            <w:vAlign w:val="bottom"/>
            <w:shd w:val="clear" w:color="auto" w:fill="F0F7E7"/>
          </w:tcPr>
          <w:p>
            <w:pPr>
              <w:jc w:val="right"/>
              <w:ind w:right="10"/>
              <w:spacing w:after="0"/>
              <w:rPr>
                <w:sz w:val="20"/>
                <w:szCs w:val="20"/>
                <w:color w:val="auto"/>
              </w:rPr>
            </w:pPr>
            <w:r>
              <w:rPr>
                <w:rFonts w:ascii="Arial" w:cs="Arial" w:eastAsia="Arial" w:hAnsi="Arial"/>
                <w:sz w:val="14"/>
                <w:szCs w:val="14"/>
                <w:color w:val="auto"/>
              </w:rPr>
              <w:t>—</w:t>
            </w:r>
          </w:p>
        </w:tc>
        <w:tc>
          <w:tcPr>
            <w:tcW w:w="700" w:type="dxa"/>
            <w:vAlign w:val="bottom"/>
            <w:shd w:val="clear" w:color="auto" w:fill="F0F7E7"/>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F0F7E7"/>
          </w:tcPr>
          <w:p>
            <w:pPr>
              <w:spacing w:after="0"/>
              <w:rPr>
                <w:sz w:val="16"/>
                <w:szCs w:val="16"/>
                <w:color w:val="auto"/>
              </w:rPr>
            </w:pPr>
          </w:p>
        </w:tc>
        <w:tc>
          <w:tcPr>
            <w:tcW w:w="120" w:type="dxa"/>
            <w:vAlign w:val="bottom"/>
            <w:shd w:val="clear" w:color="auto" w:fill="F0F7E7"/>
          </w:tcPr>
          <w:p>
            <w:pPr>
              <w:spacing w:after="0"/>
              <w:rPr>
                <w:sz w:val="16"/>
                <w:szCs w:val="16"/>
                <w:color w:val="auto"/>
              </w:rPr>
            </w:pPr>
          </w:p>
        </w:tc>
        <w:tc>
          <w:tcPr>
            <w:tcW w:w="900" w:type="dxa"/>
            <w:vAlign w:val="bottom"/>
            <w:shd w:val="clear" w:color="auto" w:fill="F0F7E7"/>
          </w:tcPr>
          <w:p>
            <w:pPr>
              <w:jc w:val="right"/>
              <w:ind w:right="50"/>
              <w:spacing w:after="0"/>
              <w:rPr>
                <w:sz w:val="20"/>
                <w:szCs w:val="20"/>
                <w:color w:val="auto"/>
              </w:rPr>
            </w:pPr>
            <w:r>
              <w:rPr>
                <w:rFonts w:ascii="Arial" w:cs="Arial" w:eastAsia="Arial" w:hAnsi="Arial"/>
                <w:sz w:val="14"/>
                <w:szCs w:val="14"/>
                <w:color w:val="auto"/>
              </w:rPr>
              <w:t>500</w:t>
            </w:r>
          </w:p>
        </w:tc>
        <w:tc>
          <w:tcPr>
            <w:tcW w:w="920" w:type="dxa"/>
            <w:vAlign w:val="bottom"/>
            <w:shd w:val="clear" w:color="auto" w:fill="F0F7E7"/>
          </w:tcPr>
          <w:p>
            <w:pPr>
              <w:jc w:val="right"/>
              <w:ind w:right="30"/>
              <w:spacing w:after="0"/>
              <w:rPr>
                <w:sz w:val="20"/>
                <w:szCs w:val="20"/>
                <w:color w:val="auto"/>
              </w:rPr>
            </w:pPr>
            <w:r>
              <w:rPr>
                <w:rFonts w:ascii="Arial" w:cs="Arial" w:eastAsia="Arial" w:hAnsi="Arial"/>
                <w:sz w:val="14"/>
                <w:szCs w:val="14"/>
                <w:color w:val="auto"/>
              </w:rPr>
              <w:t>21,035</w:t>
            </w:r>
          </w:p>
        </w:tc>
        <w:tc>
          <w:tcPr>
            <w:tcW w:w="1360" w:type="dxa"/>
            <w:vAlign w:val="bottom"/>
            <w:shd w:val="clear" w:color="auto" w:fill="F0F7E7"/>
          </w:tcPr>
          <w:p>
            <w:pPr>
              <w:jc w:val="right"/>
              <w:ind w:right="50"/>
              <w:spacing w:after="0"/>
              <w:rPr>
                <w:sz w:val="20"/>
                <w:szCs w:val="20"/>
                <w:color w:val="auto"/>
              </w:rPr>
            </w:pPr>
            <w:r>
              <w:rPr>
                <w:rFonts w:ascii="Arial" w:cs="Arial" w:eastAsia="Arial" w:hAnsi="Arial"/>
                <w:sz w:val="14"/>
                <w:szCs w:val="14"/>
                <w:color w:val="auto"/>
              </w:rPr>
              <w:t>—</w:t>
            </w:r>
          </w:p>
        </w:tc>
        <w:tc>
          <w:tcPr>
            <w:tcW w:w="1600" w:type="dxa"/>
            <w:vAlign w:val="bottom"/>
            <w:shd w:val="clear" w:color="auto" w:fill="F0F7E7"/>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680" w:type="dxa"/>
            <w:vAlign w:val="bottom"/>
            <w:shd w:val="clear" w:color="auto" w:fill="F0F7E7"/>
          </w:tcPr>
          <w:p>
            <w:pPr>
              <w:spacing w:after="0"/>
              <w:rPr>
                <w:sz w:val="16"/>
                <w:szCs w:val="16"/>
                <w:color w:val="auto"/>
              </w:rPr>
            </w:pPr>
          </w:p>
        </w:tc>
        <w:tc>
          <w:tcPr>
            <w:tcW w:w="980" w:type="dxa"/>
            <w:vAlign w:val="bottom"/>
          </w:tcPr>
          <w:p>
            <w:pPr>
              <w:jc w:val="right"/>
              <w:ind w:right="50"/>
              <w:spacing w:after="0"/>
              <w:rPr>
                <w:sz w:val="20"/>
                <w:szCs w:val="20"/>
                <w:color w:val="auto"/>
              </w:rPr>
            </w:pPr>
            <w:r>
              <w:rPr>
                <w:rFonts w:ascii="Arial" w:cs="Arial" w:eastAsia="Arial" w:hAnsi="Arial"/>
                <w:sz w:val="14"/>
                <w:szCs w:val="14"/>
                <w:color w:val="auto"/>
              </w:rPr>
              <w:t>3/1/2021</w:t>
            </w:r>
          </w:p>
        </w:tc>
        <w:tc>
          <w:tcPr>
            <w:tcW w:w="940" w:type="dxa"/>
            <w:vAlign w:val="bottom"/>
          </w:tcPr>
          <w:p>
            <w:pPr>
              <w:jc w:val="right"/>
              <w:spacing w:after="0"/>
              <w:rPr>
                <w:sz w:val="20"/>
                <w:szCs w:val="20"/>
                <w:color w:val="auto"/>
              </w:rPr>
            </w:pPr>
            <w:r>
              <w:rPr>
                <w:rFonts w:ascii="Arial" w:cs="Arial" w:eastAsia="Arial" w:hAnsi="Arial"/>
                <w:sz w:val="14"/>
                <w:szCs w:val="14"/>
                <w:color w:val="auto"/>
              </w:rPr>
              <w:t>4,041</w:t>
            </w:r>
          </w:p>
        </w:tc>
        <w:tc>
          <w:tcPr>
            <w:tcW w:w="1080" w:type="dxa"/>
            <w:vAlign w:val="bottom"/>
          </w:tcPr>
          <w:p>
            <w:pPr>
              <w:jc w:val="right"/>
              <w:spacing w:after="0"/>
              <w:rPr>
                <w:sz w:val="20"/>
                <w:szCs w:val="20"/>
                <w:color w:val="auto"/>
              </w:rPr>
            </w:pPr>
            <w:r>
              <w:rPr>
                <w:rFonts w:ascii="Arial" w:cs="Arial" w:eastAsia="Arial" w:hAnsi="Arial"/>
                <w:sz w:val="14"/>
                <w:szCs w:val="14"/>
                <w:color w:val="auto"/>
              </w:rPr>
              <w:t>269</w:t>
            </w:r>
          </w:p>
        </w:tc>
        <w:tc>
          <w:tcPr>
            <w:tcW w:w="126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142.47</w:t>
            </w:r>
          </w:p>
        </w:tc>
        <w:tc>
          <w:tcPr>
            <w:tcW w:w="800" w:type="dxa"/>
            <w:vAlign w:val="bottom"/>
          </w:tcPr>
          <w:p>
            <w:pPr>
              <w:jc w:val="right"/>
              <w:spacing w:after="0"/>
              <w:rPr>
                <w:sz w:val="20"/>
                <w:szCs w:val="20"/>
                <w:color w:val="auto"/>
              </w:rPr>
            </w:pPr>
            <w:r>
              <w:rPr>
                <w:rFonts w:ascii="Arial" w:cs="Arial" w:eastAsia="Arial" w:hAnsi="Arial"/>
                <w:sz w:val="14"/>
                <w:szCs w:val="14"/>
                <w:color w:val="auto"/>
              </w:rPr>
              <w:t>3/1/2031</w:t>
            </w:r>
          </w:p>
        </w:tc>
        <w:tc>
          <w:tcPr>
            <w:tcW w:w="120" w:type="dxa"/>
            <w:vAlign w:val="bottom"/>
          </w:tcPr>
          <w:p>
            <w:pPr>
              <w:spacing w:after="0"/>
              <w:rPr>
                <w:sz w:val="16"/>
                <w:szCs w:val="16"/>
                <w:color w:val="auto"/>
              </w:rPr>
            </w:pPr>
          </w:p>
        </w:tc>
        <w:tc>
          <w:tcPr>
            <w:tcW w:w="900" w:type="dxa"/>
            <w:vAlign w:val="bottom"/>
          </w:tcPr>
          <w:p>
            <w:pPr>
              <w:jc w:val="right"/>
              <w:ind w:right="50"/>
              <w:spacing w:after="0"/>
              <w:rPr>
                <w:sz w:val="20"/>
                <w:szCs w:val="20"/>
                <w:color w:val="auto"/>
              </w:rPr>
            </w:pPr>
            <w:r>
              <w:rPr>
                <w:rFonts w:ascii="Arial" w:cs="Arial" w:eastAsia="Arial" w:hAnsi="Arial"/>
                <w:sz w:val="14"/>
                <w:szCs w:val="14"/>
                <w:color w:val="auto"/>
              </w:rPr>
              <w:t>360</w:t>
            </w:r>
          </w:p>
        </w:tc>
        <w:tc>
          <w:tcPr>
            <w:tcW w:w="920" w:type="dxa"/>
            <w:vAlign w:val="bottom"/>
          </w:tcPr>
          <w:p>
            <w:pPr>
              <w:jc w:val="right"/>
              <w:ind w:right="30"/>
              <w:spacing w:after="0"/>
              <w:rPr>
                <w:sz w:val="20"/>
                <w:szCs w:val="20"/>
                <w:color w:val="auto"/>
              </w:rPr>
            </w:pPr>
            <w:r>
              <w:rPr>
                <w:rFonts w:ascii="Arial" w:cs="Arial" w:eastAsia="Arial" w:hAnsi="Arial"/>
                <w:sz w:val="14"/>
                <w:szCs w:val="14"/>
                <w:color w:val="auto"/>
              </w:rPr>
              <w:t>15,145</w:t>
            </w:r>
          </w:p>
        </w:tc>
        <w:tc>
          <w:tcPr>
            <w:tcW w:w="136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16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7"/>
        </w:trPr>
        <w:tc>
          <w:tcPr>
            <w:tcW w:w="680" w:type="dxa"/>
            <w:vAlign w:val="bottom"/>
            <w:shd w:val="clear" w:color="auto" w:fill="F0F7E7"/>
          </w:tcPr>
          <w:p>
            <w:pPr>
              <w:spacing w:after="0"/>
              <w:rPr>
                <w:sz w:val="16"/>
                <w:szCs w:val="16"/>
                <w:color w:val="auto"/>
              </w:rPr>
            </w:pPr>
          </w:p>
        </w:tc>
        <w:tc>
          <w:tcPr>
            <w:tcW w:w="980" w:type="dxa"/>
            <w:vAlign w:val="bottom"/>
            <w:shd w:val="clear" w:color="auto" w:fill="F0F7E7"/>
          </w:tcPr>
          <w:p>
            <w:pPr>
              <w:jc w:val="right"/>
              <w:ind w:right="50"/>
              <w:spacing w:after="0"/>
              <w:rPr>
                <w:sz w:val="20"/>
                <w:szCs w:val="20"/>
                <w:color w:val="auto"/>
              </w:rPr>
            </w:pPr>
            <w:r>
              <w:rPr>
                <w:rFonts w:ascii="Arial" w:cs="Arial" w:eastAsia="Arial" w:hAnsi="Arial"/>
                <w:sz w:val="14"/>
                <w:szCs w:val="14"/>
                <w:color w:val="auto"/>
              </w:rPr>
              <w:t>3/1/2020</w:t>
            </w:r>
          </w:p>
        </w:tc>
        <w:tc>
          <w:tcPr>
            <w:tcW w:w="940" w:type="dxa"/>
            <w:vAlign w:val="bottom"/>
            <w:shd w:val="clear" w:color="auto" w:fill="F0F7E7"/>
          </w:tcPr>
          <w:p>
            <w:pPr>
              <w:jc w:val="right"/>
              <w:spacing w:after="0"/>
              <w:rPr>
                <w:sz w:val="20"/>
                <w:szCs w:val="20"/>
                <w:color w:val="auto"/>
              </w:rPr>
            </w:pPr>
            <w:r>
              <w:rPr>
                <w:rFonts w:ascii="Arial" w:cs="Arial" w:eastAsia="Arial" w:hAnsi="Arial"/>
                <w:sz w:val="14"/>
                <w:szCs w:val="14"/>
                <w:color w:val="auto"/>
              </w:rPr>
              <w:t>13,000</w:t>
            </w:r>
          </w:p>
        </w:tc>
        <w:tc>
          <w:tcPr>
            <w:tcW w:w="1080" w:type="dxa"/>
            <w:vAlign w:val="bottom"/>
            <w:shd w:val="clear" w:color="auto" w:fill="F0F7E7"/>
          </w:tcPr>
          <w:p>
            <w:pPr>
              <w:jc w:val="right"/>
              <w:spacing w:after="0"/>
              <w:rPr>
                <w:sz w:val="20"/>
                <w:szCs w:val="20"/>
                <w:color w:val="auto"/>
              </w:rPr>
            </w:pPr>
            <w:r>
              <w:rPr>
                <w:rFonts w:ascii="Arial" w:cs="Arial" w:eastAsia="Arial" w:hAnsi="Arial"/>
                <w:sz w:val="14"/>
                <w:szCs w:val="14"/>
                <w:color w:val="auto"/>
              </w:rPr>
              <w:t>—</w:t>
            </w:r>
          </w:p>
        </w:tc>
        <w:tc>
          <w:tcPr>
            <w:tcW w:w="1260" w:type="dxa"/>
            <w:vAlign w:val="bottom"/>
            <w:shd w:val="clear" w:color="auto" w:fill="F0F7E7"/>
          </w:tcPr>
          <w:p>
            <w:pPr>
              <w:jc w:val="right"/>
              <w:ind w:right="10"/>
              <w:spacing w:after="0"/>
              <w:rPr>
                <w:sz w:val="20"/>
                <w:szCs w:val="20"/>
                <w:color w:val="auto"/>
              </w:rPr>
            </w:pPr>
            <w:r>
              <w:rPr>
                <w:rFonts w:ascii="Arial" w:cs="Arial" w:eastAsia="Arial" w:hAnsi="Arial"/>
                <w:sz w:val="14"/>
                <w:szCs w:val="14"/>
                <w:color w:val="auto"/>
              </w:rPr>
              <w:t>—</w:t>
            </w:r>
          </w:p>
        </w:tc>
        <w:tc>
          <w:tcPr>
            <w:tcW w:w="700" w:type="dxa"/>
            <w:vAlign w:val="bottom"/>
            <w:shd w:val="clear" w:color="auto" w:fill="F0F7E7"/>
          </w:tcPr>
          <w:p>
            <w:pPr>
              <w:jc w:val="right"/>
              <w:spacing w:after="0"/>
              <w:rPr>
                <w:sz w:val="20"/>
                <w:szCs w:val="20"/>
                <w:color w:val="auto"/>
              </w:rPr>
            </w:pPr>
            <w:r>
              <w:rPr>
                <w:rFonts w:ascii="Arial" w:cs="Arial" w:eastAsia="Arial" w:hAnsi="Arial"/>
                <w:sz w:val="14"/>
                <w:szCs w:val="14"/>
                <w:color w:val="auto"/>
              </w:rPr>
              <w:t>56.08</w:t>
            </w:r>
          </w:p>
        </w:tc>
        <w:tc>
          <w:tcPr>
            <w:tcW w:w="800" w:type="dxa"/>
            <w:vAlign w:val="bottom"/>
            <w:shd w:val="clear" w:color="auto" w:fill="F0F7E7"/>
          </w:tcPr>
          <w:p>
            <w:pPr>
              <w:jc w:val="right"/>
              <w:spacing w:after="0"/>
              <w:rPr>
                <w:sz w:val="20"/>
                <w:szCs w:val="20"/>
                <w:color w:val="auto"/>
              </w:rPr>
            </w:pPr>
            <w:r>
              <w:rPr>
                <w:rFonts w:ascii="Arial" w:cs="Arial" w:eastAsia="Arial" w:hAnsi="Arial"/>
                <w:sz w:val="14"/>
                <w:szCs w:val="14"/>
                <w:color w:val="auto"/>
              </w:rPr>
              <w:t>3/1/2030</w:t>
            </w:r>
          </w:p>
        </w:tc>
        <w:tc>
          <w:tcPr>
            <w:tcW w:w="120" w:type="dxa"/>
            <w:vAlign w:val="bottom"/>
            <w:shd w:val="clear" w:color="auto" w:fill="F0F7E7"/>
          </w:tcPr>
          <w:p>
            <w:pPr>
              <w:spacing w:after="0"/>
              <w:rPr>
                <w:sz w:val="16"/>
                <w:szCs w:val="16"/>
                <w:color w:val="auto"/>
              </w:rPr>
            </w:pPr>
          </w:p>
        </w:tc>
        <w:tc>
          <w:tcPr>
            <w:tcW w:w="900" w:type="dxa"/>
            <w:vAlign w:val="bottom"/>
            <w:shd w:val="clear" w:color="auto" w:fill="F0F7E7"/>
          </w:tcPr>
          <w:p>
            <w:pPr>
              <w:jc w:val="right"/>
              <w:ind w:right="50"/>
              <w:spacing w:after="0"/>
              <w:rPr>
                <w:sz w:val="20"/>
                <w:szCs w:val="20"/>
                <w:color w:val="auto"/>
              </w:rPr>
            </w:pPr>
            <w:r>
              <w:rPr>
                <w:rFonts w:ascii="Arial" w:cs="Arial" w:eastAsia="Arial" w:hAnsi="Arial"/>
                <w:sz w:val="14"/>
                <w:szCs w:val="14"/>
                <w:color w:val="auto"/>
              </w:rPr>
              <w:t>—</w:t>
            </w:r>
          </w:p>
        </w:tc>
        <w:tc>
          <w:tcPr>
            <w:tcW w:w="920" w:type="dxa"/>
            <w:vAlign w:val="bottom"/>
            <w:shd w:val="clear" w:color="auto" w:fill="F0F7E7"/>
          </w:tcPr>
          <w:p>
            <w:pPr>
              <w:jc w:val="right"/>
              <w:ind w:right="30"/>
              <w:spacing w:after="0"/>
              <w:rPr>
                <w:sz w:val="20"/>
                <w:szCs w:val="20"/>
                <w:color w:val="auto"/>
              </w:rPr>
            </w:pPr>
            <w:r>
              <w:rPr>
                <w:rFonts w:ascii="Arial" w:cs="Arial" w:eastAsia="Arial" w:hAnsi="Arial"/>
                <w:sz w:val="14"/>
                <w:szCs w:val="14"/>
                <w:color w:val="auto"/>
              </w:rPr>
              <w:t>—</w:t>
            </w:r>
          </w:p>
        </w:tc>
        <w:tc>
          <w:tcPr>
            <w:tcW w:w="1360" w:type="dxa"/>
            <w:vAlign w:val="bottom"/>
            <w:shd w:val="clear" w:color="auto" w:fill="F0F7E7"/>
          </w:tcPr>
          <w:p>
            <w:pPr>
              <w:jc w:val="right"/>
              <w:ind w:right="50"/>
              <w:spacing w:after="0"/>
              <w:rPr>
                <w:sz w:val="20"/>
                <w:szCs w:val="20"/>
                <w:color w:val="auto"/>
              </w:rPr>
            </w:pPr>
            <w:r>
              <w:rPr>
                <w:rFonts w:ascii="Arial" w:cs="Arial" w:eastAsia="Arial" w:hAnsi="Arial"/>
                <w:sz w:val="14"/>
                <w:szCs w:val="14"/>
                <w:color w:val="auto"/>
              </w:rPr>
              <w:t>—</w:t>
            </w:r>
          </w:p>
        </w:tc>
        <w:tc>
          <w:tcPr>
            <w:tcW w:w="1600" w:type="dxa"/>
            <w:vAlign w:val="bottom"/>
            <w:shd w:val="clear" w:color="auto" w:fill="F0F7E7"/>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680" w:type="dxa"/>
            <w:vAlign w:val="bottom"/>
            <w:shd w:val="clear" w:color="auto" w:fill="F0F7E7"/>
          </w:tcPr>
          <w:p>
            <w:pPr>
              <w:spacing w:after="0"/>
              <w:rPr>
                <w:sz w:val="16"/>
                <w:szCs w:val="16"/>
                <w:color w:val="auto"/>
              </w:rPr>
            </w:pPr>
          </w:p>
        </w:tc>
        <w:tc>
          <w:tcPr>
            <w:tcW w:w="980" w:type="dxa"/>
            <w:vAlign w:val="bottom"/>
          </w:tcPr>
          <w:p>
            <w:pPr>
              <w:jc w:val="right"/>
              <w:ind w:right="50"/>
              <w:spacing w:after="0"/>
              <w:rPr>
                <w:sz w:val="20"/>
                <w:szCs w:val="20"/>
                <w:color w:val="auto"/>
              </w:rPr>
            </w:pPr>
            <w:r>
              <w:rPr>
                <w:rFonts w:ascii="Arial" w:cs="Arial" w:eastAsia="Arial" w:hAnsi="Arial"/>
                <w:sz w:val="14"/>
                <w:szCs w:val="14"/>
                <w:color w:val="auto"/>
              </w:rPr>
              <w:t>3/1/2019</w:t>
            </w:r>
          </w:p>
        </w:tc>
        <w:tc>
          <w:tcPr>
            <w:tcW w:w="940" w:type="dxa"/>
            <w:vAlign w:val="bottom"/>
          </w:tcPr>
          <w:p>
            <w:pPr>
              <w:jc w:val="right"/>
              <w:spacing w:after="0"/>
              <w:rPr>
                <w:sz w:val="20"/>
                <w:szCs w:val="20"/>
                <w:color w:val="auto"/>
              </w:rPr>
            </w:pPr>
            <w:r>
              <w:rPr>
                <w:rFonts w:ascii="Arial" w:cs="Arial" w:eastAsia="Arial" w:hAnsi="Arial"/>
                <w:sz w:val="14"/>
                <w:szCs w:val="14"/>
                <w:color w:val="auto"/>
              </w:rPr>
              <w:t>8,000</w:t>
            </w: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67.55</w:t>
            </w:r>
          </w:p>
        </w:tc>
        <w:tc>
          <w:tcPr>
            <w:tcW w:w="800" w:type="dxa"/>
            <w:vAlign w:val="bottom"/>
          </w:tcPr>
          <w:p>
            <w:pPr>
              <w:jc w:val="right"/>
              <w:spacing w:after="0"/>
              <w:rPr>
                <w:sz w:val="20"/>
                <w:szCs w:val="20"/>
                <w:color w:val="auto"/>
              </w:rPr>
            </w:pPr>
            <w:r>
              <w:rPr>
                <w:rFonts w:ascii="Arial" w:cs="Arial" w:eastAsia="Arial" w:hAnsi="Arial"/>
                <w:sz w:val="14"/>
                <w:szCs w:val="14"/>
                <w:color w:val="auto"/>
              </w:rPr>
              <w:t>3/1/2029</w:t>
            </w:r>
          </w:p>
        </w:tc>
        <w:tc>
          <w:tcPr>
            <w:tcW w:w="120" w:type="dxa"/>
            <w:vAlign w:val="bottom"/>
          </w:tcPr>
          <w:p>
            <w:pPr>
              <w:spacing w:after="0"/>
              <w:rPr>
                <w:sz w:val="16"/>
                <w:szCs w:val="16"/>
                <w:color w:val="auto"/>
              </w:rPr>
            </w:pPr>
          </w:p>
        </w:tc>
        <w:tc>
          <w:tcPr>
            <w:tcW w:w="90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16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7"/>
        </w:trPr>
        <w:tc>
          <w:tcPr>
            <w:tcW w:w="680" w:type="dxa"/>
            <w:vAlign w:val="bottom"/>
            <w:tcBorders>
              <w:bottom w:val="single" w:sz="8" w:color="7CBD3F"/>
            </w:tcBorders>
            <w:shd w:val="clear" w:color="auto" w:fill="F0F7E7"/>
          </w:tcPr>
          <w:p>
            <w:pPr>
              <w:spacing w:after="0"/>
              <w:rPr>
                <w:sz w:val="16"/>
                <w:szCs w:val="16"/>
                <w:color w:val="auto"/>
              </w:rPr>
            </w:pPr>
          </w:p>
        </w:tc>
        <w:tc>
          <w:tcPr>
            <w:tcW w:w="980" w:type="dxa"/>
            <w:vAlign w:val="bottom"/>
            <w:tcBorders>
              <w:bottom w:val="single" w:sz="8" w:color="7CBD3F"/>
            </w:tcBorders>
            <w:shd w:val="clear" w:color="auto" w:fill="F0F7E7"/>
          </w:tcPr>
          <w:p>
            <w:pPr>
              <w:jc w:val="right"/>
              <w:ind w:right="50"/>
              <w:spacing w:after="0"/>
              <w:rPr>
                <w:sz w:val="20"/>
                <w:szCs w:val="20"/>
                <w:color w:val="auto"/>
              </w:rPr>
            </w:pPr>
            <w:r>
              <w:rPr>
                <w:rFonts w:ascii="Arial" w:cs="Arial" w:eastAsia="Arial" w:hAnsi="Arial"/>
                <w:sz w:val="14"/>
                <w:szCs w:val="14"/>
                <w:color w:val="auto"/>
              </w:rPr>
              <w:t>11/17/2017</w:t>
            </w:r>
          </w:p>
        </w:tc>
        <w:tc>
          <w:tcPr>
            <w:tcW w:w="940" w:type="dxa"/>
            <w:vAlign w:val="bottom"/>
            <w:tcBorders>
              <w:bottom w:val="single" w:sz="8" w:color="7CBD3F"/>
            </w:tcBorders>
            <w:shd w:val="clear" w:color="auto" w:fill="F0F7E7"/>
          </w:tcPr>
          <w:p>
            <w:pPr>
              <w:jc w:val="right"/>
              <w:spacing w:after="0"/>
              <w:rPr>
                <w:sz w:val="20"/>
                <w:szCs w:val="20"/>
                <w:color w:val="auto"/>
              </w:rPr>
            </w:pPr>
            <w:r>
              <w:rPr>
                <w:rFonts w:ascii="Arial" w:cs="Arial" w:eastAsia="Arial" w:hAnsi="Arial"/>
                <w:sz w:val="14"/>
                <w:szCs w:val="14"/>
                <w:color w:val="auto"/>
              </w:rPr>
              <w:t>7,500</w:t>
            </w:r>
          </w:p>
        </w:tc>
        <w:tc>
          <w:tcPr>
            <w:tcW w:w="1080" w:type="dxa"/>
            <w:vAlign w:val="bottom"/>
            <w:tcBorders>
              <w:bottom w:val="single" w:sz="8" w:color="7CBD3F"/>
            </w:tcBorders>
            <w:shd w:val="clear" w:color="auto" w:fill="F0F7E7"/>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7CBD3F"/>
            </w:tcBorders>
            <w:shd w:val="clear" w:color="auto" w:fill="F0F7E7"/>
          </w:tcPr>
          <w:p>
            <w:pPr>
              <w:spacing w:after="0"/>
              <w:rPr>
                <w:sz w:val="16"/>
                <w:szCs w:val="16"/>
                <w:color w:val="auto"/>
              </w:rPr>
            </w:pPr>
          </w:p>
        </w:tc>
        <w:tc>
          <w:tcPr>
            <w:tcW w:w="700" w:type="dxa"/>
            <w:vAlign w:val="bottom"/>
            <w:tcBorders>
              <w:bottom w:val="single" w:sz="8" w:color="7CBD3F"/>
            </w:tcBorders>
            <w:shd w:val="clear" w:color="auto" w:fill="F0F7E7"/>
          </w:tcPr>
          <w:p>
            <w:pPr>
              <w:jc w:val="right"/>
              <w:spacing w:after="0"/>
              <w:rPr>
                <w:sz w:val="20"/>
                <w:szCs w:val="20"/>
                <w:color w:val="auto"/>
              </w:rPr>
            </w:pPr>
            <w:r>
              <w:rPr>
                <w:rFonts w:ascii="Arial" w:cs="Arial" w:eastAsia="Arial" w:hAnsi="Arial"/>
                <w:sz w:val="14"/>
                <w:szCs w:val="14"/>
                <w:color w:val="auto"/>
              </w:rPr>
              <w:t>48.11</w:t>
            </w:r>
          </w:p>
        </w:tc>
        <w:tc>
          <w:tcPr>
            <w:tcW w:w="800" w:type="dxa"/>
            <w:vAlign w:val="bottom"/>
            <w:tcBorders>
              <w:bottom w:val="single" w:sz="8" w:color="7CBD3F"/>
            </w:tcBorders>
            <w:shd w:val="clear" w:color="auto" w:fill="F0F7E7"/>
          </w:tcPr>
          <w:p>
            <w:pPr>
              <w:jc w:val="right"/>
              <w:spacing w:after="0"/>
              <w:rPr>
                <w:sz w:val="20"/>
                <w:szCs w:val="20"/>
                <w:color w:val="auto"/>
              </w:rPr>
            </w:pPr>
            <w:r>
              <w:rPr>
                <w:rFonts w:ascii="Arial" w:cs="Arial" w:eastAsia="Arial" w:hAnsi="Arial"/>
                <w:sz w:val="14"/>
                <w:szCs w:val="14"/>
                <w:color w:val="auto"/>
              </w:rPr>
              <w:t>11/17/2027</w:t>
            </w:r>
          </w:p>
        </w:tc>
        <w:tc>
          <w:tcPr>
            <w:tcW w:w="120" w:type="dxa"/>
            <w:vAlign w:val="bottom"/>
            <w:tcBorders>
              <w:bottom w:val="single" w:sz="8" w:color="7CBD3F"/>
            </w:tcBorders>
            <w:shd w:val="clear" w:color="auto" w:fill="F0F7E7"/>
          </w:tcPr>
          <w:p>
            <w:pPr>
              <w:spacing w:after="0"/>
              <w:rPr>
                <w:sz w:val="16"/>
                <w:szCs w:val="16"/>
                <w:color w:val="auto"/>
              </w:rPr>
            </w:pPr>
          </w:p>
        </w:tc>
        <w:tc>
          <w:tcPr>
            <w:tcW w:w="900" w:type="dxa"/>
            <w:vAlign w:val="bottom"/>
            <w:tcBorders>
              <w:bottom w:val="single" w:sz="8" w:color="7CBD3F"/>
            </w:tcBorders>
            <w:shd w:val="clear" w:color="auto" w:fill="F0F7E7"/>
          </w:tcPr>
          <w:p>
            <w:pPr>
              <w:jc w:val="right"/>
              <w:ind w:right="5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7CBD3F"/>
            </w:tcBorders>
            <w:shd w:val="clear" w:color="auto" w:fill="F0F7E7"/>
          </w:tcPr>
          <w:p>
            <w:pPr>
              <w:jc w:val="right"/>
              <w:ind w:right="30"/>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7CBD3F"/>
            </w:tcBorders>
            <w:shd w:val="clear" w:color="auto" w:fill="F0F7E7"/>
          </w:tcPr>
          <w:p>
            <w:pPr>
              <w:jc w:val="right"/>
              <w:ind w:right="50"/>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7CBD3F"/>
            </w:tcBorders>
            <w:shd w:val="clear" w:color="auto" w:fill="F0F7E7"/>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-4855845</wp:posOffset>
            </wp:positionV>
            <wp:extent cx="518160" cy="484886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18160" cy="4848860"/>
                    </a:xfrm>
                    <a:prstGeom prst="rect">
                      <a:avLst/>
                    </a:prstGeom>
                    <a:noFill/>
                  </pic:spPr>
                </pic:pic>
              </a:graphicData>
            </a:graphic>
          </wp:anchor>
        </w:drawing>
      </w:r>
    </w:p>
    <w:p>
      <w:pPr>
        <w:spacing w:after="0" w:line="131" w:lineRule="exact"/>
        <w:rPr>
          <w:sz w:val="20"/>
          <w:szCs w:val="20"/>
          <w:color w:val="auto"/>
        </w:rPr>
      </w:pPr>
    </w:p>
    <w:p>
      <w:pPr>
        <w:ind w:left="6760"/>
        <w:spacing w:after="0"/>
        <w:tabs>
          <w:tab w:leader="none" w:pos="11080" w:val="left"/>
        </w:tabs>
        <w:rPr>
          <w:sz w:val="20"/>
          <w:szCs w:val="20"/>
          <w:color w:val="auto"/>
        </w:rPr>
      </w:pPr>
      <w:r>
        <w:rPr>
          <w:rFonts w:ascii="Arial" w:cs="Arial" w:eastAsia="Arial" w:hAnsi="Arial"/>
          <w:sz w:val="14"/>
          <w:szCs w:val="14"/>
          <w:b w:val="1"/>
          <w:bCs w:val="1"/>
          <w:color w:val="221E1F"/>
        </w:rPr>
        <w:t xml:space="preserve">ULTRAGENYX PHARMACEUTICAL INC. </w:t>
      </w:r>
      <w:r>
        <w:rPr>
          <w:rFonts w:ascii="Arial" w:cs="Arial" w:eastAsia="Arial" w:hAnsi="Arial"/>
          <w:sz w:val="14"/>
          <w:szCs w:val="14"/>
          <w:color w:val="7BBD3E"/>
        </w:rPr>
        <w:t>•</w:t>
      </w:r>
      <w:r>
        <w:rPr>
          <w:rFonts w:ascii="Arial" w:cs="Arial" w:eastAsia="Arial" w:hAnsi="Arial"/>
          <w:sz w:val="14"/>
          <w:szCs w:val="14"/>
          <w:b w:val="1"/>
          <w:bCs w:val="1"/>
          <w:color w:val="221E1F"/>
        </w:rPr>
        <w:t xml:space="preserve"> </w:t>
      </w:r>
      <w:r>
        <w:rPr>
          <w:rFonts w:ascii="Arial" w:cs="Arial" w:eastAsia="Arial" w:hAnsi="Arial"/>
          <w:sz w:val="14"/>
          <w:szCs w:val="14"/>
          <w:color w:val="221E1F"/>
        </w:rPr>
        <w:t>2025 Proxy Statement</w:t>
      </w:r>
      <w:r>
        <w:rPr>
          <w:rFonts w:ascii="Arial" w:cs="Arial" w:eastAsia="Arial" w:hAnsi="Arial"/>
          <w:sz w:val="14"/>
          <w:szCs w:val="14"/>
          <w:b w:val="1"/>
          <w:bCs w:val="1"/>
          <w:color w:val="221E1F"/>
        </w:rPr>
        <w:tab/>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142240</wp:posOffset>
            </wp:positionV>
            <wp:extent cx="7150735"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0735" cy="29845"/>
                    </a:xfrm>
                    <a:prstGeom prst="rect">
                      <a:avLst/>
                    </a:prstGeom>
                    <a:noFill/>
                  </pic:spPr>
                </pic:pic>
              </a:graphicData>
            </a:graphic>
          </wp:anchor>
        </w:drawing>
      </w:r>
    </w:p>
    <w:p>
      <w:pPr>
        <w:sectPr>
          <w:pgSz w:w="11900" w:h="16838" w:orient="portrait"/>
          <w:cols w:equalWidth="0" w:num="1">
            <w:col w:w="11340"/>
          </w:cols>
          <w:pgMar w:left="320" w:top="225" w:right="239" w:bottom="1440" w:gutter="0" w:footer="0" w:header="0"/>
        </w:sectPr>
      </w:pPr>
    </w:p>
    <w:bookmarkStart w:id="58" w:name="page59"/>
    <w:bookmarkEnd w:id="58"/>
    <w:tbl>
      <w:tblPr>
        <w:tblLayout w:type="fixed"/>
        <w:tblInd w:w="7" w:type="dxa"/>
        <w:tblCellMar>
          <w:top w:w="0" w:type="dxa"/>
          <w:left w:w="0" w:type="dxa"/>
          <w:bottom w:w="0" w:type="dxa"/>
          <w:right w:w="0" w:type="dxa"/>
        </w:tblCellMar>
      </w:tblPr>
      <w:tr>
        <w:trPr>
          <w:trHeight w:val="138"/>
        </w:trPr>
        <w:tc>
          <w:tcPr>
            <w:tcW w:w="1780" w:type="dxa"/>
            <w:vAlign w:val="bottom"/>
            <w:gridSpan w:val="3"/>
          </w:tcPr>
          <w:p>
            <w:pPr>
              <w:jc w:val="right"/>
              <w:ind w:right="760"/>
              <w:spacing w:after="0"/>
              <w:rPr>
                <w:sz w:val="20"/>
                <w:szCs w:val="20"/>
                <w:color w:val="auto"/>
              </w:rPr>
            </w:pPr>
            <w:r>
              <w:rPr>
                <w:rFonts w:ascii="Arial" w:cs="Arial" w:eastAsia="Arial" w:hAnsi="Arial"/>
                <w:sz w:val="12"/>
                <w:szCs w:val="12"/>
                <w:b w:val="1"/>
                <w:bCs w:val="1"/>
                <w:color w:val="0000EE"/>
              </w:rPr>
              <w:t>Back to Contents</w:t>
            </w:r>
          </w:p>
        </w:tc>
        <w:tc>
          <w:tcPr>
            <w:tcW w:w="9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8"/>
        </w:trPr>
        <w:tc>
          <w:tcPr>
            <w:tcW w:w="7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760" w:type="dxa"/>
            <w:vAlign w:val="bottom"/>
          </w:tcPr>
          <w:p>
            <w:pPr>
              <w:spacing w:after="0"/>
              <w:rPr>
                <w:sz w:val="24"/>
                <w:szCs w:val="24"/>
                <w:color w:val="auto"/>
              </w:rPr>
            </w:pPr>
          </w:p>
        </w:tc>
        <w:tc>
          <w:tcPr>
            <w:tcW w:w="940" w:type="dxa"/>
            <w:vAlign w:val="bottom"/>
            <w:tcBorders>
              <w:bottom w:val="single" w:sz="8" w:color="7CBD3F"/>
            </w:tcBorders>
          </w:tcPr>
          <w:p>
            <w:pPr>
              <w:spacing w:after="0"/>
              <w:rPr>
                <w:sz w:val="24"/>
                <w:szCs w:val="24"/>
                <w:color w:val="auto"/>
              </w:rPr>
            </w:pPr>
          </w:p>
        </w:tc>
        <w:tc>
          <w:tcPr>
            <w:tcW w:w="2320" w:type="dxa"/>
            <w:vAlign w:val="bottom"/>
            <w:tcBorders>
              <w:bottom w:val="single" w:sz="8" w:color="7CBD3F"/>
            </w:tcBorders>
            <w:gridSpan w:val="2"/>
          </w:tcPr>
          <w:p>
            <w:pPr>
              <w:jc w:val="right"/>
              <w:ind w:right="250"/>
              <w:spacing w:after="0"/>
              <w:rPr>
                <w:sz w:val="20"/>
                <w:szCs w:val="20"/>
                <w:color w:val="auto"/>
              </w:rPr>
            </w:pPr>
            <w:r>
              <w:rPr>
                <w:rFonts w:ascii="Arial" w:cs="Arial" w:eastAsia="Arial" w:hAnsi="Arial"/>
                <w:sz w:val="14"/>
                <w:szCs w:val="14"/>
                <w:b w:val="1"/>
                <w:bCs w:val="1"/>
                <w:color w:val="auto"/>
              </w:rPr>
              <w:t>Option Awards</w:t>
            </w:r>
            <w:r>
              <w:rPr>
                <w:rFonts w:ascii="Arial" w:cs="Arial" w:eastAsia="Arial" w:hAnsi="Arial"/>
                <w:sz w:val="23"/>
                <w:szCs w:val="23"/>
                <w:b w:val="1"/>
                <w:bCs w:val="1"/>
                <w:color w:val="auto"/>
                <w:vertAlign w:val="superscript"/>
              </w:rPr>
              <w:t>(1)</w:t>
            </w:r>
          </w:p>
        </w:tc>
        <w:tc>
          <w:tcPr>
            <w:tcW w:w="720" w:type="dxa"/>
            <w:vAlign w:val="bottom"/>
            <w:tcBorders>
              <w:bottom w:val="single" w:sz="8" w:color="7CBD3F"/>
            </w:tcBorders>
          </w:tcPr>
          <w:p>
            <w:pPr>
              <w:spacing w:after="0"/>
              <w:rPr>
                <w:sz w:val="24"/>
                <w:szCs w:val="24"/>
                <w:color w:val="auto"/>
              </w:rPr>
            </w:pPr>
          </w:p>
        </w:tc>
        <w:tc>
          <w:tcPr>
            <w:tcW w:w="780" w:type="dxa"/>
            <w:vAlign w:val="bottom"/>
            <w:tcBorders>
              <w:bottom w:val="single" w:sz="8" w:color="7CBD3F"/>
            </w:tcBorders>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Borders>
              <w:bottom w:val="single" w:sz="8" w:color="7CBD3F"/>
            </w:tcBorders>
          </w:tcPr>
          <w:p>
            <w:pPr>
              <w:spacing w:after="0"/>
              <w:rPr>
                <w:sz w:val="24"/>
                <w:szCs w:val="24"/>
                <w:color w:val="auto"/>
              </w:rPr>
            </w:pPr>
          </w:p>
        </w:tc>
        <w:tc>
          <w:tcPr>
            <w:tcW w:w="900" w:type="dxa"/>
            <w:vAlign w:val="bottom"/>
            <w:tcBorders>
              <w:bottom w:val="single" w:sz="8" w:color="7CBD3F"/>
            </w:tcBorders>
          </w:tcPr>
          <w:p>
            <w:pPr>
              <w:spacing w:after="0"/>
              <w:rPr>
                <w:sz w:val="24"/>
                <w:szCs w:val="24"/>
                <w:color w:val="auto"/>
              </w:rPr>
            </w:pPr>
          </w:p>
        </w:tc>
        <w:tc>
          <w:tcPr>
            <w:tcW w:w="1260" w:type="dxa"/>
            <w:vAlign w:val="bottom"/>
            <w:tcBorders>
              <w:bottom w:val="single" w:sz="8" w:color="7CBD3F"/>
            </w:tcBorders>
          </w:tcPr>
          <w:p>
            <w:pPr>
              <w:jc w:val="right"/>
              <w:ind w:right="170"/>
              <w:spacing w:after="0"/>
              <w:rPr>
                <w:sz w:val="20"/>
                <w:szCs w:val="20"/>
                <w:color w:val="auto"/>
              </w:rPr>
            </w:pPr>
            <w:r>
              <w:rPr>
                <w:rFonts w:ascii="Arial" w:cs="Arial" w:eastAsia="Arial" w:hAnsi="Arial"/>
                <w:sz w:val="14"/>
                <w:szCs w:val="14"/>
                <w:b w:val="1"/>
                <w:bCs w:val="1"/>
                <w:color w:val="auto"/>
              </w:rPr>
              <w:t>Stock Awards</w:t>
            </w:r>
          </w:p>
        </w:tc>
        <w:tc>
          <w:tcPr>
            <w:tcW w:w="1580" w:type="dxa"/>
            <w:vAlign w:val="bottom"/>
            <w:tcBorders>
              <w:bottom w:val="single" w:sz="8" w:color="7CBD3F"/>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Equity Incentive</w:t>
            </w: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Market</w:t>
            </w:r>
          </w:p>
        </w:tc>
        <w:tc>
          <w:tcPr>
            <w:tcW w:w="1260" w:type="dxa"/>
            <w:vAlign w:val="bottom"/>
          </w:tcPr>
          <w:p>
            <w:pPr>
              <w:jc w:val="right"/>
              <w:ind w:right="30"/>
              <w:spacing w:after="0"/>
              <w:rPr>
                <w:sz w:val="20"/>
                <w:szCs w:val="20"/>
                <w:color w:val="auto"/>
              </w:rPr>
            </w:pPr>
            <w:r>
              <w:rPr>
                <w:rFonts w:ascii="Arial" w:cs="Arial" w:eastAsia="Arial" w:hAnsi="Arial"/>
                <w:sz w:val="14"/>
                <w:szCs w:val="14"/>
                <w:b w:val="1"/>
                <w:bCs w:val="1"/>
                <w:color w:val="auto"/>
              </w:rPr>
              <w:t>Equity Incentive</w:t>
            </w:r>
          </w:p>
        </w:tc>
        <w:tc>
          <w:tcPr>
            <w:tcW w:w="1580" w:type="dxa"/>
            <w:vAlign w:val="bottom"/>
          </w:tcPr>
          <w:p>
            <w:pPr>
              <w:jc w:val="right"/>
              <w:ind w:right="30"/>
              <w:spacing w:after="0"/>
              <w:rPr>
                <w:sz w:val="20"/>
                <w:szCs w:val="20"/>
                <w:color w:val="auto"/>
              </w:rPr>
            </w:pPr>
            <w:r>
              <w:rPr>
                <w:rFonts w:ascii="Arial" w:cs="Arial" w:eastAsia="Arial" w:hAnsi="Arial"/>
                <w:sz w:val="14"/>
                <w:szCs w:val="14"/>
                <w:b w:val="1"/>
                <w:bCs w:val="1"/>
                <w:color w:val="auto"/>
              </w:rPr>
              <w:t>Equity Incentive Plan</w:t>
            </w:r>
          </w:p>
        </w:tc>
        <w:tc>
          <w:tcPr>
            <w:tcW w:w="0" w:type="dxa"/>
            <w:vAlign w:val="bottom"/>
          </w:tcPr>
          <w:p>
            <w:pPr>
              <w:spacing w:after="0"/>
              <w:rPr>
                <w:sz w:val="1"/>
                <w:szCs w:val="1"/>
                <w:color w:val="auto"/>
              </w:rPr>
            </w:pPr>
          </w:p>
        </w:tc>
      </w:tr>
      <w:tr>
        <w:trPr>
          <w:trHeight w:val="163"/>
        </w:trPr>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20" w:type="dxa"/>
            <w:vAlign w:val="bottom"/>
          </w:tcPr>
          <w:p>
            <w:pPr>
              <w:jc w:val="right"/>
              <w:ind w:right="30"/>
              <w:spacing w:after="0"/>
              <w:rPr>
                <w:sz w:val="20"/>
                <w:szCs w:val="20"/>
                <w:color w:val="auto"/>
              </w:rPr>
            </w:pPr>
            <w:r>
              <w:rPr>
                <w:rFonts w:ascii="Arial" w:cs="Arial" w:eastAsia="Arial" w:hAnsi="Arial"/>
                <w:sz w:val="14"/>
                <w:szCs w:val="14"/>
                <w:b w:val="1"/>
                <w:bCs w:val="1"/>
                <w:color w:val="auto"/>
              </w:rPr>
              <w:t>Plan Awards:</w:t>
            </w: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ind w:right="30"/>
              <w:spacing w:after="0"/>
              <w:rPr>
                <w:sz w:val="20"/>
                <w:szCs w:val="20"/>
                <w:color w:val="auto"/>
              </w:rPr>
            </w:pPr>
            <w:r>
              <w:rPr>
                <w:rFonts w:ascii="Arial" w:cs="Arial" w:eastAsia="Arial" w:hAnsi="Arial"/>
                <w:sz w:val="14"/>
                <w:szCs w:val="14"/>
                <w:b w:val="1"/>
                <w:bCs w:val="1"/>
                <w:color w:val="auto"/>
              </w:rPr>
              <w:t>Number of</w:t>
            </w:r>
          </w:p>
        </w:tc>
        <w:tc>
          <w:tcPr>
            <w:tcW w:w="900" w:type="dxa"/>
            <w:vAlign w:val="bottom"/>
          </w:tcPr>
          <w:p>
            <w:pPr>
              <w:jc w:val="right"/>
              <w:ind w:right="30"/>
              <w:spacing w:after="0"/>
              <w:rPr>
                <w:sz w:val="20"/>
                <w:szCs w:val="20"/>
                <w:color w:val="auto"/>
              </w:rPr>
            </w:pPr>
            <w:r>
              <w:rPr>
                <w:rFonts w:ascii="Arial" w:cs="Arial" w:eastAsia="Arial" w:hAnsi="Arial"/>
                <w:sz w:val="14"/>
                <w:szCs w:val="14"/>
                <w:b w:val="1"/>
                <w:bCs w:val="1"/>
                <w:color w:val="auto"/>
              </w:rPr>
              <w:t>Value of</w:t>
            </w:r>
          </w:p>
        </w:tc>
        <w:tc>
          <w:tcPr>
            <w:tcW w:w="1260" w:type="dxa"/>
            <w:vAlign w:val="bottom"/>
          </w:tcPr>
          <w:p>
            <w:pPr>
              <w:jc w:val="right"/>
              <w:ind w:right="30"/>
              <w:spacing w:after="0"/>
              <w:rPr>
                <w:sz w:val="20"/>
                <w:szCs w:val="20"/>
                <w:color w:val="auto"/>
              </w:rPr>
            </w:pPr>
            <w:r>
              <w:rPr>
                <w:rFonts w:ascii="Arial" w:cs="Arial" w:eastAsia="Arial" w:hAnsi="Arial"/>
                <w:sz w:val="14"/>
                <w:szCs w:val="14"/>
                <w:b w:val="1"/>
                <w:bCs w:val="1"/>
                <w:color w:val="auto"/>
              </w:rPr>
              <w:t>Plan Awards:</w:t>
            </w:r>
          </w:p>
        </w:tc>
        <w:tc>
          <w:tcPr>
            <w:tcW w:w="1580" w:type="dxa"/>
            <w:vAlign w:val="bottom"/>
          </w:tcPr>
          <w:p>
            <w:pPr>
              <w:jc w:val="right"/>
              <w:ind w:right="30"/>
              <w:spacing w:after="0"/>
              <w:rPr>
                <w:sz w:val="20"/>
                <w:szCs w:val="20"/>
                <w:color w:val="auto"/>
              </w:rPr>
            </w:pPr>
            <w:r>
              <w:rPr>
                <w:rFonts w:ascii="Arial" w:cs="Arial" w:eastAsia="Arial" w:hAnsi="Arial"/>
                <w:sz w:val="14"/>
                <w:szCs w:val="14"/>
                <w:b w:val="1"/>
                <w:bCs w:val="1"/>
                <w:color w:val="auto"/>
              </w:rPr>
              <w:t>Awards: Market</w:t>
            </w:r>
          </w:p>
        </w:tc>
        <w:tc>
          <w:tcPr>
            <w:tcW w:w="0" w:type="dxa"/>
            <w:vAlign w:val="bottom"/>
          </w:tcPr>
          <w:p>
            <w:pPr>
              <w:spacing w:after="0"/>
              <w:rPr>
                <w:sz w:val="1"/>
                <w:szCs w:val="1"/>
                <w:color w:val="auto"/>
              </w:rPr>
            </w:pPr>
          </w:p>
        </w:tc>
      </w:tr>
      <w:tr>
        <w:trPr>
          <w:trHeight w:val="163"/>
        </w:trPr>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b w:val="1"/>
                <w:bCs w:val="1"/>
                <w:color w:val="auto"/>
              </w:rPr>
              <w:t>Number of</w:t>
            </w:r>
          </w:p>
        </w:tc>
        <w:tc>
          <w:tcPr>
            <w:tcW w:w="1100" w:type="dxa"/>
            <w:vAlign w:val="bottom"/>
          </w:tcPr>
          <w:p>
            <w:pPr>
              <w:jc w:val="right"/>
              <w:ind w:right="50"/>
              <w:spacing w:after="0"/>
              <w:rPr>
                <w:sz w:val="20"/>
                <w:szCs w:val="20"/>
                <w:color w:val="auto"/>
              </w:rPr>
            </w:pPr>
            <w:r>
              <w:rPr>
                <w:rFonts w:ascii="Arial" w:cs="Arial" w:eastAsia="Arial" w:hAnsi="Arial"/>
                <w:sz w:val="14"/>
                <w:szCs w:val="14"/>
                <w:b w:val="1"/>
                <w:bCs w:val="1"/>
                <w:color w:val="auto"/>
              </w:rPr>
              <w:t>Number of</w:t>
            </w:r>
          </w:p>
        </w:tc>
        <w:tc>
          <w:tcPr>
            <w:tcW w:w="1220" w:type="dxa"/>
            <w:vAlign w:val="bottom"/>
          </w:tcPr>
          <w:p>
            <w:pPr>
              <w:jc w:val="right"/>
              <w:ind w:right="30"/>
              <w:spacing w:after="0"/>
              <w:rPr>
                <w:sz w:val="20"/>
                <w:szCs w:val="20"/>
                <w:color w:val="auto"/>
              </w:rPr>
            </w:pPr>
            <w:r>
              <w:rPr>
                <w:rFonts w:ascii="Arial" w:cs="Arial" w:eastAsia="Arial" w:hAnsi="Arial"/>
                <w:sz w:val="14"/>
                <w:szCs w:val="14"/>
                <w:b w:val="1"/>
                <w:bCs w:val="1"/>
                <w:color w:val="auto"/>
              </w:rPr>
              <w:t>Number of</w:t>
            </w: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ind w:right="30"/>
              <w:spacing w:after="0"/>
              <w:rPr>
                <w:sz w:val="20"/>
                <w:szCs w:val="20"/>
                <w:color w:val="auto"/>
              </w:rPr>
            </w:pPr>
            <w:r>
              <w:rPr>
                <w:rFonts w:ascii="Arial" w:cs="Arial" w:eastAsia="Arial" w:hAnsi="Arial"/>
                <w:sz w:val="14"/>
                <w:szCs w:val="14"/>
                <w:b w:val="1"/>
                <w:bCs w:val="1"/>
                <w:color w:val="auto"/>
              </w:rPr>
              <w:t>Shares or</w:t>
            </w:r>
          </w:p>
        </w:tc>
        <w:tc>
          <w:tcPr>
            <w:tcW w:w="900" w:type="dxa"/>
            <w:vAlign w:val="bottom"/>
          </w:tcPr>
          <w:p>
            <w:pPr>
              <w:jc w:val="right"/>
              <w:ind w:right="30"/>
              <w:spacing w:after="0"/>
              <w:rPr>
                <w:sz w:val="20"/>
                <w:szCs w:val="20"/>
                <w:color w:val="auto"/>
              </w:rPr>
            </w:pPr>
            <w:r>
              <w:rPr>
                <w:rFonts w:ascii="Arial" w:cs="Arial" w:eastAsia="Arial" w:hAnsi="Arial"/>
                <w:sz w:val="14"/>
                <w:szCs w:val="14"/>
                <w:b w:val="1"/>
                <w:bCs w:val="1"/>
                <w:color w:val="auto"/>
              </w:rPr>
              <w:t>Shares or</w:t>
            </w:r>
          </w:p>
        </w:tc>
        <w:tc>
          <w:tcPr>
            <w:tcW w:w="1260" w:type="dxa"/>
            <w:vAlign w:val="bottom"/>
          </w:tcPr>
          <w:p>
            <w:pPr>
              <w:jc w:val="right"/>
              <w:ind w:right="30"/>
              <w:spacing w:after="0"/>
              <w:rPr>
                <w:sz w:val="20"/>
                <w:szCs w:val="20"/>
                <w:color w:val="auto"/>
              </w:rPr>
            </w:pPr>
            <w:r>
              <w:rPr>
                <w:rFonts w:ascii="Arial" w:cs="Arial" w:eastAsia="Arial" w:hAnsi="Arial"/>
                <w:sz w:val="14"/>
                <w:szCs w:val="14"/>
                <w:b w:val="1"/>
                <w:bCs w:val="1"/>
                <w:color w:val="auto"/>
              </w:rPr>
              <w:t>Number of</w:t>
            </w:r>
          </w:p>
        </w:tc>
        <w:tc>
          <w:tcPr>
            <w:tcW w:w="1580" w:type="dxa"/>
            <w:vAlign w:val="bottom"/>
          </w:tcPr>
          <w:p>
            <w:pPr>
              <w:jc w:val="right"/>
              <w:ind w:right="30"/>
              <w:spacing w:after="0"/>
              <w:rPr>
                <w:sz w:val="20"/>
                <w:szCs w:val="20"/>
                <w:color w:val="auto"/>
              </w:rPr>
            </w:pPr>
            <w:r>
              <w:rPr>
                <w:rFonts w:ascii="Arial" w:cs="Arial" w:eastAsia="Arial" w:hAnsi="Arial"/>
                <w:sz w:val="14"/>
                <w:szCs w:val="14"/>
                <w:b w:val="1"/>
                <w:bCs w:val="1"/>
                <w:color w:val="auto"/>
              </w:rPr>
              <w:t>or Payout Value of</w:t>
            </w:r>
          </w:p>
        </w:tc>
        <w:tc>
          <w:tcPr>
            <w:tcW w:w="0" w:type="dxa"/>
            <w:vAlign w:val="bottom"/>
          </w:tcPr>
          <w:p>
            <w:pPr>
              <w:spacing w:after="0"/>
              <w:rPr>
                <w:sz w:val="1"/>
                <w:szCs w:val="1"/>
                <w:color w:val="auto"/>
              </w:rPr>
            </w:pPr>
          </w:p>
        </w:tc>
      </w:tr>
      <w:tr>
        <w:trPr>
          <w:trHeight w:val="163"/>
        </w:trPr>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b w:val="1"/>
                <w:bCs w:val="1"/>
                <w:color w:val="auto"/>
              </w:rPr>
              <w:t>Securities</w:t>
            </w:r>
          </w:p>
        </w:tc>
        <w:tc>
          <w:tcPr>
            <w:tcW w:w="1100" w:type="dxa"/>
            <w:vAlign w:val="bottom"/>
          </w:tcPr>
          <w:p>
            <w:pPr>
              <w:jc w:val="right"/>
              <w:ind w:right="50"/>
              <w:spacing w:after="0"/>
              <w:rPr>
                <w:sz w:val="20"/>
                <w:szCs w:val="20"/>
                <w:color w:val="auto"/>
              </w:rPr>
            </w:pPr>
            <w:r>
              <w:rPr>
                <w:rFonts w:ascii="Arial" w:cs="Arial" w:eastAsia="Arial" w:hAnsi="Arial"/>
                <w:sz w:val="14"/>
                <w:szCs w:val="14"/>
                <w:b w:val="1"/>
                <w:bCs w:val="1"/>
                <w:color w:val="auto"/>
              </w:rPr>
              <w:t>Securities</w:t>
            </w:r>
          </w:p>
        </w:tc>
        <w:tc>
          <w:tcPr>
            <w:tcW w:w="1220" w:type="dxa"/>
            <w:vAlign w:val="bottom"/>
          </w:tcPr>
          <w:p>
            <w:pPr>
              <w:jc w:val="right"/>
              <w:ind w:right="30"/>
              <w:spacing w:after="0"/>
              <w:rPr>
                <w:sz w:val="20"/>
                <w:szCs w:val="20"/>
                <w:color w:val="auto"/>
              </w:rPr>
            </w:pPr>
            <w:r>
              <w:rPr>
                <w:rFonts w:ascii="Arial" w:cs="Arial" w:eastAsia="Arial" w:hAnsi="Arial"/>
                <w:sz w:val="14"/>
                <w:szCs w:val="14"/>
                <w:b w:val="1"/>
                <w:bCs w:val="1"/>
                <w:color w:val="auto"/>
              </w:rPr>
              <w:t>Securities</w:t>
            </w: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ind w:right="30"/>
              <w:spacing w:after="0"/>
              <w:rPr>
                <w:sz w:val="20"/>
                <w:szCs w:val="20"/>
                <w:color w:val="auto"/>
              </w:rPr>
            </w:pPr>
            <w:r>
              <w:rPr>
                <w:rFonts w:ascii="Arial" w:cs="Arial" w:eastAsia="Arial" w:hAnsi="Arial"/>
                <w:sz w:val="14"/>
                <w:szCs w:val="14"/>
                <w:b w:val="1"/>
                <w:bCs w:val="1"/>
                <w:color w:val="auto"/>
              </w:rPr>
              <w:t>Units of</w:t>
            </w:r>
          </w:p>
        </w:tc>
        <w:tc>
          <w:tcPr>
            <w:tcW w:w="900" w:type="dxa"/>
            <w:vAlign w:val="bottom"/>
          </w:tcPr>
          <w:p>
            <w:pPr>
              <w:jc w:val="right"/>
              <w:ind w:right="30"/>
              <w:spacing w:after="0"/>
              <w:rPr>
                <w:sz w:val="20"/>
                <w:szCs w:val="20"/>
                <w:color w:val="auto"/>
              </w:rPr>
            </w:pPr>
            <w:r>
              <w:rPr>
                <w:rFonts w:ascii="Arial" w:cs="Arial" w:eastAsia="Arial" w:hAnsi="Arial"/>
                <w:sz w:val="14"/>
                <w:szCs w:val="14"/>
                <w:b w:val="1"/>
                <w:bCs w:val="1"/>
                <w:color w:val="auto"/>
              </w:rPr>
              <w:t>Units of</w:t>
            </w:r>
          </w:p>
        </w:tc>
        <w:tc>
          <w:tcPr>
            <w:tcW w:w="1260" w:type="dxa"/>
            <w:vAlign w:val="bottom"/>
          </w:tcPr>
          <w:p>
            <w:pPr>
              <w:jc w:val="right"/>
              <w:ind w:right="30"/>
              <w:spacing w:after="0"/>
              <w:rPr>
                <w:sz w:val="20"/>
                <w:szCs w:val="20"/>
                <w:color w:val="auto"/>
              </w:rPr>
            </w:pPr>
            <w:r>
              <w:rPr>
                <w:rFonts w:ascii="Arial" w:cs="Arial" w:eastAsia="Arial" w:hAnsi="Arial"/>
                <w:sz w:val="14"/>
                <w:szCs w:val="14"/>
                <w:b w:val="1"/>
                <w:bCs w:val="1"/>
                <w:color w:val="auto"/>
              </w:rPr>
              <w:t>Unearned</w:t>
            </w:r>
          </w:p>
        </w:tc>
        <w:tc>
          <w:tcPr>
            <w:tcW w:w="1580" w:type="dxa"/>
            <w:vAlign w:val="bottom"/>
          </w:tcPr>
          <w:p>
            <w:pPr>
              <w:jc w:val="right"/>
              <w:ind w:right="30"/>
              <w:spacing w:after="0"/>
              <w:rPr>
                <w:sz w:val="20"/>
                <w:szCs w:val="20"/>
                <w:color w:val="auto"/>
              </w:rPr>
            </w:pPr>
            <w:r>
              <w:rPr>
                <w:rFonts w:ascii="Arial" w:cs="Arial" w:eastAsia="Arial" w:hAnsi="Arial"/>
                <w:sz w:val="14"/>
                <w:szCs w:val="14"/>
                <w:b w:val="1"/>
                <w:bCs w:val="1"/>
                <w:color w:val="auto"/>
              </w:rPr>
              <w:t>Unearned Shares,</w:t>
            </w:r>
          </w:p>
        </w:tc>
        <w:tc>
          <w:tcPr>
            <w:tcW w:w="0" w:type="dxa"/>
            <w:vAlign w:val="bottom"/>
          </w:tcPr>
          <w:p>
            <w:pPr>
              <w:spacing w:after="0"/>
              <w:rPr>
                <w:sz w:val="1"/>
                <w:szCs w:val="1"/>
                <w:color w:val="auto"/>
              </w:rPr>
            </w:pPr>
          </w:p>
        </w:tc>
      </w:tr>
      <w:tr>
        <w:trPr>
          <w:trHeight w:val="163"/>
        </w:trPr>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b w:val="1"/>
                <w:bCs w:val="1"/>
                <w:color w:val="auto"/>
              </w:rPr>
              <w:t>Underlying</w:t>
            </w:r>
          </w:p>
        </w:tc>
        <w:tc>
          <w:tcPr>
            <w:tcW w:w="1100" w:type="dxa"/>
            <w:vAlign w:val="bottom"/>
          </w:tcPr>
          <w:p>
            <w:pPr>
              <w:jc w:val="right"/>
              <w:ind w:right="50"/>
              <w:spacing w:after="0"/>
              <w:rPr>
                <w:sz w:val="20"/>
                <w:szCs w:val="20"/>
                <w:color w:val="auto"/>
              </w:rPr>
            </w:pPr>
            <w:r>
              <w:rPr>
                <w:rFonts w:ascii="Arial" w:cs="Arial" w:eastAsia="Arial" w:hAnsi="Arial"/>
                <w:sz w:val="14"/>
                <w:szCs w:val="14"/>
                <w:b w:val="1"/>
                <w:bCs w:val="1"/>
                <w:color w:val="auto"/>
              </w:rPr>
              <w:t>Underlying</w:t>
            </w:r>
          </w:p>
        </w:tc>
        <w:tc>
          <w:tcPr>
            <w:tcW w:w="1220" w:type="dxa"/>
            <w:vAlign w:val="bottom"/>
          </w:tcPr>
          <w:p>
            <w:pPr>
              <w:jc w:val="right"/>
              <w:ind w:right="30"/>
              <w:spacing w:after="0"/>
              <w:rPr>
                <w:sz w:val="20"/>
                <w:szCs w:val="20"/>
                <w:color w:val="auto"/>
              </w:rPr>
            </w:pPr>
            <w:r>
              <w:rPr>
                <w:rFonts w:ascii="Arial" w:cs="Arial" w:eastAsia="Arial" w:hAnsi="Arial"/>
                <w:sz w:val="14"/>
                <w:szCs w:val="14"/>
                <w:b w:val="1"/>
                <w:bCs w:val="1"/>
                <w:color w:val="auto"/>
              </w:rPr>
              <w:t>Underlying</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Option</w:t>
            </w: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ind w:right="30"/>
              <w:spacing w:after="0"/>
              <w:rPr>
                <w:sz w:val="20"/>
                <w:szCs w:val="20"/>
                <w:color w:val="auto"/>
              </w:rPr>
            </w:pPr>
            <w:r>
              <w:rPr>
                <w:rFonts w:ascii="Arial" w:cs="Arial" w:eastAsia="Arial" w:hAnsi="Arial"/>
                <w:sz w:val="14"/>
                <w:szCs w:val="14"/>
                <w:b w:val="1"/>
                <w:bCs w:val="1"/>
                <w:color w:val="auto"/>
              </w:rPr>
              <w:t>Stock</w:t>
            </w:r>
          </w:p>
        </w:tc>
        <w:tc>
          <w:tcPr>
            <w:tcW w:w="900" w:type="dxa"/>
            <w:vAlign w:val="bottom"/>
          </w:tcPr>
          <w:p>
            <w:pPr>
              <w:jc w:val="right"/>
              <w:ind w:right="30"/>
              <w:spacing w:after="0"/>
              <w:rPr>
                <w:sz w:val="20"/>
                <w:szCs w:val="20"/>
                <w:color w:val="auto"/>
              </w:rPr>
            </w:pPr>
            <w:r>
              <w:rPr>
                <w:rFonts w:ascii="Arial" w:cs="Arial" w:eastAsia="Arial" w:hAnsi="Arial"/>
                <w:sz w:val="14"/>
                <w:szCs w:val="14"/>
                <w:b w:val="1"/>
                <w:bCs w:val="1"/>
                <w:color w:val="auto"/>
              </w:rPr>
              <w:t>Stock That</w:t>
            </w:r>
          </w:p>
        </w:tc>
        <w:tc>
          <w:tcPr>
            <w:tcW w:w="1260" w:type="dxa"/>
            <w:vAlign w:val="bottom"/>
          </w:tcPr>
          <w:p>
            <w:pPr>
              <w:jc w:val="right"/>
              <w:ind w:right="30"/>
              <w:spacing w:after="0"/>
              <w:rPr>
                <w:sz w:val="20"/>
                <w:szCs w:val="20"/>
                <w:color w:val="auto"/>
              </w:rPr>
            </w:pPr>
            <w:r>
              <w:rPr>
                <w:rFonts w:ascii="Arial" w:cs="Arial" w:eastAsia="Arial" w:hAnsi="Arial"/>
                <w:sz w:val="14"/>
                <w:szCs w:val="14"/>
                <w:b w:val="1"/>
                <w:bCs w:val="1"/>
                <w:color w:val="auto"/>
              </w:rPr>
              <w:t>Shares, Units</w:t>
            </w:r>
          </w:p>
        </w:tc>
        <w:tc>
          <w:tcPr>
            <w:tcW w:w="1580" w:type="dxa"/>
            <w:vAlign w:val="bottom"/>
          </w:tcPr>
          <w:p>
            <w:pPr>
              <w:jc w:val="right"/>
              <w:ind w:right="30"/>
              <w:spacing w:after="0"/>
              <w:rPr>
                <w:sz w:val="20"/>
                <w:szCs w:val="20"/>
                <w:color w:val="auto"/>
              </w:rPr>
            </w:pPr>
            <w:r>
              <w:rPr>
                <w:rFonts w:ascii="Arial" w:cs="Arial" w:eastAsia="Arial" w:hAnsi="Arial"/>
                <w:sz w:val="14"/>
                <w:szCs w:val="14"/>
                <w:b w:val="1"/>
                <w:bCs w:val="1"/>
                <w:color w:val="auto"/>
              </w:rPr>
              <w:t>Units or Other Rights</w:t>
            </w:r>
          </w:p>
        </w:tc>
        <w:tc>
          <w:tcPr>
            <w:tcW w:w="0" w:type="dxa"/>
            <w:vAlign w:val="bottom"/>
          </w:tcPr>
          <w:p>
            <w:pPr>
              <w:spacing w:after="0"/>
              <w:rPr>
                <w:sz w:val="1"/>
                <w:szCs w:val="1"/>
                <w:color w:val="auto"/>
              </w:rPr>
            </w:pPr>
          </w:p>
        </w:tc>
      </w:tr>
      <w:tr>
        <w:trPr>
          <w:trHeight w:val="163"/>
        </w:trPr>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b w:val="1"/>
                <w:bCs w:val="1"/>
                <w:color w:val="auto"/>
                <w:w w:val="98"/>
              </w:rPr>
              <w:t>Unexercised</w:t>
            </w:r>
          </w:p>
        </w:tc>
        <w:tc>
          <w:tcPr>
            <w:tcW w:w="1100" w:type="dxa"/>
            <w:vAlign w:val="bottom"/>
          </w:tcPr>
          <w:p>
            <w:pPr>
              <w:jc w:val="right"/>
              <w:ind w:right="50"/>
              <w:spacing w:after="0"/>
              <w:rPr>
                <w:sz w:val="20"/>
                <w:szCs w:val="20"/>
                <w:color w:val="auto"/>
              </w:rPr>
            </w:pPr>
            <w:r>
              <w:rPr>
                <w:rFonts w:ascii="Arial" w:cs="Arial" w:eastAsia="Arial" w:hAnsi="Arial"/>
                <w:sz w:val="14"/>
                <w:szCs w:val="14"/>
                <w:b w:val="1"/>
                <w:bCs w:val="1"/>
                <w:color w:val="auto"/>
              </w:rPr>
              <w:t>Unexercised</w:t>
            </w:r>
          </w:p>
        </w:tc>
        <w:tc>
          <w:tcPr>
            <w:tcW w:w="1220" w:type="dxa"/>
            <w:vAlign w:val="bottom"/>
          </w:tcPr>
          <w:p>
            <w:pPr>
              <w:jc w:val="right"/>
              <w:ind w:right="30"/>
              <w:spacing w:after="0"/>
              <w:rPr>
                <w:sz w:val="20"/>
                <w:szCs w:val="20"/>
                <w:color w:val="auto"/>
              </w:rPr>
            </w:pPr>
            <w:r>
              <w:rPr>
                <w:rFonts w:ascii="Arial" w:cs="Arial" w:eastAsia="Arial" w:hAnsi="Arial"/>
                <w:sz w:val="14"/>
                <w:szCs w:val="14"/>
                <w:b w:val="1"/>
                <w:bCs w:val="1"/>
                <w:color w:val="auto"/>
              </w:rPr>
              <w:t>Unexercised</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Exercise</w:t>
            </w:r>
          </w:p>
        </w:tc>
        <w:tc>
          <w:tcPr>
            <w:tcW w:w="9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Option</w:t>
            </w:r>
          </w:p>
        </w:tc>
        <w:tc>
          <w:tcPr>
            <w:tcW w:w="840" w:type="dxa"/>
            <w:vAlign w:val="bottom"/>
          </w:tcPr>
          <w:p>
            <w:pPr>
              <w:jc w:val="right"/>
              <w:ind w:right="30"/>
              <w:spacing w:after="0"/>
              <w:rPr>
                <w:sz w:val="20"/>
                <w:szCs w:val="20"/>
                <w:color w:val="auto"/>
              </w:rPr>
            </w:pPr>
            <w:r>
              <w:rPr>
                <w:rFonts w:ascii="Arial" w:cs="Arial" w:eastAsia="Arial" w:hAnsi="Arial"/>
                <w:sz w:val="14"/>
                <w:szCs w:val="14"/>
                <w:b w:val="1"/>
                <w:bCs w:val="1"/>
                <w:color w:val="auto"/>
              </w:rPr>
              <w:t>That Have</w:t>
            </w:r>
          </w:p>
        </w:tc>
        <w:tc>
          <w:tcPr>
            <w:tcW w:w="900" w:type="dxa"/>
            <w:vAlign w:val="bottom"/>
          </w:tcPr>
          <w:p>
            <w:pPr>
              <w:jc w:val="right"/>
              <w:ind w:right="30"/>
              <w:spacing w:after="0"/>
              <w:rPr>
                <w:sz w:val="20"/>
                <w:szCs w:val="20"/>
                <w:color w:val="auto"/>
              </w:rPr>
            </w:pPr>
            <w:r>
              <w:rPr>
                <w:rFonts w:ascii="Arial" w:cs="Arial" w:eastAsia="Arial" w:hAnsi="Arial"/>
                <w:sz w:val="14"/>
                <w:szCs w:val="14"/>
                <w:b w:val="1"/>
                <w:bCs w:val="1"/>
                <w:color w:val="auto"/>
              </w:rPr>
              <w:t>Have Not</w:t>
            </w:r>
          </w:p>
        </w:tc>
        <w:tc>
          <w:tcPr>
            <w:tcW w:w="1260" w:type="dxa"/>
            <w:vAlign w:val="bottom"/>
          </w:tcPr>
          <w:p>
            <w:pPr>
              <w:jc w:val="right"/>
              <w:ind w:right="30"/>
              <w:spacing w:after="0"/>
              <w:rPr>
                <w:sz w:val="20"/>
                <w:szCs w:val="20"/>
                <w:color w:val="auto"/>
              </w:rPr>
            </w:pPr>
            <w:r>
              <w:rPr>
                <w:rFonts w:ascii="Arial" w:cs="Arial" w:eastAsia="Arial" w:hAnsi="Arial"/>
                <w:sz w:val="14"/>
                <w:szCs w:val="14"/>
                <w:b w:val="1"/>
                <w:bCs w:val="1"/>
                <w:color w:val="auto"/>
              </w:rPr>
              <w:t>or Other Rights</w:t>
            </w:r>
          </w:p>
        </w:tc>
        <w:tc>
          <w:tcPr>
            <w:tcW w:w="1580" w:type="dxa"/>
            <w:vAlign w:val="bottom"/>
          </w:tcPr>
          <w:p>
            <w:pPr>
              <w:jc w:val="right"/>
              <w:ind w:right="30"/>
              <w:spacing w:after="0"/>
              <w:rPr>
                <w:sz w:val="20"/>
                <w:szCs w:val="20"/>
                <w:color w:val="auto"/>
              </w:rPr>
            </w:pPr>
            <w:r>
              <w:rPr>
                <w:rFonts w:ascii="Arial" w:cs="Arial" w:eastAsia="Arial" w:hAnsi="Arial"/>
                <w:sz w:val="14"/>
                <w:szCs w:val="14"/>
                <w:b w:val="1"/>
                <w:bCs w:val="1"/>
                <w:color w:val="auto"/>
              </w:rPr>
              <w:t>That Have Not</w:t>
            </w:r>
          </w:p>
        </w:tc>
        <w:tc>
          <w:tcPr>
            <w:tcW w:w="0" w:type="dxa"/>
            <w:vAlign w:val="bottom"/>
          </w:tcPr>
          <w:p>
            <w:pPr>
              <w:spacing w:after="0"/>
              <w:rPr>
                <w:sz w:val="1"/>
                <w:szCs w:val="1"/>
                <w:color w:val="auto"/>
              </w:rPr>
            </w:pPr>
          </w:p>
        </w:tc>
      </w:tr>
      <w:tr>
        <w:trPr>
          <w:trHeight w:val="163"/>
        </w:trPr>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b w:val="1"/>
                <w:bCs w:val="1"/>
                <w:color w:val="auto"/>
              </w:rPr>
              <w:t>Options (#)</w:t>
            </w:r>
          </w:p>
        </w:tc>
        <w:tc>
          <w:tcPr>
            <w:tcW w:w="1100" w:type="dxa"/>
            <w:vAlign w:val="bottom"/>
          </w:tcPr>
          <w:p>
            <w:pPr>
              <w:jc w:val="right"/>
              <w:ind w:right="50"/>
              <w:spacing w:after="0"/>
              <w:rPr>
                <w:sz w:val="20"/>
                <w:szCs w:val="20"/>
                <w:color w:val="auto"/>
              </w:rPr>
            </w:pPr>
            <w:r>
              <w:rPr>
                <w:rFonts w:ascii="Arial" w:cs="Arial" w:eastAsia="Arial" w:hAnsi="Arial"/>
                <w:sz w:val="14"/>
                <w:szCs w:val="14"/>
                <w:b w:val="1"/>
                <w:bCs w:val="1"/>
                <w:color w:val="auto"/>
              </w:rPr>
              <w:t>Options (#)</w:t>
            </w:r>
          </w:p>
        </w:tc>
        <w:tc>
          <w:tcPr>
            <w:tcW w:w="1220" w:type="dxa"/>
            <w:vAlign w:val="bottom"/>
          </w:tcPr>
          <w:p>
            <w:pPr>
              <w:jc w:val="right"/>
              <w:ind w:right="30"/>
              <w:spacing w:after="0"/>
              <w:rPr>
                <w:sz w:val="20"/>
                <w:szCs w:val="20"/>
                <w:color w:val="auto"/>
              </w:rPr>
            </w:pPr>
            <w:r>
              <w:rPr>
                <w:rFonts w:ascii="Arial" w:cs="Arial" w:eastAsia="Arial" w:hAnsi="Arial"/>
                <w:sz w:val="14"/>
                <w:szCs w:val="14"/>
                <w:b w:val="1"/>
                <w:bCs w:val="1"/>
                <w:color w:val="auto"/>
              </w:rPr>
              <w:t>Unearned</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Price</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Expiration</w:t>
            </w:r>
          </w:p>
        </w:tc>
        <w:tc>
          <w:tcPr>
            <w:tcW w:w="840" w:type="dxa"/>
            <w:vAlign w:val="bottom"/>
          </w:tcPr>
          <w:p>
            <w:pPr>
              <w:jc w:val="right"/>
              <w:ind w:right="30"/>
              <w:spacing w:after="0"/>
              <w:rPr>
                <w:sz w:val="20"/>
                <w:szCs w:val="20"/>
                <w:color w:val="auto"/>
              </w:rPr>
            </w:pPr>
            <w:r>
              <w:rPr>
                <w:rFonts w:ascii="Arial" w:cs="Arial" w:eastAsia="Arial" w:hAnsi="Arial"/>
                <w:sz w:val="14"/>
                <w:szCs w:val="14"/>
                <w:b w:val="1"/>
                <w:bCs w:val="1"/>
                <w:color w:val="auto"/>
                <w:w w:val="98"/>
              </w:rPr>
              <w:t>Not Vested</w:t>
            </w:r>
          </w:p>
        </w:tc>
        <w:tc>
          <w:tcPr>
            <w:tcW w:w="900" w:type="dxa"/>
            <w:vAlign w:val="bottom"/>
          </w:tcPr>
          <w:p>
            <w:pPr>
              <w:jc w:val="right"/>
              <w:ind w:right="30"/>
              <w:spacing w:after="0"/>
              <w:rPr>
                <w:sz w:val="20"/>
                <w:szCs w:val="20"/>
                <w:color w:val="auto"/>
              </w:rPr>
            </w:pPr>
            <w:r>
              <w:rPr>
                <w:rFonts w:ascii="Arial" w:cs="Arial" w:eastAsia="Arial" w:hAnsi="Arial"/>
                <w:sz w:val="14"/>
                <w:szCs w:val="14"/>
                <w:b w:val="1"/>
                <w:bCs w:val="1"/>
                <w:color w:val="auto"/>
              </w:rPr>
              <w:t>Vested</w:t>
            </w:r>
          </w:p>
        </w:tc>
        <w:tc>
          <w:tcPr>
            <w:tcW w:w="1260" w:type="dxa"/>
            <w:vAlign w:val="bottom"/>
          </w:tcPr>
          <w:p>
            <w:pPr>
              <w:jc w:val="right"/>
              <w:ind w:right="30"/>
              <w:spacing w:after="0"/>
              <w:rPr>
                <w:sz w:val="20"/>
                <w:szCs w:val="20"/>
                <w:color w:val="auto"/>
              </w:rPr>
            </w:pPr>
            <w:r>
              <w:rPr>
                <w:rFonts w:ascii="Arial" w:cs="Arial" w:eastAsia="Arial" w:hAnsi="Arial"/>
                <w:sz w:val="14"/>
                <w:szCs w:val="14"/>
                <w:b w:val="1"/>
                <w:bCs w:val="1"/>
                <w:color w:val="auto"/>
              </w:rPr>
              <w:t>That Have Not</w:t>
            </w:r>
          </w:p>
        </w:tc>
        <w:tc>
          <w:tcPr>
            <w:tcW w:w="1580" w:type="dxa"/>
            <w:vAlign w:val="bottom"/>
          </w:tcPr>
          <w:p>
            <w:pPr>
              <w:jc w:val="right"/>
              <w:ind w:right="30"/>
              <w:spacing w:after="0"/>
              <w:rPr>
                <w:sz w:val="20"/>
                <w:szCs w:val="20"/>
                <w:color w:val="auto"/>
              </w:rPr>
            </w:pPr>
            <w:r>
              <w:rPr>
                <w:rFonts w:ascii="Arial" w:cs="Arial" w:eastAsia="Arial" w:hAnsi="Arial"/>
                <w:sz w:val="14"/>
                <w:szCs w:val="14"/>
                <w:b w:val="1"/>
                <w:bCs w:val="1"/>
                <w:color w:val="auto"/>
              </w:rPr>
              <w:t>Vested</w:t>
            </w:r>
          </w:p>
        </w:tc>
        <w:tc>
          <w:tcPr>
            <w:tcW w:w="0" w:type="dxa"/>
            <w:vAlign w:val="bottom"/>
          </w:tcPr>
          <w:p>
            <w:pPr>
              <w:spacing w:after="0"/>
              <w:rPr>
                <w:sz w:val="1"/>
                <w:szCs w:val="1"/>
                <w:color w:val="auto"/>
              </w:rPr>
            </w:pPr>
          </w:p>
        </w:tc>
      </w:tr>
      <w:tr>
        <w:trPr>
          <w:trHeight w:val="213"/>
        </w:trPr>
        <w:tc>
          <w:tcPr>
            <w:tcW w:w="780" w:type="dxa"/>
            <w:vAlign w:val="bottom"/>
            <w:tcBorders>
              <w:bottom w:val="single" w:sz="8" w:color="7CBD3F"/>
            </w:tcBorders>
          </w:tcPr>
          <w:p>
            <w:pPr>
              <w:ind w:left="40"/>
              <w:spacing w:after="0"/>
              <w:rPr>
                <w:sz w:val="20"/>
                <w:szCs w:val="20"/>
                <w:color w:val="auto"/>
              </w:rPr>
            </w:pPr>
            <w:r>
              <w:rPr>
                <w:rFonts w:ascii="Arial" w:cs="Arial" w:eastAsia="Arial" w:hAnsi="Arial"/>
                <w:sz w:val="14"/>
                <w:szCs w:val="14"/>
                <w:b w:val="1"/>
                <w:bCs w:val="1"/>
                <w:color w:val="auto"/>
              </w:rPr>
              <w:t>Name</w:t>
            </w:r>
          </w:p>
        </w:tc>
        <w:tc>
          <w:tcPr>
            <w:tcW w:w="1000" w:type="dxa"/>
            <w:vAlign w:val="bottom"/>
            <w:tcBorders>
              <w:bottom w:val="single" w:sz="8" w:color="7CBD3F"/>
            </w:tcBorders>
            <w:gridSpan w:val="2"/>
          </w:tcPr>
          <w:p>
            <w:pPr>
              <w:jc w:val="right"/>
              <w:ind w:right="140"/>
              <w:spacing w:after="0"/>
              <w:rPr>
                <w:sz w:val="20"/>
                <w:szCs w:val="20"/>
                <w:color w:val="auto"/>
              </w:rPr>
            </w:pPr>
            <w:r>
              <w:rPr>
                <w:rFonts w:ascii="Arial" w:cs="Arial" w:eastAsia="Arial" w:hAnsi="Arial"/>
                <w:sz w:val="14"/>
                <w:szCs w:val="14"/>
                <w:b w:val="1"/>
                <w:bCs w:val="1"/>
                <w:color w:val="auto"/>
              </w:rPr>
              <w:t>Grant Date</w:t>
            </w:r>
          </w:p>
        </w:tc>
        <w:tc>
          <w:tcPr>
            <w:tcW w:w="940" w:type="dxa"/>
            <w:vAlign w:val="bottom"/>
            <w:tcBorders>
              <w:bottom w:val="single" w:sz="8" w:color="7CBD3F"/>
            </w:tcBorders>
          </w:tcPr>
          <w:p>
            <w:pPr>
              <w:jc w:val="right"/>
              <w:spacing w:after="0"/>
              <w:rPr>
                <w:sz w:val="20"/>
                <w:szCs w:val="20"/>
                <w:color w:val="auto"/>
              </w:rPr>
            </w:pPr>
            <w:r>
              <w:rPr>
                <w:rFonts w:ascii="Arial" w:cs="Arial" w:eastAsia="Arial" w:hAnsi="Arial"/>
                <w:sz w:val="14"/>
                <w:szCs w:val="14"/>
                <w:b w:val="1"/>
                <w:bCs w:val="1"/>
                <w:color w:val="auto"/>
              </w:rPr>
              <w:t>Exercisable</w:t>
            </w:r>
          </w:p>
        </w:tc>
        <w:tc>
          <w:tcPr>
            <w:tcW w:w="1100" w:type="dxa"/>
            <w:vAlign w:val="bottom"/>
            <w:tcBorders>
              <w:bottom w:val="single" w:sz="8" w:color="7CBD3F"/>
            </w:tcBorders>
          </w:tcPr>
          <w:p>
            <w:pPr>
              <w:jc w:val="right"/>
              <w:ind w:right="10"/>
              <w:spacing w:after="0"/>
              <w:rPr>
                <w:sz w:val="20"/>
                <w:szCs w:val="20"/>
                <w:color w:val="auto"/>
              </w:rPr>
            </w:pPr>
            <w:r>
              <w:rPr>
                <w:rFonts w:ascii="Arial" w:cs="Arial" w:eastAsia="Arial" w:hAnsi="Arial"/>
                <w:sz w:val="14"/>
                <w:szCs w:val="14"/>
                <w:b w:val="1"/>
                <w:bCs w:val="1"/>
                <w:color w:val="auto"/>
              </w:rPr>
              <w:t>Unexercisable</w:t>
            </w:r>
          </w:p>
        </w:tc>
        <w:tc>
          <w:tcPr>
            <w:tcW w:w="1220" w:type="dxa"/>
            <w:vAlign w:val="bottom"/>
            <w:tcBorders>
              <w:bottom w:val="single" w:sz="8" w:color="7CBD3F"/>
            </w:tcBorders>
          </w:tcPr>
          <w:p>
            <w:pPr>
              <w:jc w:val="right"/>
              <w:spacing w:after="0" w:line="210" w:lineRule="exact"/>
              <w:rPr>
                <w:sz w:val="20"/>
                <w:szCs w:val="20"/>
                <w:color w:val="auto"/>
              </w:rPr>
            </w:pPr>
            <w:r>
              <w:rPr>
                <w:rFonts w:ascii="Arial" w:cs="Arial" w:eastAsia="Arial" w:hAnsi="Arial"/>
                <w:sz w:val="14"/>
                <w:szCs w:val="14"/>
                <w:b w:val="1"/>
                <w:bCs w:val="1"/>
                <w:color w:val="auto"/>
              </w:rPr>
              <w:t>Options (#)</w:t>
            </w:r>
            <w:r>
              <w:rPr>
                <w:rFonts w:ascii="Arial" w:cs="Arial" w:eastAsia="Arial" w:hAnsi="Arial"/>
                <w:sz w:val="23"/>
                <w:szCs w:val="23"/>
                <w:b w:val="1"/>
                <w:bCs w:val="1"/>
                <w:color w:val="auto"/>
                <w:vertAlign w:val="superscript"/>
              </w:rPr>
              <w:t>(2)</w:t>
            </w:r>
          </w:p>
        </w:tc>
        <w:tc>
          <w:tcPr>
            <w:tcW w:w="720" w:type="dxa"/>
            <w:vAlign w:val="bottom"/>
            <w:tcBorders>
              <w:bottom w:val="single" w:sz="8" w:color="7CBD3F"/>
            </w:tcBorders>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7CBD3F"/>
            </w:tcBorders>
            <w:gridSpan w:val="2"/>
          </w:tcPr>
          <w:p>
            <w:pPr>
              <w:jc w:val="right"/>
              <w:ind w:right="140"/>
              <w:spacing w:after="0"/>
              <w:rPr>
                <w:sz w:val="20"/>
                <w:szCs w:val="20"/>
                <w:color w:val="auto"/>
              </w:rPr>
            </w:pPr>
            <w:r>
              <w:rPr>
                <w:rFonts w:ascii="Arial" w:cs="Arial" w:eastAsia="Arial" w:hAnsi="Arial"/>
                <w:sz w:val="14"/>
                <w:szCs w:val="14"/>
                <w:b w:val="1"/>
                <w:bCs w:val="1"/>
                <w:color w:val="auto"/>
              </w:rPr>
              <w:t>Date</w:t>
            </w:r>
          </w:p>
        </w:tc>
        <w:tc>
          <w:tcPr>
            <w:tcW w:w="840" w:type="dxa"/>
            <w:vAlign w:val="bottom"/>
            <w:tcBorders>
              <w:bottom w:val="single" w:sz="8" w:color="7CBD3F"/>
            </w:tcBorders>
          </w:tcPr>
          <w:p>
            <w:pPr>
              <w:jc w:val="right"/>
              <w:spacing w:after="0" w:line="210"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23"/>
                <w:szCs w:val="23"/>
                <w:b w:val="1"/>
                <w:bCs w:val="1"/>
                <w:color w:val="auto"/>
                <w:vertAlign w:val="superscript"/>
              </w:rPr>
              <w:t>(3)</w:t>
            </w:r>
          </w:p>
        </w:tc>
        <w:tc>
          <w:tcPr>
            <w:tcW w:w="900" w:type="dxa"/>
            <w:vAlign w:val="bottom"/>
            <w:tcBorders>
              <w:bottom w:val="single" w:sz="8" w:color="7CBD3F"/>
            </w:tcBorders>
          </w:tcPr>
          <w:p>
            <w:pPr>
              <w:jc w:val="right"/>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7CBD3F"/>
            </w:tcBorders>
          </w:tcPr>
          <w:p>
            <w:pPr>
              <w:jc w:val="right"/>
              <w:spacing w:after="0" w:line="210" w:lineRule="exact"/>
              <w:rPr>
                <w:sz w:val="20"/>
                <w:szCs w:val="20"/>
                <w:color w:val="auto"/>
              </w:rPr>
            </w:pPr>
            <w:r>
              <w:rPr>
                <w:rFonts w:ascii="Arial" w:cs="Arial" w:eastAsia="Arial" w:hAnsi="Arial"/>
                <w:sz w:val="14"/>
                <w:szCs w:val="14"/>
                <w:b w:val="1"/>
                <w:bCs w:val="1"/>
                <w:color w:val="auto"/>
              </w:rPr>
              <w:t>Vested (#)</w:t>
            </w:r>
            <w:r>
              <w:rPr>
                <w:rFonts w:ascii="Arial" w:cs="Arial" w:eastAsia="Arial" w:hAnsi="Arial"/>
                <w:sz w:val="23"/>
                <w:szCs w:val="23"/>
                <w:b w:val="1"/>
                <w:bCs w:val="1"/>
                <w:color w:val="auto"/>
                <w:vertAlign w:val="superscript"/>
              </w:rPr>
              <w:t>(4)</w:t>
            </w:r>
          </w:p>
        </w:tc>
        <w:tc>
          <w:tcPr>
            <w:tcW w:w="1580" w:type="dxa"/>
            <w:vAlign w:val="bottom"/>
            <w:tcBorders>
              <w:bottom w:val="single" w:sz="8" w:color="7CBD3F"/>
            </w:tcBorders>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63"/>
        </w:trPr>
        <w:tc>
          <w:tcPr>
            <w:tcW w:w="780" w:type="dxa"/>
            <w:vAlign w:val="bottom"/>
          </w:tcPr>
          <w:p>
            <w:pPr>
              <w:ind w:left="40"/>
              <w:spacing w:after="0"/>
              <w:rPr>
                <w:sz w:val="20"/>
                <w:szCs w:val="20"/>
                <w:color w:val="auto"/>
              </w:rPr>
            </w:pPr>
            <w:r>
              <w:rPr>
                <w:rFonts w:ascii="Arial" w:cs="Arial" w:eastAsia="Arial" w:hAnsi="Arial"/>
                <w:sz w:val="14"/>
                <w:szCs w:val="14"/>
                <w:b w:val="1"/>
                <w:bCs w:val="1"/>
                <w:color w:val="auto"/>
              </w:rPr>
              <w:t>John R.</w:t>
            </w: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10/21/2024</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100,000</w:t>
            </w:r>
          </w:p>
        </w:tc>
        <w:tc>
          <w:tcPr>
            <w:tcW w:w="720" w:type="dxa"/>
            <w:vAlign w:val="bottom"/>
          </w:tcPr>
          <w:p>
            <w:pPr>
              <w:jc w:val="right"/>
              <w:spacing w:after="0"/>
              <w:rPr>
                <w:sz w:val="20"/>
                <w:szCs w:val="20"/>
                <w:color w:val="auto"/>
              </w:rPr>
            </w:pPr>
            <w:r>
              <w:rPr>
                <w:rFonts w:ascii="Arial" w:cs="Arial" w:eastAsia="Arial" w:hAnsi="Arial"/>
                <w:sz w:val="14"/>
                <w:szCs w:val="14"/>
                <w:color w:val="auto"/>
              </w:rPr>
              <w:t>2.31</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10/21/2034</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c>
          <w:tcPr>
            <w:tcW w:w="15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
        </w:trPr>
        <w:tc>
          <w:tcPr>
            <w:tcW w:w="7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Pinion II</w:t>
            </w: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780" w:type="dxa"/>
            <w:vAlign w:val="bottom"/>
            <w:vMerge w:val="continue"/>
          </w:tcPr>
          <w:p>
            <w:pPr>
              <w:spacing w:after="0"/>
              <w:rPr>
                <w:sz w:val="16"/>
                <w:szCs w:val="16"/>
                <w:color w:val="auto"/>
              </w:rPr>
            </w:pPr>
          </w:p>
        </w:tc>
        <w:tc>
          <w:tcPr>
            <w:tcW w:w="1000" w:type="dxa"/>
            <w:vAlign w:val="bottom"/>
            <w:gridSpan w:val="2"/>
            <w:shd w:val="clear" w:color="auto" w:fill="F0F7E7"/>
          </w:tcPr>
          <w:p>
            <w:pPr>
              <w:jc w:val="right"/>
              <w:ind w:right="140"/>
              <w:spacing w:after="0"/>
              <w:rPr>
                <w:sz w:val="20"/>
                <w:szCs w:val="20"/>
                <w:color w:val="auto"/>
              </w:rPr>
            </w:pPr>
            <w:r>
              <w:rPr>
                <w:rFonts w:ascii="Arial" w:cs="Arial" w:eastAsia="Arial" w:hAnsi="Arial"/>
                <w:sz w:val="14"/>
                <w:szCs w:val="14"/>
                <w:color w:val="auto"/>
              </w:rPr>
              <w:t>3/1/2024</w:t>
            </w:r>
          </w:p>
        </w:tc>
        <w:tc>
          <w:tcPr>
            <w:tcW w:w="940" w:type="dxa"/>
            <w:vAlign w:val="bottom"/>
            <w:shd w:val="clear" w:color="auto" w:fill="F0F7E7"/>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F0F7E7"/>
          </w:tcPr>
          <w:p>
            <w:pPr>
              <w:jc w:val="right"/>
              <w:ind w:right="10"/>
              <w:spacing w:after="0"/>
              <w:rPr>
                <w:sz w:val="20"/>
                <w:szCs w:val="20"/>
                <w:color w:val="auto"/>
              </w:rPr>
            </w:pPr>
            <w:r>
              <w:rPr>
                <w:rFonts w:ascii="Arial" w:cs="Arial" w:eastAsia="Arial" w:hAnsi="Arial"/>
                <w:sz w:val="14"/>
                <w:szCs w:val="14"/>
                <w:color w:val="auto"/>
              </w:rPr>
              <w:t>31,400</w:t>
            </w:r>
          </w:p>
        </w:tc>
        <w:tc>
          <w:tcPr>
            <w:tcW w:w="1220" w:type="dxa"/>
            <w:vAlign w:val="bottom"/>
            <w:shd w:val="clear" w:color="auto" w:fill="F0F7E7"/>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F0F7E7"/>
          </w:tcPr>
          <w:p>
            <w:pPr>
              <w:jc w:val="right"/>
              <w:spacing w:after="0"/>
              <w:rPr>
                <w:sz w:val="20"/>
                <w:szCs w:val="20"/>
                <w:color w:val="auto"/>
              </w:rPr>
            </w:pPr>
            <w:r>
              <w:rPr>
                <w:rFonts w:ascii="Arial" w:cs="Arial" w:eastAsia="Arial" w:hAnsi="Arial"/>
                <w:sz w:val="14"/>
                <w:szCs w:val="14"/>
                <w:color w:val="auto"/>
              </w:rPr>
              <w:t>53.69</w:t>
            </w:r>
          </w:p>
        </w:tc>
        <w:tc>
          <w:tcPr>
            <w:tcW w:w="920" w:type="dxa"/>
            <w:vAlign w:val="bottom"/>
            <w:gridSpan w:val="2"/>
            <w:shd w:val="clear" w:color="auto" w:fill="F0F7E7"/>
          </w:tcPr>
          <w:p>
            <w:pPr>
              <w:jc w:val="right"/>
              <w:ind w:right="140"/>
              <w:spacing w:after="0"/>
              <w:rPr>
                <w:sz w:val="20"/>
                <w:szCs w:val="20"/>
                <w:color w:val="auto"/>
              </w:rPr>
            </w:pPr>
            <w:r>
              <w:rPr>
                <w:rFonts w:ascii="Arial" w:cs="Arial" w:eastAsia="Arial" w:hAnsi="Arial"/>
                <w:sz w:val="14"/>
                <w:szCs w:val="14"/>
                <w:color w:val="auto"/>
              </w:rPr>
              <w:t>3/1/2034</w:t>
            </w:r>
          </w:p>
        </w:tc>
        <w:tc>
          <w:tcPr>
            <w:tcW w:w="840" w:type="dxa"/>
            <w:vAlign w:val="bottom"/>
            <w:shd w:val="clear" w:color="auto" w:fill="F0F7E7"/>
          </w:tcPr>
          <w:p>
            <w:pPr>
              <w:jc w:val="right"/>
              <w:spacing w:after="0"/>
              <w:rPr>
                <w:sz w:val="20"/>
                <w:szCs w:val="20"/>
                <w:color w:val="auto"/>
              </w:rPr>
            </w:pPr>
            <w:r>
              <w:rPr>
                <w:rFonts w:ascii="Arial" w:cs="Arial" w:eastAsia="Arial" w:hAnsi="Arial"/>
                <w:sz w:val="14"/>
                <w:szCs w:val="14"/>
                <w:color w:val="auto"/>
              </w:rPr>
              <w:t>17,800</w:t>
            </w:r>
          </w:p>
        </w:tc>
        <w:tc>
          <w:tcPr>
            <w:tcW w:w="900" w:type="dxa"/>
            <w:vAlign w:val="bottom"/>
            <w:shd w:val="clear" w:color="auto" w:fill="F0F7E7"/>
          </w:tcPr>
          <w:p>
            <w:pPr>
              <w:jc w:val="right"/>
              <w:spacing w:after="0"/>
              <w:rPr>
                <w:sz w:val="20"/>
                <w:szCs w:val="20"/>
                <w:color w:val="auto"/>
              </w:rPr>
            </w:pPr>
            <w:r>
              <w:rPr>
                <w:rFonts w:ascii="Arial" w:cs="Arial" w:eastAsia="Arial" w:hAnsi="Arial"/>
                <w:sz w:val="14"/>
                <w:szCs w:val="14"/>
                <w:color w:val="auto"/>
              </w:rPr>
              <w:t>748,846</w:t>
            </w:r>
          </w:p>
        </w:tc>
        <w:tc>
          <w:tcPr>
            <w:tcW w:w="1260" w:type="dxa"/>
            <w:vAlign w:val="bottom"/>
            <w:shd w:val="clear" w:color="auto" w:fill="F0F7E7"/>
          </w:tcPr>
          <w:p>
            <w:pPr>
              <w:jc w:val="right"/>
              <w:spacing w:after="0"/>
              <w:rPr>
                <w:sz w:val="20"/>
                <w:szCs w:val="20"/>
                <w:color w:val="auto"/>
              </w:rPr>
            </w:pPr>
            <w:r>
              <w:rPr>
                <w:rFonts w:ascii="Arial" w:cs="Arial" w:eastAsia="Arial" w:hAnsi="Arial"/>
                <w:sz w:val="14"/>
                <w:szCs w:val="14"/>
                <w:color w:val="auto"/>
              </w:rPr>
              <w:t>17,800</w:t>
            </w:r>
          </w:p>
        </w:tc>
        <w:tc>
          <w:tcPr>
            <w:tcW w:w="1580" w:type="dxa"/>
            <w:vAlign w:val="bottom"/>
            <w:shd w:val="clear" w:color="auto" w:fill="F0F7E7"/>
          </w:tcPr>
          <w:p>
            <w:pPr>
              <w:jc w:val="right"/>
              <w:spacing w:after="0"/>
              <w:rPr>
                <w:sz w:val="20"/>
                <w:szCs w:val="20"/>
                <w:color w:val="auto"/>
              </w:rPr>
            </w:pPr>
            <w:r>
              <w:rPr>
                <w:rFonts w:ascii="Arial" w:cs="Arial" w:eastAsia="Arial" w:hAnsi="Arial"/>
                <w:sz w:val="14"/>
                <w:szCs w:val="14"/>
                <w:color w:val="auto"/>
              </w:rPr>
              <w:t>748,846</w:t>
            </w:r>
          </w:p>
        </w:tc>
        <w:tc>
          <w:tcPr>
            <w:tcW w:w="0" w:type="dxa"/>
            <w:vAlign w:val="bottom"/>
          </w:tcPr>
          <w:p>
            <w:pPr>
              <w:spacing w:after="0"/>
              <w:rPr>
                <w:sz w:val="1"/>
                <w:szCs w:val="1"/>
                <w:color w:val="auto"/>
              </w:rPr>
            </w:pPr>
          </w:p>
        </w:tc>
      </w:tr>
      <w:tr>
        <w:trPr>
          <w:trHeight w:val="186"/>
        </w:trPr>
        <w:tc>
          <w:tcPr>
            <w:tcW w:w="78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3/1/2023</w:t>
            </w:r>
          </w:p>
        </w:tc>
        <w:tc>
          <w:tcPr>
            <w:tcW w:w="940" w:type="dxa"/>
            <w:vAlign w:val="bottom"/>
          </w:tcPr>
          <w:p>
            <w:pPr>
              <w:jc w:val="right"/>
              <w:spacing w:after="0"/>
              <w:rPr>
                <w:sz w:val="20"/>
                <w:szCs w:val="20"/>
                <w:color w:val="auto"/>
              </w:rPr>
            </w:pPr>
            <w:r>
              <w:rPr>
                <w:rFonts w:ascii="Arial" w:cs="Arial" w:eastAsia="Arial" w:hAnsi="Arial"/>
                <w:sz w:val="14"/>
                <w:szCs w:val="14"/>
                <w:color w:val="auto"/>
              </w:rPr>
              <w:t>17,238</w:t>
            </w:r>
          </w:p>
        </w:tc>
        <w:tc>
          <w:tcPr>
            <w:tcW w:w="1100" w:type="dxa"/>
            <w:vAlign w:val="bottom"/>
          </w:tcPr>
          <w:p>
            <w:pPr>
              <w:jc w:val="right"/>
              <w:ind w:right="10"/>
              <w:spacing w:after="0"/>
              <w:rPr>
                <w:sz w:val="20"/>
                <w:szCs w:val="20"/>
                <w:color w:val="auto"/>
              </w:rPr>
            </w:pPr>
            <w:r>
              <w:rPr>
                <w:rFonts w:ascii="Arial" w:cs="Arial" w:eastAsia="Arial" w:hAnsi="Arial"/>
                <w:sz w:val="14"/>
                <w:szCs w:val="14"/>
                <w:color w:val="auto"/>
              </w:rPr>
              <w:t>22,162</w:t>
            </w: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45.65</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3/1/2033</w:t>
            </w:r>
          </w:p>
        </w:tc>
        <w:tc>
          <w:tcPr>
            <w:tcW w:w="840" w:type="dxa"/>
            <w:vAlign w:val="bottom"/>
          </w:tcPr>
          <w:p>
            <w:pPr>
              <w:jc w:val="right"/>
              <w:spacing w:after="0"/>
              <w:rPr>
                <w:sz w:val="20"/>
                <w:szCs w:val="20"/>
                <w:color w:val="auto"/>
              </w:rPr>
            </w:pPr>
            <w:r>
              <w:rPr>
                <w:rFonts w:ascii="Arial" w:cs="Arial" w:eastAsia="Arial" w:hAnsi="Arial"/>
                <w:sz w:val="14"/>
                <w:szCs w:val="14"/>
                <w:color w:val="auto"/>
              </w:rPr>
              <w:t>31,471</w:t>
            </w:r>
          </w:p>
        </w:tc>
        <w:tc>
          <w:tcPr>
            <w:tcW w:w="900" w:type="dxa"/>
            <w:vAlign w:val="bottom"/>
          </w:tcPr>
          <w:p>
            <w:pPr>
              <w:jc w:val="right"/>
              <w:spacing w:after="0"/>
              <w:rPr>
                <w:sz w:val="20"/>
                <w:szCs w:val="20"/>
                <w:color w:val="auto"/>
              </w:rPr>
            </w:pPr>
            <w:r>
              <w:rPr>
                <w:rFonts w:ascii="Arial" w:cs="Arial" w:eastAsia="Arial" w:hAnsi="Arial"/>
                <w:sz w:val="14"/>
                <w:szCs w:val="14"/>
                <w:color w:val="auto"/>
              </w:rPr>
              <w:t>1,323,985</w:t>
            </w:r>
          </w:p>
        </w:tc>
        <w:tc>
          <w:tcPr>
            <w:tcW w:w="1260" w:type="dxa"/>
            <w:vAlign w:val="bottom"/>
          </w:tcPr>
          <w:p>
            <w:pPr>
              <w:jc w:val="right"/>
              <w:spacing w:after="0"/>
              <w:rPr>
                <w:sz w:val="20"/>
                <w:szCs w:val="20"/>
                <w:color w:val="auto"/>
              </w:rPr>
            </w:pPr>
            <w:r>
              <w:rPr>
                <w:rFonts w:ascii="Arial" w:cs="Arial" w:eastAsia="Arial" w:hAnsi="Arial"/>
                <w:sz w:val="14"/>
                <w:szCs w:val="14"/>
                <w:color w:val="auto"/>
              </w:rPr>
              <w:t>7,029</w:t>
            </w:r>
          </w:p>
        </w:tc>
        <w:tc>
          <w:tcPr>
            <w:tcW w:w="1580" w:type="dxa"/>
            <w:vAlign w:val="bottom"/>
          </w:tcPr>
          <w:p>
            <w:pPr>
              <w:jc w:val="right"/>
              <w:spacing w:after="0"/>
              <w:rPr>
                <w:sz w:val="20"/>
                <w:szCs w:val="20"/>
                <w:color w:val="auto"/>
              </w:rPr>
            </w:pPr>
            <w:r>
              <w:rPr>
                <w:rFonts w:ascii="Arial" w:cs="Arial" w:eastAsia="Arial" w:hAnsi="Arial"/>
                <w:sz w:val="14"/>
                <w:szCs w:val="14"/>
                <w:color w:val="auto"/>
              </w:rPr>
              <w:t>295,710</w:t>
            </w:r>
          </w:p>
        </w:tc>
        <w:tc>
          <w:tcPr>
            <w:tcW w:w="0" w:type="dxa"/>
            <w:vAlign w:val="bottom"/>
          </w:tcPr>
          <w:p>
            <w:pPr>
              <w:spacing w:after="0"/>
              <w:rPr>
                <w:sz w:val="1"/>
                <w:szCs w:val="1"/>
                <w:color w:val="auto"/>
              </w:rPr>
            </w:pPr>
          </w:p>
        </w:tc>
      </w:tr>
      <w:tr>
        <w:trPr>
          <w:trHeight w:val="187"/>
        </w:trPr>
        <w:tc>
          <w:tcPr>
            <w:tcW w:w="780" w:type="dxa"/>
            <w:vAlign w:val="bottom"/>
          </w:tcPr>
          <w:p>
            <w:pPr>
              <w:spacing w:after="0"/>
              <w:rPr>
                <w:sz w:val="16"/>
                <w:szCs w:val="16"/>
                <w:color w:val="auto"/>
              </w:rPr>
            </w:pPr>
          </w:p>
        </w:tc>
        <w:tc>
          <w:tcPr>
            <w:tcW w:w="1000" w:type="dxa"/>
            <w:vAlign w:val="bottom"/>
            <w:gridSpan w:val="2"/>
            <w:shd w:val="clear" w:color="auto" w:fill="F0F7E7"/>
          </w:tcPr>
          <w:p>
            <w:pPr>
              <w:jc w:val="right"/>
              <w:ind w:right="140"/>
              <w:spacing w:after="0"/>
              <w:rPr>
                <w:sz w:val="20"/>
                <w:szCs w:val="20"/>
                <w:color w:val="auto"/>
              </w:rPr>
            </w:pPr>
            <w:r>
              <w:rPr>
                <w:rFonts w:ascii="Arial" w:cs="Arial" w:eastAsia="Arial" w:hAnsi="Arial"/>
                <w:sz w:val="14"/>
                <w:szCs w:val="14"/>
                <w:color w:val="auto"/>
              </w:rPr>
              <w:t>3/1/2022</w:t>
            </w:r>
          </w:p>
        </w:tc>
        <w:tc>
          <w:tcPr>
            <w:tcW w:w="940" w:type="dxa"/>
            <w:vAlign w:val="bottom"/>
            <w:shd w:val="clear" w:color="auto" w:fill="F0F7E7"/>
          </w:tcPr>
          <w:p>
            <w:pPr>
              <w:jc w:val="right"/>
              <w:spacing w:after="0"/>
              <w:rPr>
                <w:sz w:val="20"/>
                <w:szCs w:val="20"/>
                <w:color w:val="auto"/>
              </w:rPr>
            </w:pPr>
            <w:r>
              <w:rPr>
                <w:rFonts w:ascii="Arial" w:cs="Arial" w:eastAsia="Arial" w:hAnsi="Arial"/>
                <w:sz w:val="14"/>
                <w:szCs w:val="14"/>
                <w:color w:val="auto"/>
              </w:rPr>
              <w:t>17,119</w:t>
            </w:r>
          </w:p>
        </w:tc>
        <w:tc>
          <w:tcPr>
            <w:tcW w:w="1100" w:type="dxa"/>
            <w:vAlign w:val="bottom"/>
            <w:shd w:val="clear" w:color="auto" w:fill="F0F7E7"/>
          </w:tcPr>
          <w:p>
            <w:pPr>
              <w:jc w:val="right"/>
              <w:ind w:right="10"/>
              <w:spacing w:after="0"/>
              <w:rPr>
                <w:sz w:val="20"/>
                <w:szCs w:val="20"/>
                <w:color w:val="auto"/>
              </w:rPr>
            </w:pPr>
            <w:r>
              <w:rPr>
                <w:rFonts w:ascii="Arial" w:cs="Arial" w:eastAsia="Arial" w:hAnsi="Arial"/>
                <w:sz w:val="14"/>
                <w:szCs w:val="14"/>
                <w:color w:val="auto"/>
              </w:rPr>
              <w:t>7,781</w:t>
            </w:r>
          </w:p>
        </w:tc>
        <w:tc>
          <w:tcPr>
            <w:tcW w:w="1220" w:type="dxa"/>
            <w:vAlign w:val="bottom"/>
            <w:shd w:val="clear" w:color="auto" w:fill="F0F7E7"/>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F0F7E7"/>
          </w:tcPr>
          <w:p>
            <w:pPr>
              <w:jc w:val="right"/>
              <w:spacing w:after="0"/>
              <w:rPr>
                <w:sz w:val="20"/>
                <w:szCs w:val="20"/>
                <w:color w:val="auto"/>
              </w:rPr>
            </w:pPr>
            <w:r>
              <w:rPr>
                <w:rFonts w:ascii="Arial" w:cs="Arial" w:eastAsia="Arial" w:hAnsi="Arial"/>
                <w:sz w:val="14"/>
                <w:szCs w:val="14"/>
                <w:color w:val="auto"/>
              </w:rPr>
              <w:t>67.37</w:t>
            </w:r>
          </w:p>
        </w:tc>
        <w:tc>
          <w:tcPr>
            <w:tcW w:w="920" w:type="dxa"/>
            <w:vAlign w:val="bottom"/>
            <w:gridSpan w:val="2"/>
            <w:shd w:val="clear" w:color="auto" w:fill="F0F7E7"/>
          </w:tcPr>
          <w:p>
            <w:pPr>
              <w:jc w:val="right"/>
              <w:ind w:right="140"/>
              <w:spacing w:after="0"/>
              <w:rPr>
                <w:sz w:val="20"/>
                <w:szCs w:val="20"/>
                <w:color w:val="auto"/>
              </w:rPr>
            </w:pPr>
            <w:r>
              <w:rPr>
                <w:rFonts w:ascii="Arial" w:cs="Arial" w:eastAsia="Arial" w:hAnsi="Arial"/>
                <w:sz w:val="14"/>
                <w:szCs w:val="14"/>
                <w:color w:val="auto"/>
              </w:rPr>
              <w:t>3/1/2032</w:t>
            </w:r>
          </w:p>
        </w:tc>
        <w:tc>
          <w:tcPr>
            <w:tcW w:w="840" w:type="dxa"/>
            <w:vAlign w:val="bottom"/>
            <w:shd w:val="clear" w:color="auto" w:fill="F0F7E7"/>
          </w:tcPr>
          <w:p>
            <w:pPr>
              <w:jc w:val="right"/>
              <w:spacing w:after="0"/>
              <w:rPr>
                <w:sz w:val="20"/>
                <w:szCs w:val="20"/>
                <w:color w:val="auto"/>
              </w:rPr>
            </w:pPr>
            <w:r>
              <w:rPr>
                <w:rFonts w:ascii="Arial" w:cs="Arial" w:eastAsia="Arial" w:hAnsi="Arial"/>
                <w:sz w:val="14"/>
                <w:szCs w:val="14"/>
                <w:color w:val="auto"/>
              </w:rPr>
              <w:t>10,472</w:t>
            </w:r>
          </w:p>
        </w:tc>
        <w:tc>
          <w:tcPr>
            <w:tcW w:w="900" w:type="dxa"/>
            <w:vAlign w:val="bottom"/>
            <w:shd w:val="clear" w:color="auto" w:fill="F0F7E7"/>
          </w:tcPr>
          <w:p>
            <w:pPr>
              <w:jc w:val="right"/>
              <w:spacing w:after="0"/>
              <w:rPr>
                <w:sz w:val="20"/>
                <w:szCs w:val="20"/>
                <w:color w:val="auto"/>
              </w:rPr>
            </w:pPr>
            <w:r>
              <w:rPr>
                <w:rFonts w:ascii="Arial" w:cs="Arial" w:eastAsia="Arial" w:hAnsi="Arial"/>
                <w:sz w:val="14"/>
                <w:szCs w:val="14"/>
                <w:color w:val="auto"/>
              </w:rPr>
              <w:t>440,557</w:t>
            </w:r>
          </w:p>
        </w:tc>
        <w:tc>
          <w:tcPr>
            <w:tcW w:w="1260" w:type="dxa"/>
            <w:vAlign w:val="bottom"/>
            <w:shd w:val="clear" w:color="auto" w:fill="F0F7E7"/>
          </w:tcPr>
          <w:p>
            <w:pPr>
              <w:jc w:val="right"/>
              <w:spacing w:after="0"/>
              <w:rPr>
                <w:sz w:val="20"/>
                <w:szCs w:val="20"/>
                <w:color w:val="auto"/>
              </w:rPr>
            </w:pPr>
            <w:r>
              <w:rPr>
                <w:rFonts w:ascii="Arial" w:cs="Arial" w:eastAsia="Arial" w:hAnsi="Arial"/>
                <w:sz w:val="14"/>
                <w:szCs w:val="14"/>
                <w:color w:val="auto"/>
              </w:rPr>
              <w:t>—</w:t>
            </w:r>
          </w:p>
        </w:tc>
        <w:tc>
          <w:tcPr>
            <w:tcW w:w="1580" w:type="dxa"/>
            <w:vAlign w:val="bottom"/>
            <w:shd w:val="clear" w:color="auto" w:fill="F0F7E7"/>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78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3/1/2021</w:t>
            </w:r>
          </w:p>
        </w:tc>
        <w:tc>
          <w:tcPr>
            <w:tcW w:w="940" w:type="dxa"/>
            <w:vAlign w:val="bottom"/>
          </w:tcPr>
          <w:p>
            <w:pPr>
              <w:jc w:val="right"/>
              <w:spacing w:after="0"/>
              <w:rPr>
                <w:sz w:val="20"/>
                <w:szCs w:val="20"/>
                <w:color w:val="auto"/>
              </w:rPr>
            </w:pPr>
            <w:r>
              <w:rPr>
                <w:rFonts w:ascii="Arial" w:cs="Arial" w:eastAsia="Arial" w:hAnsi="Arial"/>
                <w:sz w:val="14"/>
                <w:szCs w:val="14"/>
                <w:color w:val="auto"/>
              </w:rPr>
              <w:t>10,313</w:t>
            </w:r>
          </w:p>
        </w:tc>
        <w:tc>
          <w:tcPr>
            <w:tcW w:w="1100" w:type="dxa"/>
            <w:vAlign w:val="bottom"/>
          </w:tcPr>
          <w:p>
            <w:pPr>
              <w:jc w:val="right"/>
              <w:ind w:right="10"/>
              <w:spacing w:after="0"/>
              <w:rPr>
                <w:sz w:val="20"/>
                <w:szCs w:val="20"/>
                <w:color w:val="auto"/>
              </w:rPr>
            </w:pPr>
            <w:r>
              <w:rPr>
                <w:rFonts w:ascii="Arial" w:cs="Arial" w:eastAsia="Arial" w:hAnsi="Arial"/>
                <w:sz w:val="14"/>
                <w:szCs w:val="14"/>
                <w:color w:val="auto"/>
              </w:rPr>
              <w:t>687</w:t>
            </w: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142.47</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3/1/2031</w:t>
            </w:r>
          </w:p>
        </w:tc>
        <w:tc>
          <w:tcPr>
            <w:tcW w:w="840" w:type="dxa"/>
            <w:vAlign w:val="bottom"/>
          </w:tcPr>
          <w:p>
            <w:pPr>
              <w:jc w:val="right"/>
              <w:spacing w:after="0"/>
              <w:rPr>
                <w:sz w:val="20"/>
                <w:szCs w:val="20"/>
                <w:color w:val="auto"/>
              </w:rPr>
            </w:pPr>
            <w:r>
              <w:rPr>
                <w:rFonts w:ascii="Arial" w:cs="Arial" w:eastAsia="Arial" w:hAnsi="Arial"/>
                <w:sz w:val="14"/>
                <w:szCs w:val="14"/>
                <w:color w:val="auto"/>
              </w:rPr>
              <w:t>1,375</w:t>
            </w:r>
          </w:p>
        </w:tc>
        <w:tc>
          <w:tcPr>
            <w:tcW w:w="900" w:type="dxa"/>
            <w:vAlign w:val="bottom"/>
          </w:tcPr>
          <w:p>
            <w:pPr>
              <w:jc w:val="right"/>
              <w:spacing w:after="0"/>
              <w:rPr>
                <w:sz w:val="20"/>
                <w:szCs w:val="20"/>
                <w:color w:val="auto"/>
              </w:rPr>
            </w:pPr>
            <w:r>
              <w:rPr>
                <w:rFonts w:ascii="Arial" w:cs="Arial" w:eastAsia="Arial" w:hAnsi="Arial"/>
                <w:sz w:val="14"/>
                <w:szCs w:val="14"/>
                <w:color w:val="auto"/>
              </w:rPr>
              <w:t>57,846</w:t>
            </w: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c>
          <w:tcPr>
            <w:tcW w:w="15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7"/>
        </w:trPr>
        <w:tc>
          <w:tcPr>
            <w:tcW w:w="780" w:type="dxa"/>
            <w:vAlign w:val="bottom"/>
          </w:tcPr>
          <w:p>
            <w:pPr>
              <w:spacing w:after="0"/>
              <w:rPr>
                <w:sz w:val="16"/>
                <w:szCs w:val="16"/>
                <w:color w:val="auto"/>
              </w:rPr>
            </w:pPr>
          </w:p>
        </w:tc>
        <w:tc>
          <w:tcPr>
            <w:tcW w:w="1000" w:type="dxa"/>
            <w:vAlign w:val="bottom"/>
            <w:gridSpan w:val="2"/>
            <w:shd w:val="clear" w:color="auto" w:fill="F0F7E7"/>
          </w:tcPr>
          <w:p>
            <w:pPr>
              <w:jc w:val="right"/>
              <w:ind w:right="140"/>
              <w:spacing w:after="0"/>
              <w:rPr>
                <w:sz w:val="20"/>
                <w:szCs w:val="20"/>
                <w:color w:val="auto"/>
              </w:rPr>
            </w:pPr>
            <w:r>
              <w:rPr>
                <w:rFonts w:ascii="Arial" w:cs="Arial" w:eastAsia="Arial" w:hAnsi="Arial"/>
                <w:sz w:val="14"/>
                <w:szCs w:val="14"/>
                <w:color w:val="auto"/>
              </w:rPr>
              <w:t>3/1/2020</w:t>
            </w:r>
          </w:p>
        </w:tc>
        <w:tc>
          <w:tcPr>
            <w:tcW w:w="940" w:type="dxa"/>
            <w:vAlign w:val="bottom"/>
            <w:shd w:val="clear" w:color="auto" w:fill="F0F7E7"/>
          </w:tcPr>
          <w:p>
            <w:pPr>
              <w:jc w:val="right"/>
              <w:spacing w:after="0"/>
              <w:rPr>
                <w:sz w:val="20"/>
                <w:szCs w:val="20"/>
                <w:color w:val="auto"/>
              </w:rPr>
            </w:pPr>
            <w:r>
              <w:rPr>
                <w:rFonts w:ascii="Arial" w:cs="Arial" w:eastAsia="Arial" w:hAnsi="Arial"/>
                <w:sz w:val="14"/>
                <w:szCs w:val="14"/>
                <w:color w:val="auto"/>
              </w:rPr>
              <w:t>22,000</w:t>
            </w:r>
          </w:p>
        </w:tc>
        <w:tc>
          <w:tcPr>
            <w:tcW w:w="1100" w:type="dxa"/>
            <w:vAlign w:val="bottom"/>
            <w:shd w:val="clear" w:color="auto" w:fill="F0F7E7"/>
          </w:tcPr>
          <w:p>
            <w:pPr>
              <w:jc w:val="right"/>
              <w:ind w:right="10"/>
              <w:spacing w:after="0"/>
              <w:rPr>
                <w:sz w:val="20"/>
                <w:szCs w:val="20"/>
                <w:color w:val="auto"/>
              </w:rPr>
            </w:pPr>
            <w:r>
              <w:rPr>
                <w:rFonts w:ascii="Arial" w:cs="Arial" w:eastAsia="Arial" w:hAnsi="Arial"/>
                <w:sz w:val="14"/>
                <w:szCs w:val="14"/>
                <w:color w:val="auto"/>
              </w:rPr>
              <w:t>—</w:t>
            </w:r>
          </w:p>
        </w:tc>
        <w:tc>
          <w:tcPr>
            <w:tcW w:w="1220" w:type="dxa"/>
            <w:vAlign w:val="bottom"/>
            <w:shd w:val="clear" w:color="auto" w:fill="F0F7E7"/>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F0F7E7"/>
          </w:tcPr>
          <w:p>
            <w:pPr>
              <w:jc w:val="right"/>
              <w:spacing w:after="0"/>
              <w:rPr>
                <w:sz w:val="20"/>
                <w:szCs w:val="20"/>
                <w:color w:val="auto"/>
              </w:rPr>
            </w:pPr>
            <w:r>
              <w:rPr>
                <w:rFonts w:ascii="Arial" w:cs="Arial" w:eastAsia="Arial" w:hAnsi="Arial"/>
                <w:sz w:val="14"/>
                <w:szCs w:val="14"/>
                <w:color w:val="auto"/>
              </w:rPr>
              <w:t>56.08</w:t>
            </w:r>
          </w:p>
        </w:tc>
        <w:tc>
          <w:tcPr>
            <w:tcW w:w="920" w:type="dxa"/>
            <w:vAlign w:val="bottom"/>
            <w:gridSpan w:val="2"/>
            <w:shd w:val="clear" w:color="auto" w:fill="F0F7E7"/>
          </w:tcPr>
          <w:p>
            <w:pPr>
              <w:jc w:val="right"/>
              <w:ind w:right="140"/>
              <w:spacing w:after="0"/>
              <w:rPr>
                <w:sz w:val="20"/>
                <w:szCs w:val="20"/>
                <w:color w:val="auto"/>
              </w:rPr>
            </w:pPr>
            <w:r>
              <w:rPr>
                <w:rFonts w:ascii="Arial" w:cs="Arial" w:eastAsia="Arial" w:hAnsi="Arial"/>
                <w:sz w:val="14"/>
                <w:szCs w:val="14"/>
                <w:color w:val="auto"/>
              </w:rPr>
              <w:t>3/1/2030</w:t>
            </w:r>
          </w:p>
        </w:tc>
        <w:tc>
          <w:tcPr>
            <w:tcW w:w="840" w:type="dxa"/>
            <w:vAlign w:val="bottom"/>
            <w:shd w:val="clear" w:color="auto" w:fill="F0F7E7"/>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F0F7E7"/>
          </w:tcPr>
          <w:p>
            <w:pPr>
              <w:jc w:val="right"/>
              <w:spacing w:after="0"/>
              <w:rPr>
                <w:sz w:val="20"/>
                <w:szCs w:val="20"/>
                <w:color w:val="auto"/>
              </w:rPr>
            </w:pPr>
            <w:r>
              <w:rPr>
                <w:rFonts w:ascii="Arial" w:cs="Arial" w:eastAsia="Arial" w:hAnsi="Arial"/>
                <w:sz w:val="14"/>
                <w:szCs w:val="14"/>
                <w:color w:val="auto"/>
              </w:rPr>
              <w:t>—</w:t>
            </w:r>
          </w:p>
        </w:tc>
        <w:tc>
          <w:tcPr>
            <w:tcW w:w="1260" w:type="dxa"/>
            <w:vAlign w:val="bottom"/>
            <w:shd w:val="clear" w:color="auto" w:fill="F0F7E7"/>
          </w:tcPr>
          <w:p>
            <w:pPr>
              <w:jc w:val="right"/>
              <w:spacing w:after="0"/>
              <w:rPr>
                <w:sz w:val="20"/>
                <w:szCs w:val="20"/>
                <w:color w:val="auto"/>
              </w:rPr>
            </w:pPr>
            <w:r>
              <w:rPr>
                <w:rFonts w:ascii="Arial" w:cs="Arial" w:eastAsia="Arial" w:hAnsi="Arial"/>
                <w:sz w:val="14"/>
                <w:szCs w:val="14"/>
                <w:color w:val="auto"/>
              </w:rPr>
              <w:t>—</w:t>
            </w:r>
          </w:p>
        </w:tc>
        <w:tc>
          <w:tcPr>
            <w:tcW w:w="1580" w:type="dxa"/>
            <w:vAlign w:val="bottom"/>
            <w:shd w:val="clear" w:color="auto" w:fill="F0F7E7"/>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78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3/1/2019</w:t>
            </w:r>
          </w:p>
        </w:tc>
        <w:tc>
          <w:tcPr>
            <w:tcW w:w="940" w:type="dxa"/>
            <w:vAlign w:val="bottom"/>
          </w:tcPr>
          <w:p>
            <w:pPr>
              <w:jc w:val="right"/>
              <w:spacing w:after="0"/>
              <w:rPr>
                <w:sz w:val="20"/>
                <w:szCs w:val="20"/>
                <w:color w:val="auto"/>
              </w:rPr>
            </w:pPr>
            <w:r>
              <w:rPr>
                <w:rFonts w:ascii="Arial" w:cs="Arial" w:eastAsia="Arial" w:hAnsi="Arial"/>
                <w:sz w:val="14"/>
                <w:szCs w:val="14"/>
                <w:color w:val="auto"/>
              </w:rPr>
              <w:t>23,000</w:t>
            </w:r>
          </w:p>
        </w:tc>
        <w:tc>
          <w:tcPr>
            <w:tcW w:w="110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67.55</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3/1/2029</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c>
          <w:tcPr>
            <w:tcW w:w="15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7"/>
        </w:trPr>
        <w:tc>
          <w:tcPr>
            <w:tcW w:w="780" w:type="dxa"/>
            <w:vAlign w:val="bottom"/>
          </w:tcPr>
          <w:p>
            <w:pPr>
              <w:spacing w:after="0"/>
              <w:rPr>
                <w:sz w:val="16"/>
                <w:szCs w:val="16"/>
                <w:color w:val="auto"/>
              </w:rPr>
            </w:pPr>
          </w:p>
        </w:tc>
        <w:tc>
          <w:tcPr>
            <w:tcW w:w="1000" w:type="dxa"/>
            <w:vAlign w:val="bottom"/>
            <w:gridSpan w:val="2"/>
            <w:shd w:val="clear" w:color="auto" w:fill="F0F7E7"/>
          </w:tcPr>
          <w:p>
            <w:pPr>
              <w:jc w:val="right"/>
              <w:ind w:right="140"/>
              <w:spacing w:after="0"/>
              <w:rPr>
                <w:sz w:val="20"/>
                <w:szCs w:val="20"/>
                <w:color w:val="auto"/>
              </w:rPr>
            </w:pPr>
            <w:r>
              <w:rPr>
                <w:rFonts w:ascii="Arial" w:cs="Arial" w:eastAsia="Arial" w:hAnsi="Arial"/>
                <w:sz w:val="14"/>
                <w:szCs w:val="14"/>
                <w:color w:val="auto"/>
              </w:rPr>
              <w:t>3/1/2018</w:t>
            </w:r>
          </w:p>
        </w:tc>
        <w:tc>
          <w:tcPr>
            <w:tcW w:w="940" w:type="dxa"/>
            <w:vAlign w:val="bottom"/>
            <w:shd w:val="clear" w:color="auto" w:fill="F0F7E7"/>
          </w:tcPr>
          <w:p>
            <w:pPr>
              <w:jc w:val="right"/>
              <w:spacing w:after="0"/>
              <w:rPr>
                <w:sz w:val="20"/>
                <w:szCs w:val="20"/>
                <w:color w:val="auto"/>
              </w:rPr>
            </w:pPr>
            <w:r>
              <w:rPr>
                <w:rFonts w:ascii="Arial" w:cs="Arial" w:eastAsia="Arial" w:hAnsi="Arial"/>
                <w:sz w:val="14"/>
                <w:szCs w:val="14"/>
                <w:color w:val="auto"/>
              </w:rPr>
              <w:t>27,000</w:t>
            </w:r>
          </w:p>
        </w:tc>
        <w:tc>
          <w:tcPr>
            <w:tcW w:w="1100" w:type="dxa"/>
            <w:vAlign w:val="bottom"/>
            <w:shd w:val="clear" w:color="auto" w:fill="F0F7E7"/>
          </w:tcPr>
          <w:p>
            <w:pPr>
              <w:jc w:val="right"/>
              <w:ind w:right="10"/>
              <w:spacing w:after="0"/>
              <w:rPr>
                <w:sz w:val="20"/>
                <w:szCs w:val="20"/>
                <w:color w:val="auto"/>
              </w:rPr>
            </w:pPr>
            <w:r>
              <w:rPr>
                <w:rFonts w:ascii="Arial" w:cs="Arial" w:eastAsia="Arial" w:hAnsi="Arial"/>
                <w:sz w:val="14"/>
                <w:szCs w:val="14"/>
                <w:color w:val="auto"/>
              </w:rPr>
              <w:t>—</w:t>
            </w:r>
          </w:p>
        </w:tc>
        <w:tc>
          <w:tcPr>
            <w:tcW w:w="1220" w:type="dxa"/>
            <w:vAlign w:val="bottom"/>
            <w:shd w:val="clear" w:color="auto" w:fill="F0F7E7"/>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F0F7E7"/>
          </w:tcPr>
          <w:p>
            <w:pPr>
              <w:jc w:val="right"/>
              <w:spacing w:after="0"/>
              <w:rPr>
                <w:sz w:val="20"/>
                <w:szCs w:val="20"/>
                <w:color w:val="auto"/>
              </w:rPr>
            </w:pPr>
            <w:r>
              <w:rPr>
                <w:rFonts w:ascii="Arial" w:cs="Arial" w:eastAsia="Arial" w:hAnsi="Arial"/>
                <w:sz w:val="14"/>
                <w:szCs w:val="14"/>
                <w:color w:val="auto"/>
              </w:rPr>
              <w:t>48.43</w:t>
            </w:r>
          </w:p>
        </w:tc>
        <w:tc>
          <w:tcPr>
            <w:tcW w:w="920" w:type="dxa"/>
            <w:vAlign w:val="bottom"/>
            <w:gridSpan w:val="2"/>
            <w:shd w:val="clear" w:color="auto" w:fill="F0F7E7"/>
          </w:tcPr>
          <w:p>
            <w:pPr>
              <w:jc w:val="right"/>
              <w:ind w:right="140"/>
              <w:spacing w:after="0"/>
              <w:rPr>
                <w:sz w:val="20"/>
                <w:szCs w:val="20"/>
                <w:color w:val="auto"/>
              </w:rPr>
            </w:pPr>
            <w:r>
              <w:rPr>
                <w:rFonts w:ascii="Arial" w:cs="Arial" w:eastAsia="Arial" w:hAnsi="Arial"/>
                <w:sz w:val="14"/>
                <w:szCs w:val="14"/>
                <w:color w:val="auto"/>
              </w:rPr>
              <w:t>3/1/2028</w:t>
            </w:r>
          </w:p>
        </w:tc>
        <w:tc>
          <w:tcPr>
            <w:tcW w:w="840" w:type="dxa"/>
            <w:vAlign w:val="bottom"/>
            <w:shd w:val="clear" w:color="auto" w:fill="F0F7E7"/>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F0F7E7"/>
          </w:tcPr>
          <w:p>
            <w:pPr>
              <w:jc w:val="right"/>
              <w:spacing w:after="0"/>
              <w:rPr>
                <w:sz w:val="20"/>
                <w:szCs w:val="20"/>
                <w:color w:val="auto"/>
              </w:rPr>
            </w:pPr>
            <w:r>
              <w:rPr>
                <w:rFonts w:ascii="Arial" w:cs="Arial" w:eastAsia="Arial" w:hAnsi="Arial"/>
                <w:sz w:val="14"/>
                <w:szCs w:val="14"/>
                <w:color w:val="auto"/>
              </w:rPr>
              <w:t>—</w:t>
            </w:r>
          </w:p>
        </w:tc>
        <w:tc>
          <w:tcPr>
            <w:tcW w:w="1260" w:type="dxa"/>
            <w:vAlign w:val="bottom"/>
            <w:shd w:val="clear" w:color="auto" w:fill="F0F7E7"/>
          </w:tcPr>
          <w:p>
            <w:pPr>
              <w:jc w:val="right"/>
              <w:spacing w:after="0"/>
              <w:rPr>
                <w:sz w:val="20"/>
                <w:szCs w:val="20"/>
                <w:color w:val="auto"/>
              </w:rPr>
            </w:pPr>
            <w:r>
              <w:rPr>
                <w:rFonts w:ascii="Arial" w:cs="Arial" w:eastAsia="Arial" w:hAnsi="Arial"/>
                <w:sz w:val="14"/>
                <w:szCs w:val="14"/>
                <w:color w:val="auto"/>
              </w:rPr>
              <w:t>—</w:t>
            </w:r>
          </w:p>
        </w:tc>
        <w:tc>
          <w:tcPr>
            <w:tcW w:w="1580" w:type="dxa"/>
            <w:vAlign w:val="bottom"/>
            <w:shd w:val="clear" w:color="auto" w:fill="F0F7E7"/>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78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3/1/2017</w:t>
            </w:r>
          </w:p>
        </w:tc>
        <w:tc>
          <w:tcPr>
            <w:tcW w:w="940" w:type="dxa"/>
            <w:vAlign w:val="bottom"/>
          </w:tcPr>
          <w:p>
            <w:pPr>
              <w:jc w:val="right"/>
              <w:spacing w:after="0"/>
              <w:rPr>
                <w:sz w:val="20"/>
                <w:szCs w:val="20"/>
                <w:color w:val="auto"/>
              </w:rPr>
            </w:pPr>
            <w:r>
              <w:rPr>
                <w:rFonts w:ascii="Arial" w:cs="Arial" w:eastAsia="Arial" w:hAnsi="Arial"/>
                <w:sz w:val="14"/>
                <w:szCs w:val="14"/>
                <w:color w:val="auto"/>
              </w:rPr>
              <w:t>18,000</w:t>
            </w:r>
          </w:p>
        </w:tc>
        <w:tc>
          <w:tcPr>
            <w:tcW w:w="110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88.80</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3/1/2027</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c>
          <w:tcPr>
            <w:tcW w:w="15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7"/>
        </w:trPr>
        <w:tc>
          <w:tcPr>
            <w:tcW w:w="780" w:type="dxa"/>
            <w:vAlign w:val="bottom"/>
          </w:tcPr>
          <w:p>
            <w:pPr>
              <w:spacing w:after="0"/>
              <w:rPr>
                <w:sz w:val="16"/>
                <w:szCs w:val="16"/>
                <w:color w:val="auto"/>
              </w:rPr>
            </w:pPr>
          </w:p>
        </w:tc>
        <w:tc>
          <w:tcPr>
            <w:tcW w:w="1000" w:type="dxa"/>
            <w:vAlign w:val="bottom"/>
            <w:gridSpan w:val="2"/>
            <w:shd w:val="clear" w:color="auto" w:fill="F0F7E7"/>
          </w:tcPr>
          <w:p>
            <w:pPr>
              <w:jc w:val="right"/>
              <w:ind w:right="140"/>
              <w:spacing w:after="0"/>
              <w:rPr>
                <w:sz w:val="20"/>
                <w:szCs w:val="20"/>
                <w:color w:val="auto"/>
              </w:rPr>
            </w:pPr>
            <w:r>
              <w:rPr>
                <w:rFonts w:ascii="Arial" w:cs="Arial" w:eastAsia="Arial" w:hAnsi="Arial"/>
                <w:sz w:val="14"/>
                <w:szCs w:val="14"/>
                <w:color w:val="auto"/>
              </w:rPr>
              <w:t>6/3/2016</w:t>
            </w:r>
          </w:p>
        </w:tc>
        <w:tc>
          <w:tcPr>
            <w:tcW w:w="940" w:type="dxa"/>
            <w:vAlign w:val="bottom"/>
            <w:shd w:val="clear" w:color="auto" w:fill="F0F7E7"/>
          </w:tcPr>
          <w:p>
            <w:pPr>
              <w:jc w:val="right"/>
              <w:spacing w:after="0"/>
              <w:rPr>
                <w:sz w:val="20"/>
                <w:szCs w:val="20"/>
                <w:color w:val="auto"/>
              </w:rPr>
            </w:pPr>
            <w:r>
              <w:rPr>
                <w:rFonts w:ascii="Arial" w:cs="Arial" w:eastAsia="Arial" w:hAnsi="Arial"/>
                <w:sz w:val="14"/>
                <w:szCs w:val="14"/>
                <w:color w:val="auto"/>
              </w:rPr>
              <w:t>11,000</w:t>
            </w:r>
          </w:p>
        </w:tc>
        <w:tc>
          <w:tcPr>
            <w:tcW w:w="1100" w:type="dxa"/>
            <w:vAlign w:val="bottom"/>
            <w:shd w:val="clear" w:color="auto" w:fill="F0F7E7"/>
          </w:tcPr>
          <w:p>
            <w:pPr>
              <w:jc w:val="right"/>
              <w:ind w:right="10"/>
              <w:spacing w:after="0"/>
              <w:rPr>
                <w:sz w:val="20"/>
                <w:szCs w:val="20"/>
                <w:color w:val="auto"/>
              </w:rPr>
            </w:pPr>
            <w:r>
              <w:rPr>
                <w:rFonts w:ascii="Arial" w:cs="Arial" w:eastAsia="Arial" w:hAnsi="Arial"/>
                <w:sz w:val="14"/>
                <w:szCs w:val="14"/>
                <w:color w:val="auto"/>
              </w:rPr>
              <w:t>—</w:t>
            </w:r>
          </w:p>
        </w:tc>
        <w:tc>
          <w:tcPr>
            <w:tcW w:w="1220" w:type="dxa"/>
            <w:vAlign w:val="bottom"/>
            <w:shd w:val="clear" w:color="auto" w:fill="F0F7E7"/>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F0F7E7"/>
          </w:tcPr>
          <w:p>
            <w:pPr>
              <w:jc w:val="right"/>
              <w:spacing w:after="0"/>
              <w:rPr>
                <w:sz w:val="20"/>
                <w:szCs w:val="20"/>
                <w:color w:val="auto"/>
              </w:rPr>
            </w:pPr>
            <w:r>
              <w:rPr>
                <w:rFonts w:ascii="Arial" w:cs="Arial" w:eastAsia="Arial" w:hAnsi="Arial"/>
                <w:sz w:val="14"/>
                <w:szCs w:val="14"/>
                <w:color w:val="auto"/>
              </w:rPr>
              <w:t>69.53</w:t>
            </w:r>
          </w:p>
        </w:tc>
        <w:tc>
          <w:tcPr>
            <w:tcW w:w="920" w:type="dxa"/>
            <w:vAlign w:val="bottom"/>
            <w:gridSpan w:val="2"/>
            <w:shd w:val="clear" w:color="auto" w:fill="F0F7E7"/>
          </w:tcPr>
          <w:p>
            <w:pPr>
              <w:jc w:val="right"/>
              <w:ind w:right="140"/>
              <w:spacing w:after="0"/>
              <w:rPr>
                <w:sz w:val="20"/>
                <w:szCs w:val="20"/>
                <w:color w:val="auto"/>
              </w:rPr>
            </w:pPr>
            <w:r>
              <w:rPr>
                <w:rFonts w:ascii="Arial" w:cs="Arial" w:eastAsia="Arial" w:hAnsi="Arial"/>
                <w:sz w:val="14"/>
                <w:szCs w:val="14"/>
                <w:color w:val="auto"/>
              </w:rPr>
              <w:t>6/3/2026</w:t>
            </w:r>
          </w:p>
        </w:tc>
        <w:tc>
          <w:tcPr>
            <w:tcW w:w="840" w:type="dxa"/>
            <w:vAlign w:val="bottom"/>
            <w:shd w:val="clear" w:color="auto" w:fill="F0F7E7"/>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F0F7E7"/>
          </w:tcPr>
          <w:p>
            <w:pPr>
              <w:jc w:val="right"/>
              <w:spacing w:after="0"/>
              <w:rPr>
                <w:sz w:val="20"/>
                <w:szCs w:val="20"/>
                <w:color w:val="auto"/>
              </w:rPr>
            </w:pPr>
            <w:r>
              <w:rPr>
                <w:rFonts w:ascii="Arial" w:cs="Arial" w:eastAsia="Arial" w:hAnsi="Arial"/>
                <w:sz w:val="14"/>
                <w:szCs w:val="14"/>
                <w:color w:val="auto"/>
              </w:rPr>
              <w:t>—</w:t>
            </w:r>
          </w:p>
        </w:tc>
        <w:tc>
          <w:tcPr>
            <w:tcW w:w="1260" w:type="dxa"/>
            <w:vAlign w:val="bottom"/>
            <w:shd w:val="clear" w:color="auto" w:fill="F0F7E7"/>
          </w:tcPr>
          <w:p>
            <w:pPr>
              <w:jc w:val="right"/>
              <w:spacing w:after="0"/>
              <w:rPr>
                <w:sz w:val="20"/>
                <w:szCs w:val="20"/>
                <w:color w:val="auto"/>
              </w:rPr>
            </w:pPr>
            <w:r>
              <w:rPr>
                <w:rFonts w:ascii="Arial" w:cs="Arial" w:eastAsia="Arial" w:hAnsi="Arial"/>
                <w:sz w:val="14"/>
                <w:szCs w:val="14"/>
                <w:color w:val="auto"/>
              </w:rPr>
              <w:t>—</w:t>
            </w:r>
          </w:p>
        </w:tc>
        <w:tc>
          <w:tcPr>
            <w:tcW w:w="1580" w:type="dxa"/>
            <w:vAlign w:val="bottom"/>
            <w:shd w:val="clear" w:color="auto" w:fill="F0F7E7"/>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78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6/1/2016</w:t>
            </w:r>
          </w:p>
        </w:tc>
        <w:tc>
          <w:tcPr>
            <w:tcW w:w="940" w:type="dxa"/>
            <w:vAlign w:val="bottom"/>
          </w:tcPr>
          <w:p>
            <w:pPr>
              <w:jc w:val="right"/>
              <w:spacing w:after="0"/>
              <w:rPr>
                <w:sz w:val="20"/>
                <w:szCs w:val="20"/>
                <w:color w:val="auto"/>
              </w:rPr>
            </w:pPr>
            <w:r>
              <w:rPr>
                <w:rFonts w:ascii="Arial" w:cs="Arial" w:eastAsia="Arial" w:hAnsi="Arial"/>
                <w:sz w:val="14"/>
                <w:szCs w:val="14"/>
                <w:color w:val="auto"/>
              </w:rPr>
              <w:t>17,800</w:t>
            </w:r>
          </w:p>
        </w:tc>
        <w:tc>
          <w:tcPr>
            <w:tcW w:w="110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70.57</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6/1/2026</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c>
          <w:tcPr>
            <w:tcW w:w="15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1"/>
        </w:trPr>
        <w:tc>
          <w:tcPr>
            <w:tcW w:w="780" w:type="dxa"/>
            <w:vAlign w:val="bottom"/>
            <w:tcBorders>
              <w:bottom w:val="single" w:sz="8" w:color="7CBD3F"/>
            </w:tcBorders>
          </w:tcPr>
          <w:p>
            <w:pPr>
              <w:spacing w:after="0"/>
              <w:rPr>
                <w:sz w:val="16"/>
                <w:szCs w:val="16"/>
                <w:color w:val="auto"/>
              </w:rPr>
            </w:pPr>
          </w:p>
        </w:tc>
        <w:tc>
          <w:tcPr>
            <w:tcW w:w="1000" w:type="dxa"/>
            <w:vAlign w:val="bottom"/>
            <w:tcBorders>
              <w:bottom w:val="single" w:sz="8" w:color="7CBD3F"/>
            </w:tcBorders>
            <w:gridSpan w:val="2"/>
            <w:shd w:val="clear" w:color="auto" w:fill="F0F7E7"/>
          </w:tcPr>
          <w:p>
            <w:pPr>
              <w:jc w:val="right"/>
              <w:ind w:right="140"/>
              <w:spacing w:after="0"/>
              <w:rPr>
                <w:sz w:val="20"/>
                <w:szCs w:val="20"/>
                <w:color w:val="auto"/>
              </w:rPr>
            </w:pPr>
            <w:r>
              <w:rPr>
                <w:rFonts w:ascii="Arial" w:cs="Arial" w:eastAsia="Arial" w:hAnsi="Arial"/>
                <w:sz w:val="14"/>
                <w:szCs w:val="14"/>
                <w:color w:val="auto"/>
              </w:rPr>
              <w:t>7/16/2015</w:t>
            </w:r>
          </w:p>
        </w:tc>
        <w:tc>
          <w:tcPr>
            <w:tcW w:w="940" w:type="dxa"/>
            <w:vAlign w:val="bottom"/>
            <w:tcBorders>
              <w:bottom w:val="single" w:sz="8" w:color="7CBD3F"/>
            </w:tcBorders>
            <w:shd w:val="clear" w:color="auto" w:fill="F0F7E7"/>
          </w:tcPr>
          <w:p>
            <w:pPr>
              <w:jc w:val="right"/>
              <w:spacing w:after="0"/>
              <w:rPr>
                <w:sz w:val="20"/>
                <w:szCs w:val="20"/>
                <w:color w:val="auto"/>
              </w:rPr>
            </w:pPr>
            <w:r>
              <w:rPr>
                <w:rFonts w:ascii="Arial" w:cs="Arial" w:eastAsia="Arial" w:hAnsi="Arial"/>
                <w:sz w:val="14"/>
                <w:szCs w:val="14"/>
                <w:color w:val="auto"/>
              </w:rPr>
              <w:t>90,000</w:t>
            </w:r>
          </w:p>
        </w:tc>
        <w:tc>
          <w:tcPr>
            <w:tcW w:w="1100" w:type="dxa"/>
            <w:vAlign w:val="bottom"/>
            <w:tcBorders>
              <w:bottom w:val="single" w:sz="8" w:color="7CBD3F"/>
            </w:tcBorders>
            <w:shd w:val="clear" w:color="auto" w:fill="F0F7E7"/>
          </w:tcPr>
          <w:p>
            <w:pPr>
              <w:jc w:val="right"/>
              <w:ind w:right="10"/>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7CBD3F"/>
            </w:tcBorders>
            <w:shd w:val="clear" w:color="auto" w:fill="F0F7E7"/>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7CBD3F"/>
            </w:tcBorders>
            <w:shd w:val="clear" w:color="auto" w:fill="F0F7E7"/>
          </w:tcPr>
          <w:p>
            <w:pPr>
              <w:jc w:val="right"/>
              <w:spacing w:after="0"/>
              <w:rPr>
                <w:sz w:val="20"/>
                <w:szCs w:val="20"/>
                <w:color w:val="auto"/>
              </w:rPr>
            </w:pPr>
            <w:r>
              <w:rPr>
                <w:rFonts w:ascii="Arial" w:cs="Arial" w:eastAsia="Arial" w:hAnsi="Arial"/>
                <w:sz w:val="14"/>
                <w:szCs w:val="14"/>
                <w:color w:val="auto"/>
              </w:rPr>
              <w:t>124.87</w:t>
            </w:r>
          </w:p>
        </w:tc>
        <w:tc>
          <w:tcPr>
            <w:tcW w:w="920" w:type="dxa"/>
            <w:vAlign w:val="bottom"/>
            <w:tcBorders>
              <w:bottom w:val="single" w:sz="8" w:color="7CBD3F"/>
            </w:tcBorders>
            <w:gridSpan w:val="2"/>
            <w:shd w:val="clear" w:color="auto" w:fill="F0F7E7"/>
          </w:tcPr>
          <w:p>
            <w:pPr>
              <w:jc w:val="right"/>
              <w:ind w:right="140"/>
              <w:spacing w:after="0"/>
              <w:rPr>
                <w:sz w:val="20"/>
                <w:szCs w:val="20"/>
                <w:color w:val="auto"/>
              </w:rPr>
            </w:pPr>
            <w:r>
              <w:rPr>
                <w:rFonts w:ascii="Arial" w:cs="Arial" w:eastAsia="Arial" w:hAnsi="Arial"/>
                <w:sz w:val="14"/>
                <w:szCs w:val="14"/>
                <w:color w:val="auto"/>
              </w:rPr>
              <w:t>7/16/2025</w:t>
            </w:r>
          </w:p>
        </w:tc>
        <w:tc>
          <w:tcPr>
            <w:tcW w:w="840" w:type="dxa"/>
            <w:vAlign w:val="bottom"/>
            <w:tcBorders>
              <w:bottom w:val="single" w:sz="8" w:color="7CBD3F"/>
            </w:tcBorders>
            <w:shd w:val="clear" w:color="auto" w:fill="F0F7E7"/>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7CBD3F"/>
            </w:tcBorders>
            <w:shd w:val="clear" w:color="auto" w:fill="F0F7E7"/>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7CBD3F"/>
            </w:tcBorders>
            <w:shd w:val="clear" w:color="auto" w:fill="F0F7E7"/>
          </w:tcPr>
          <w:p>
            <w:pPr>
              <w:jc w:val="right"/>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7CBD3F"/>
            </w:tcBorders>
            <w:shd w:val="clear" w:color="auto" w:fill="F0F7E7"/>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39" w:lineRule="exact"/>
        <w:rPr>
          <w:sz w:val="20"/>
          <w:szCs w:val="20"/>
          <w:color w:val="auto"/>
        </w:rPr>
      </w:pPr>
    </w:p>
    <w:p>
      <w:pPr>
        <w:jc w:val="both"/>
        <w:ind w:left="287" w:hanging="287"/>
        <w:spacing w:after="0" w:line="266" w:lineRule="auto"/>
        <w:tabs>
          <w:tab w:leader="none" w:pos="287" w:val="left"/>
        </w:tabs>
        <w:numPr>
          <w:ilvl w:val="0"/>
          <w:numId w:val="39"/>
        </w:numPr>
        <w:rPr>
          <w:rFonts w:ascii="Arial" w:cs="Arial" w:eastAsia="Arial" w:hAnsi="Arial"/>
          <w:sz w:val="12"/>
          <w:szCs w:val="12"/>
          <w:color w:val="auto"/>
        </w:rPr>
      </w:pPr>
      <w:r>
        <w:rPr>
          <w:rFonts w:ascii="Arial" w:cs="Arial" w:eastAsia="Arial" w:hAnsi="Arial"/>
          <w:sz w:val="12"/>
          <w:szCs w:val="12"/>
          <w:color w:val="auto"/>
        </w:rPr>
        <w:t>The options vest with respect to 1/4th of the shares underlying the option on the one-year anniversary of the applicable grant date, and with respect to 1/48th of the shares underlying the option, on each monthly anniversary thereafter, subject to the holder’s continued service to us through each such vesting date. Please see the section entitled “—Narrative Disclosure to Summary Compensation Table—Covered Transaction” for accelerated vesting provisions that apply on certain terminations of employment.</w:t>
      </w:r>
    </w:p>
    <w:p>
      <w:pPr>
        <w:spacing w:after="0" w:line="7" w:lineRule="exact"/>
        <w:rPr>
          <w:rFonts w:ascii="Arial" w:cs="Arial" w:eastAsia="Arial" w:hAnsi="Arial"/>
          <w:sz w:val="12"/>
          <w:szCs w:val="12"/>
          <w:color w:val="auto"/>
        </w:rPr>
      </w:pPr>
    </w:p>
    <w:p>
      <w:pPr>
        <w:jc w:val="both"/>
        <w:ind w:left="287" w:hanging="287"/>
        <w:spacing w:after="0" w:line="266" w:lineRule="auto"/>
        <w:tabs>
          <w:tab w:leader="none" w:pos="287" w:val="left"/>
        </w:tabs>
        <w:numPr>
          <w:ilvl w:val="0"/>
          <w:numId w:val="39"/>
        </w:numPr>
        <w:rPr>
          <w:rFonts w:ascii="Arial" w:cs="Arial" w:eastAsia="Arial" w:hAnsi="Arial"/>
          <w:sz w:val="12"/>
          <w:szCs w:val="12"/>
          <w:color w:val="auto"/>
        </w:rPr>
      </w:pPr>
      <w:r>
        <w:rPr>
          <w:rFonts w:ascii="Arial" w:cs="Arial" w:eastAsia="Arial" w:hAnsi="Arial"/>
          <w:sz w:val="12"/>
          <w:szCs w:val="12"/>
          <w:color w:val="auto"/>
        </w:rPr>
        <w:t>Reflects PSOs from Amlogenyx, a privately-held subsidiary of Ultragenyx in which Ultragenyx currently holds a majority interest. The Amlogenyx PSOs will vest upon achievement of specified clinical performance criteria, with each criteria weighted 25%. If the performance criteria are not achieved during the 18-month performance period ending April 21, 2026, any unvested portion of the Amlogenyx PSOs will be forfeited.</w:t>
      </w:r>
    </w:p>
    <w:p>
      <w:pPr>
        <w:spacing w:after="0" w:line="7" w:lineRule="exact"/>
        <w:rPr>
          <w:rFonts w:ascii="Arial" w:cs="Arial" w:eastAsia="Arial" w:hAnsi="Arial"/>
          <w:sz w:val="12"/>
          <w:szCs w:val="12"/>
          <w:color w:val="auto"/>
        </w:rPr>
      </w:pPr>
    </w:p>
    <w:p>
      <w:pPr>
        <w:jc w:val="both"/>
        <w:ind w:left="287" w:hanging="287"/>
        <w:spacing w:after="0" w:line="254" w:lineRule="auto"/>
        <w:tabs>
          <w:tab w:leader="none" w:pos="287" w:val="left"/>
        </w:tabs>
        <w:numPr>
          <w:ilvl w:val="0"/>
          <w:numId w:val="39"/>
        </w:numPr>
        <w:rPr>
          <w:rFonts w:ascii="Arial" w:cs="Arial" w:eastAsia="Arial" w:hAnsi="Arial"/>
          <w:sz w:val="12"/>
          <w:szCs w:val="12"/>
          <w:color w:val="auto"/>
        </w:rPr>
      </w:pPr>
      <w:r>
        <w:rPr>
          <w:rFonts w:ascii="Arial" w:cs="Arial" w:eastAsia="Arial" w:hAnsi="Arial"/>
          <w:sz w:val="12"/>
          <w:szCs w:val="12"/>
          <w:color w:val="auto"/>
        </w:rPr>
        <w:t>Amounts in this column reflects unvested RSUs as well as earned but unvested PSUs. The RSUs vest with respect to 1/4th of the underlying shares on each anniversary of the grant date over a four-year period. For (i) Dr. Kakkis, 12,906 of the total earned PSUs listed in the March 1, 2022 row and 94,386 of the total earned PSUs listed in the March 1, 2023 row vested on March 1, 2025 and for (ii) each of Mr. Harris and Mr. Pinion, 3,472 of the total earned PSUs listed in the March 1, 2022 row, for Mr. Harris and Mr. Pinion, 14,971 of the total earned PSUs listed in the March 1, 2023 row vested on March 1, 2025 and for Dr. Crombez, 14,971 of the of the total earned PSUs listed in the May 1, 2023 row vested on March 1, 2025. Please see the section entitled “—Narrative Disclosure to Summary Compensation Table—Covered Transaction” for accelerated vesting provisions that apply on certain terminations of employment.</w:t>
      </w:r>
    </w:p>
    <w:p>
      <w:pPr>
        <w:spacing w:after="0" w:line="15" w:lineRule="exact"/>
        <w:rPr>
          <w:rFonts w:ascii="Arial" w:cs="Arial" w:eastAsia="Arial" w:hAnsi="Arial"/>
          <w:sz w:val="12"/>
          <w:szCs w:val="12"/>
          <w:color w:val="auto"/>
        </w:rPr>
      </w:pPr>
    </w:p>
    <w:p>
      <w:pPr>
        <w:ind w:left="287" w:hanging="287"/>
        <w:spacing w:after="0" w:line="289" w:lineRule="auto"/>
        <w:tabs>
          <w:tab w:leader="none" w:pos="287" w:val="left"/>
        </w:tabs>
        <w:numPr>
          <w:ilvl w:val="0"/>
          <w:numId w:val="39"/>
        </w:numPr>
        <w:rPr>
          <w:rFonts w:ascii="Arial" w:cs="Arial" w:eastAsia="Arial" w:hAnsi="Arial"/>
          <w:sz w:val="12"/>
          <w:szCs w:val="12"/>
          <w:color w:val="auto"/>
        </w:rPr>
      </w:pPr>
      <w:r>
        <w:rPr>
          <w:rFonts w:ascii="Arial" w:cs="Arial" w:eastAsia="Arial" w:hAnsi="Arial"/>
          <w:sz w:val="12"/>
          <w:szCs w:val="12"/>
          <w:color w:val="auto"/>
        </w:rPr>
        <w:t>The PSUs set forth in the table are reported at target achievement. The PSUs vest as described above under “Compensation Discussion and Analysis—Equity Compensation”. Please see the section entitled “—Narrative Disclosure to Summary Compensation Table—Covered Transaction” for accelerated vesting provisions that apply on certain terminations of employment.</w:t>
      </w:r>
    </w:p>
    <w:p>
      <w:pPr>
        <w:spacing w:after="0" w:line="261" w:lineRule="exact"/>
        <w:rPr>
          <w:sz w:val="20"/>
          <w:szCs w:val="20"/>
          <w:color w:val="auto"/>
        </w:rPr>
      </w:pPr>
    </w:p>
    <w:p>
      <w:pPr>
        <w:ind w:left="7"/>
        <w:spacing w:after="0"/>
        <w:rPr>
          <w:sz w:val="20"/>
          <w:szCs w:val="20"/>
          <w:color w:val="auto"/>
        </w:rPr>
      </w:pPr>
      <w:r>
        <w:rPr>
          <w:rFonts w:ascii="Arial" w:cs="Arial" w:eastAsia="Arial" w:hAnsi="Arial"/>
          <w:sz w:val="22"/>
          <w:szCs w:val="22"/>
          <w:b w:val="1"/>
          <w:bCs w:val="1"/>
          <w:color w:val="auto"/>
        </w:rPr>
        <w:t>Option Exercises and Stock Vested</w:t>
      </w:r>
    </w:p>
    <w:p>
      <w:pPr>
        <w:spacing w:after="0" w:line="222" w:lineRule="exact"/>
        <w:rPr>
          <w:sz w:val="20"/>
          <w:szCs w:val="20"/>
          <w:color w:val="auto"/>
        </w:rPr>
      </w:pPr>
    </w:p>
    <w:p>
      <w:pPr>
        <w:ind w:left="7" w:right="20"/>
        <w:spacing w:after="0" w:line="278" w:lineRule="auto"/>
        <w:rPr>
          <w:sz w:val="20"/>
          <w:szCs w:val="20"/>
          <w:color w:val="auto"/>
        </w:rPr>
      </w:pPr>
      <w:r>
        <w:rPr>
          <w:rFonts w:ascii="Arial" w:cs="Arial" w:eastAsia="Arial" w:hAnsi="Arial"/>
          <w:sz w:val="14"/>
          <w:szCs w:val="14"/>
          <w:color w:val="auto"/>
        </w:rPr>
        <w:t>The following table sets forth certain information concerning the stock awards vested for our named executive officers during fiscal 2024. No named executive officers exercised any option awards during fiscal 2024.</w:t>
      </w:r>
    </w:p>
    <w:p>
      <w:pPr>
        <w:spacing w:after="0" w:line="128" w:lineRule="exact"/>
        <w:rPr>
          <w:sz w:val="20"/>
          <w:szCs w:val="20"/>
          <w:color w:val="auto"/>
        </w:rPr>
      </w:pPr>
    </w:p>
    <w:tbl>
      <w:tblPr>
        <w:tblLayout w:type="fixed"/>
        <w:tblInd w:w="7" w:type="dxa"/>
        <w:tblCellMar>
          <w:top w:w="0" w:type="dxa"/>
          <w:left w:w="0" w:type="dxa"/>
          <w:bottom w:w="0" w:type="dxa"/>
          <w:right w:w="0" w:type="dxa"/>
        </w:tblCellMar>
      </w:tblPr>
      <w:tr>
        <w:trPr>
          <w:trHeight w:val="191"/>
        </w:trPr>
        <w:tc>
          <w:tcPr>
            <w:tcW w:w="8900" w:type="dxa"/>
            <w:vAlign w:val="bottom"/>
          </w:tcPr>
          <w:p>
            <w:pPr>
              <w:spacing w:after="0"/>
              <w:rPr>
                <w:sz w:val="16"/>
                <w:szCs w:val="16"/>
                <w:color w:val="auto"/>
              </w:rPr>
            </w:pPr>
          </w:p>
        </w:tc>
        <w:tc>
          <w:tcPr>
            <w:tcW w:w="2360" w:type="dxa"/>
            <w:vAlign w:val="bottom"/>
            <w:tcBorders>
              <w:bottom w:val="single" w:sz="8" w:color="7CBD3F"/>
            </w:tcBorders>
            <w:gridSpan w:val="2"/>
          </w:tcPr>
          <w:p>
            <w:pPr>
              <w:jc w:val="right"/>
              <w:ind w:right="650"/>
              <w:spacing w:after="0"/>
              <w:rPr>
                <w:sz w:val="20"/>
                <w:szCs w:val="20"/>
                <w:color w:val="auto"/>
              </w:rPr>
            </w:pPr>
            <w:r>
              <w:rPr>
                <w:rFonts w:ascii="Arial" w:cs="Arial" w:eastAsia="Arial" w:hAnsi="Arial"/>
                <w:sz w:val="14"/>
                <w:szCs w:val="14"/>
                <w:b w:val="1"/>
                <w:bCs w:val="1"/>
                <w:color w:val="auto"/>
              </w:rPr>
              <w:t>Stock Awards</w:t>
            </w:r>
          </w:p>
        </w:tc>
      </w:tr>
      <w:tr>
        <w:trPr>
          <w:trHeight w:val="175"/>
        </w:trPr>
        <w:tc>
          <w:tcPr>
            <w:tcW w:w="8900" w:type="dxa"/>
            <w:vAlign w:val="bottom"/>
          </w:tcPr>
          <w:p>
            <w:pPr>
              <w:spacing w:after="0"/>
              <w:rPr>
                <w:sz w:val="15"/>
                <w:szCs w:val="15"/>
                <w:color w:val="auto"/>
              </w:rPr>
            </w:pPr>
          </w:p>
        </w:tc>
        <w:tc>
          <w:tcPr>
            <w:tcW w:w="1320" w:type="dxa"/>
            <w:vAlign w:val="bottom"/>
          </w:tcPr>
          <w:p>
            <w:pPr>
              <w:jc w:val="right"/>
              <w:ind w:right="150"/>
              <w:spacing w:after="0"/>
              <w:rPr>
                <w:sz w:val="20"/>
                <w:szCs w:val="20"/>
                <w:color w:val="auto"/>
              </w:rPr>
            </w:pPr>
            <w:r>
              <w:rPr>
                <w:rFonts w:ascii="Arial" w:cs="Arial" w:eastAsia="Arial" w:hAnsi="Arial"/>
                <w:sz w:val="14"/>
                <w:szCs w:val="14"/>
                <w:b w:val="1"/>
                <w:bCs w:val="1"/>
                <w:color w:val="auto"/>
              </w:rPr>
              <w:t>Number of</w:t>
            </w:r>
          </w:p>
        </w:tc>
        <w:tc>
          <w:tcPr>
            <w:tcW w:w="1040" w:type="dxa"/>
            <w:vAlign w:val="bottom"/>
          </w:tcPr>
          <w:p>
            <w:pPr>
              <w:jc w:val="right"/>
              <w:ind w:right="30"/>
              <w:spacing w:after="0"/>
              <w:rPr>
                <w:sz w:val="20"/>
                <w:szCs w:val="20"/>
                <w:color w:val="auto"/>
              </w:rPr>
            </w:pPr>
            <w:r>
              <w:rPr>
                <w:rFonts w:ascii="Arial" w:cs="Arial" w:eastAsia="Arial" w:hAnsi="Arial"/>
                <w:sz w:val="14"/>
                <w:szCs w:val="14"/>
                <w:b w:val="1"/>
                <w:bCs w:val="1"/>
                <w:color w:val="auto"/>
              </w:rPr>
              <w:t>Value</w:t>
            </w:r>
          </w:p>
        </w:tc>
      </w:tr>
      <w:tr>
        <w:trPr>
          <w:trHeight w:val="163"/>
        </w:trPr>
        <w:tc>
          <w:tcPr>
            <w:tcW w:w="8900" w:type="dxa"/>
            <w:vAlign w:val="bottom"/>
          </w:tcPr>
          <w:p>
            <w:pPr>
              <w:spacing w:after="0"/>
              <w:rPr>
                <w:sz w:val="14"/>
                <w:szCs w:val="14"/>
                <w:color w:val="auto"/>
              </w:rPr>
            </w:pPr>
          </w:p>
        </w:tc>
        <w:tc>
          <w:tcPr>
            <w:tcW w:w="1320" w:type="dxa"/>
            <w:vAlign w:val="bottom"/>
          </w:tcPr>
          <w:p>
            <w:pPr>
              <w:jc w:val="right"/>
              <w:ind w:right="110"/>
              <w:spacing w:after="0"/>
              <w:rPr>
                <w:sz w:val="20"/>
                <w:szCs w:val="20"/>
                <w:color w:val="auto"/>
              </w:rPr>
            </w:pPr>
            <w:r>
              <w:rPr>
                <w:rFonts w:ascii="Arial" w:cs="Arial" w:eastAsia="Arial" w:hAnsi="Arial"/>
                <w:sz w:val="14"/>
                <w:szCs w:val="14"/>
                <w:b w:val="1"/>
                <w:bCs w:val="1"/>
                <w:color w:val="auto"/>
              </w:rPr>
              <w:t>Shares Acquired</w:t>
            </w:r>
          </w:p>
        </w:tc>
        <w:tc>
          <w:tcPr>
            <w:tcW w:w="1040" w:type="dxa"/>
            <w:vAlign w:val="bottom"/>
          </w:tcPr>
          <w:p>
            <w:pPr>
              <w:jc w:val="right"/>
              <w:ind w:right="30"/>
              <w:spacing w:after="0"/>
              <w:rPr>
                <w:sz w:val="20"/>
                <w:szCs w:val="20"/>
                <w:color w:val="auto"/>
              </w:rPr>
            </w:pPr>
            <w:r>
              <w:rPr>
                <w:rFonts w:ascii="Arial" w:cs="Arial" w:eastAsia="Arial" w:hAnsi="Arial"/>
                <w:sz w:val="14"/>
                <w:szCs w:val="14"/>
                <w:b w:val="1"/>
                <w:bCs w:val="1"/>
                <w:color w:val="auto"/>
              </w:rPr>
              <w:t>Realized on</w:t>
            </w:r>
          </w:p>
        </w:tc>
      </w:tr>
      <w:tr>
        <w:trPr>
          <w:trHeight w:val="163"/>
        </w:trPr>
        <w:tc>
          <w:tcPr>
            <w:tcW w:w="8900" w:type="dxa"/>
            <w:vAlign w:val="bottom"/>
          </w:tcPr>
          <w:p>
            <w:pPr>
              <w:spacing w:after="0"/>
              <w:rPr>
                <w:sz w:val="14"/>
                <w:szCs w:val="14"/>
                <w:color w:val="auto"/>
              </w:rPr>
            </w:pPr>
          </w:p>
        </w:tc>
        <w:tc>
          <w:tcPr>
            <w:tcW w:w="1320" w:type="dxa"/>
            <w:vAlign w:val="bottom"/>
          </w:tcPr>
          <w:p>
            <w:pPr>
              <w:jc w:val="right"/>
              <w:ind w:right="150"/>
              <w:spacing w:after="0"/>
              <w:rPr>
                <w:sz w:val="20"/>
                <w:szCs w:val="20"/>
                <w:color w:val="auto"/>
              </w:rPr>
            </w:pPr>
            <w:r>
              <w:rPr>
                <w:rFonts w:ascii="Arial" w:cs="Arial" w:eastAsia="Arial" w:hAnsi="Arial"/>
                <w:sz w:val="14"/>
                <w:szCs w:val="14"/>
                <w:b w:val="1"/>
                <w:bCs w:val="1"/>
                <w:color w:val="auto"/>
              </w:rPr>
              <w:t>on Vesting</w:t>
            </w:r>
          </w:p>
        </w:tc>
        <w:tc>
          <w:tcPr>
            <w:tcW w:w="1040" w:type="dxa"/>
            <w:vAlign w:val="bottom"/>
          </w:tcPr>
          <w:p>
            <w:pPr>
              <w:jc w:val="right"/>
              <w:ind w:right="30"/>
              <w:spacing w:after="0"/>
              <w:rPr>
                <w:sz w:val="20"/>
                <w:szCs w:val="20"/>
                <w:color w:val="auto"/>
              </w:rPr>
            </w:pPr>
            <w:r>
              <w:rPr>
                <w:rFonts w:ascii="Arial" w:cs="Arial" w:eastAsia="Arial" w:hAnsi="Arial"/>
                <w:sz w:val="14"/>
                <w:szCs w:val="14"/>
                <w:b w:val="1"/>
                <w:bCs w:val="1"/>
                <w:color w:val="auto"/>
              </w:rPr>
              <w:t>Vesting</w:t>
            </w:r>
          </w:p>
        </w:tc>
      </w:tr>
      <w:tr>
        <w:trPr>
          <w:trHeight w:val="213"/>
        </w:trPr>
        <w:tc>
          <w:tcPr>
            <w:tcW w:w="8900" w:type="dxa"/>
            <w:vAlign w:val="bottom"/>
            <w:tcBorders>
              <w:bottom w:val="single" w:sz="8" w:color="7CBD3F"/>
            </w:tcBorders>
          </w:tcPr>
          <w:p>
            <w:pPr>
              <w:ind w:left="40"/>
              <w:spacing w:after="0"/>
              <w:rPr>
                <w:sz w:val="20"/>
                <w:szCs w:val="20"/>
                <w:color w:val="auto"/>
              </w:rPr>
            </w:pPr>
            <w:r>
              <w:rPr>
                <w:rFonts w:ascii="Arial" w:cs="Arial" w:eastAsia="Arial" w:hAnsi="Arial"/>
                <w:sz w:val="14"/>
                <w:szCs w:val="14"/>
                <w:b w:val="1"/>
                <w:bCs w:val="1"/>
                <w:color w:val="auto"/>
              </w:rPr>
              <w:t>Name</w:t>
            </w:r>
          </w:p>
        </w:tc>
        <w:tc>
          <w:tcPr>
            <w:tcW w:w="1320" w:type="dxa"/>
            <w:vAlign w:val="bottom"/>
            <w:tcBorders>
              <w:bottom w:val="single" w:sz="8" w:color="7CBD3F"/>
            </w:tcBorders>
          </w:tcPr>
          <w:p>
            <w:pPr>
              <w:jc w:val="right"/>
              <w:ind w:right="110"/>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7CBD3F"/>
            </w:tcBorders>
          </w:tcPr>
          <w:p>
            <w:pPr>
              <w:jc w:val="right"/>
              <w:spacing w:after="0" w:line="210"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23"/>
                <w:szCs w:val="23"/>
                <w:b w:val="1"/>
                <w:bCs w:val="1"/>
                <w:color w:val="auto"/>
                <w:vertAlign w:val="superscript"/>
              </w:rPr>
              <w:t>(1)</w:t>
            </w:r>
          </w:p>
        </w:tc>
      </w:tr>
      <w:tr>
        <w:trPr>
          <w:trHeight w:val="186"/>
        </w:trPr>
        <w:tc>
          <w:tcPr>
            <w:tcW w:w="8900" w:type="dxa"/>
            <w:vAlign w:val="bottom"/>
          </w:tcPr>
          <w:p>
            <w:pPr>
              <w:ind w:left="40"/>
              <w:spacing w:after="0"/>
              <w:rPr>
                <w:sz w:val="20"/>
                <w:szCs w:val="20"/>
                <w:color w:val="auto"/>
              </w:rPr>
            </w:pPr>
            <w:r>
              <w:rPr>
                <w:rFonts w:ascii="Arial" w:cs="Arial" w:eastAsia="Arial" w:hAnsi="Arial"/>
                <w:sz w:val="14"/>
                <w:szCs w:val="14"/>
                <w:color w:val="auto"/>
              </w:rPr>
              <w:t>Emil D. Kakkis, M.D., Ph.D.</w:t>
            </w:r>
          </w:p>
        </w:tc>
        <w:tc>
          <w:tcPr>
            <w:tcW w:w="1320" w:type="dxa"/>
            <w:vAlign w:val="bottom"/>
          </w:tcPr>
          <w:p>
            <w:pPr>
              <w:jc w:val="right"/>
              <w:ind w:right="110"/>
              <w:spacing w:after="0"/>
              <w:rPr>
                <w:sz w:val="20"/>
                <w:szCs w:val="20"/>
                <w:color w:val="auto"/>
              </w:rPr>
            </w:pPr>
            <w:r>
              <w:rPr>
                <w:rFonts w:ascii="Arial" w:cs="Arial" w:eastAsia="Arial" w:hAnsi="Arial"/>
                <w:sz w:val="14"/>
                <w:szCs w:val="14"/>
                <w:color w:val="auto"/>
              </w:rPr>
              <w:t>36,442</w:t>
            </w:r>
          </w:p>
        </w:tc>
        <w:tc>
          <w:tcPr>
            <w:tcW w:w="1040" w:type="dxa"/>
            <w:vAlign w:val="bottom"/>
          </w:tcPr>
          <w:p>
            <w:pPr>
              <w:jc w:val="right"/>
              <w:spacing w:after="0"/>
              <w:rPr>
                <w:sz w:val="20"/>
                <w:szCs w:val="20"/>
                <w:color w:val="auto"/>
              </w:rPr>
            </w:pPr>
            <w:r>
              <w:rPr>
                <w:rFonts w:ascii="Arial" w:cs="Arial" w:eastAsia="Arial" w:hAnsi="Arial"/>
                <w:sz w:val="14"/>
                <w:szCs w:val="14"/>
                <w:color w:val="auto"/>
              </w:rPr>
              <w:t>1,956,571</w:t>
            </w:r>
          </w:p>
        </w:tc>
      </w:tr>
      <w:tr>
        <w:trPr>
          <w:trHeight w:val="187"/>
        </w:trPr>
        <w:tc>
          <w:tcPr>
            <w:tcW w:w="8900" w:type="dxa"/>
            <w:vAlign w:val="bottom"/>
            <w:shd w:val="clear" w:color="auto" w:fill="F0F7E7"/>
          </w:tcPr>
          <w:p>
            <w:pPr>
              <w:ind w:left="40"/>
              <w:spacing w:after="0"/>
              <w:rPr>
                <w:sz w:val="20"/>
                <w:szCs w:val="20"/>
                <w:color w:val="auto"/>
              </w:rPr>
            </w:pPr>
            <w:r>
              <w:rPr>
                <w:rFonts w:ascii="Arial" w:cs="Arial" w:eastAsia="Arial" w:hAnsi="Arial"/>
                <w:sz w:val="14"/>
                <w:szCs w:val="14"/>
                <w:color w:val="auto"/>
              </w:rPr>
              <w:t>Howard Horn</w:t>
            </w:r>
          </w:p>
        </w:tc>
        <w:tc>
          <w:tcPr>
            <w:tcW w:w="1320" w:type="dxa"/>
            <w:vAlign w:val="bottom"/>
            <w:shd w:val="clear" w:color="auto" w:fill="F0F7E7"/>
          </w:tcPr>
          <w:p>
            <w:pPr>
              <w:jc w:val="right"/>
              <w:ind w:right="110"/>
              <w:spacing w:after="0"/>
              <w:rPr>
                <w:sz w:val="20"/>
                <w:szCs w:val="20"/>
                <w:color w:val="auto"/>
              </w:rPr>
            </w:pPr>
            <w:r>
              <w:rPr>
                <w:rFonts w:ascii="Arial" w:cs="Arial" w:eastAsia="Arial" w:hAnsi="Arial"/>
                <w:sz w:val="14"/>
                <w:szCs w:val="14"/>
                <w:color w:val="auto"/>
              </w:rPr>
              <w:t>20,092</w:t>
            </w:r>
          </w:p>
        </w:tc>
        <w:tc>
          <w:tcPr>
            <w:tcW w:w="1040" w:type="dxa"/>
            <w:vAlign w:val="bottom"/>
            <w:shd w:val="clear" w:color="auto" w:fill="F0F7E7"/>
          </w:tcPr>
          <w:p>
            <w:pPr>
              <w:jc w:val="right"/>
              <w:spacing w:after="0"/>
              <w:rPr>
                <w:sz w:val="20"/>
                <w:szCs w:val="20"/>
                <w:color w:val="auto"/>
              </w:rPr>
            </w:pPr>
            <w:r>
              <w:rPr>
                <w:rFonts w:ascii="Arial" w:cs="Arial" w:eastAsia="Arial" w:hAnsi="Arial"/>
                <w:sz w:val="14"/>
                <w:szCs w:val="14"/>
                <w:color w:val="auto"/>
              </w:rPr>
              <w:t>1,072,511</w:t>
            </w:r>
          </w:p>
        </w:tc>
      </w:tr>
      <w:tr>
        <w:trPr>
          <w:trHeight w:val="186"/>
        </w:trPr>
        <w:tc>
          <w:tcPr>
            <w:tcW w:w="8900" w:type="dxa"/>
            <w:vAlign w:val="bottom"/>
          </w:tcPr>
          <w:p>
            <w:pPr>
              <w:ind w:left="40"/>
              <w:spacing w:after="0"/>
              <w:rPr>
                <w:sz w:val="20"/>
                <w:szCs w:val="20"/>
                <w:color w:val="auto"/>
              </w:rPr>
            </w:pPr>
            <w:r>
              <w:rPr>
                <w:rFonts w:ascii="Arial" w:cs="Arial" w:eastAsia="Arial" w:hAnsi="Arial"/>
                <w:sz w:val="14"/>
                <w:szCs w:val="14"/>
                <w:color w:val="auto"/>
              </w:rPr>
              <w:t>Erik Harris</w:t>
            </w:r>
          </w:p>
        </w:tc>
        <w:tc>
          <w:tcPr>
            <w:tcW w:w="1320" w:type="dxa"/>
            <w:vAlign w:val="bottom"/>
          </w:tcPr>
          <w:p>
            <w:pPr>
              <w:jc w:val="right"/>
              <w:ind w:right="110"/>
              <w:spacing w:after="0"/>
              <w:rPr>
                <w:sz w:val="20"/>
                <w:szCs w:val="20"/>
                <w:color w:val="auto"/>
              </w:rPr>
            </w:pPr>
            <w:r>
              <w:rPr>
                <w:rFonts w:ascii="Arial" w:cs="Arial" w:eastAsia="Arial" w:hAnsi="Arial"/>
                <w:sz w:val="14"/>
                <w:szCs w:val="14"/>
                <w:color w:val="auto"/>
              </w:rPr>
              <w:t>13,282</w:t>
            </w:r>
          </w:p>
        </w:tc>
        <w:tc>
          <w:tcPr>
            <w:tcW w:w="1040" w:type="dxa"/>
            <w:vAlign w:val="bottom"/>
          </w:tcPr>
          <w:p>
            <w:pPr>
              <w:jc w:val="right"/>
              <w:spacing w:after="0"/>
              <w:rPr>
                <w:sz w:val="20"/>
                <w:szCs w:val="20"/>
                <w:color w:val="auto"/>
              </w:rPr>
            </w:pPr>
            <w:r>
              <w:rPr>
                <w:rFonts w:ascii="Arial" w:cs="Arial" w:eastAsia="Arial" w:hAnsi="Arial"/>
                <w:sz w:val="14"/>
                <w:szCs w:val="14"/>
                <w:color w:val="auto"/>
              </w:rPr>
              <w:t>713,111</w:t>
            </w:r>
          </w:p>
        </w:tc>
      </w:tr>
      <w:tr>
        <w:trPr>
          <w:trHeight w:val="187"/>
        </w:trPr>
        <w:tc>
          <w:tcPr>
            <w:tcW w:w="8900" w:type="dxa"/>
            <w:vAlign w:val="bottom"/>
            <w:shd w:val="clear" w:color="auto" w:fill="F0F7E7"/>
          </w:tcPr>
          <w:p>
            <w:pPr>
              <w:ind w:left="40"/>
              <w:spacing w:after="0"/>
              <w:rPr>
                <w:sz w:val="20"/>
                <w:szCs w:val="20"/>
                <w:color w:val="auto"/>
              </w:rPr>
            </w:pPr>
            <w:r>
              <w:rPr>
                <w:rFonts w:ascii="Arial" w:cs="Arial" w:eastAsia="Arial" w:hAnsi="Arial"/>
                <w:sz w:val="14"/>
                <w:szCs w:val="14"/>
                <w:color w:val="auto"/>
              </w:rPr>
              <w:t>Eric Crombez, M.D.</w:t>
            </w:r>
          </w:p>
        </w:tc>
        <w:tc>
          <w:tcPr>
            <w:tcW w:w="1320" w:type="dxa"/>
            <w:vAlign w:val="bottom"/>
            <w:shd w:val="clear" w:color="auto" w:fill="F0F7E7"/>
          </w:tcPr>
          <w:p>
            <w:pPr>
              <w:jc w:val="right"/>
              <w:ind w:right="110"/>
              <w:spacing w:after="0"/>
              <w:rPr>
                <w:sz w:val="20"/>
                <w:szCs w:val="20"/>
                <w:color w:val="auto"/>
              </w:rPr>
            </w:pPr>
            <w:r>
              <w:rPr>
                <w:rFonts w:ascii="Arial" w:cs="Arial" w:eastAsia="Arial" w:hAnsi="Arial"/>
                <w:sz w:val="14"/>
                <w:szCs w:val="14"/>
                <w:color w:val="auto"/>
              </w:rPr>
              <w:t>5,781</w:t>
            </w:r>
          </w:p>
        </w:tc>
        <w:tc>
          <w:tcPr>
            <w:tcW w:w="1040" w:type="dxa"/>
            <w:vAlign w:val="bottom"/>
            <w:shd w:val="clear" w:color="auto" w:fill="F0F7E7"/>
          </w:tcPr>
          <w:p>
            <w:pPr>
              <w:jc w:val="right"/>
              <w:spacing w:after="0"/>
              <w:rPr>
                <w:sz w:val="20"/>
                <w:szCs w:val="20"/>
                <w:color w:val="auto"/>
              </w:rPr>
            </w:pPr>
            <w:r>
              <w:rPr>
                <w:rFonts w:ascii="Arial" w:cs="Arial" w:eastAsia="Arial" w:hAnsi="Arial"/>
                <w:sz w:val="14"/>
                <w:szCs w:val="14"/>
                <w:color w:val="auto"/>
              </w:rPr>
              <w:t>292,588</w:t>
            </w:r>
          </w:p>
        </w:tc>
      </w:tr>
      <w:tr>
        <w:trPr>
          <w:trHeight w:val="190"/>
        </w:trPr>
        <w:tc>
          <w:tcPr>
            <w:tcW w:w="8900" w:type="dxa"/>
            <w:vAlign w:val="bottom"/>
            <w:tcBorders>
              <w:bottom w:val="single" w:sz="8" w:color="7CBD3F"/>
            </w:tcBorders>
          </w:tcPr>
          <w:p>
            <w:pPr>
              <w:ind w:left="40"/>
              <w:spacing w:after="0"/>
              <w:rPr>
                <w:sz w:val="20"/>
                <w:szCs w:val="20"/>
                <w:color w:val="auto"/>
              </w:rPr>
            </w:pPr>
            <w:r>
              <w:rPr>
                <w:rFonts w:ascii="Arial" w:cs="Arial" w:eastAsia="Arial" w:hAnsi="Arial"/>
                <w:sz w:val="14"/>
                <w:szCs w:val="14"/>
                <w:color w:val="auto"/>
              </w:rPr>
              <w:t>John R. Pinion II</w:t>
            </w:r>
          </w:p>
        </w:tc>
        <w:tc>
          <w:tcPr>
            <w:tcW w:w="1320" w:type="dxa"/>
            <w:vAlign w:val="bottom"/>
            <w:tcBorders>
              <w:bottom w:val="single" w:sz="8" w:color="7CBD3F"/>
            </w:tcBorders>
          </w:tcPr>
          <w:p>
            <w:pPr>
              <w:jc w:val="right"/>
              <w:ind w:right="110"/>
              <w:spacing w:after="0"/>
              <w:rPr>
                <w:sz w:val="20"/>
                <w:szCs w:val="20"/>
                <w:color w:val="auto"/>
              </w:rPr>
            </w:pPr>
            <w:r>
              <w:rPr>
                <w:rFonts w:ascii="Arial" w:cs="Arial" w:eastAsia="Arial" w:hAnsi="Arial"/>
                <w:sz w:val="14"/>
                <w:szCs w:val="14"/>
                <w:color w:val="auto"/>
              </w:rPr>
              <w:t>11,620</w:t>
            </w:r>
          </w:p>
        </w:tc>
        <w:tc>
          <w:tcPr>
            <w:tcW w:w="1040" w:type="dxa"/>
            <w:vAlign w:val="bottom"/>
            <w:tcBorders>
              <w:bottom w:val="single" w:sz="8" w:color="7CBD3F"/>
            </w:tcBorders>
          </w:tcPr>
          <w:p>
            <w:pPr>
              <w:jc w:val="right"/>
              <w:spacing w:after="0"/>
              <w:rPr>
                <w:sz w:val="20"/>
                <w:szCs w:val="20"/>
                <w:color w:val="auto"/>
              </w:rPr>
            </w:pPr>
            <w:r>
              <w:rPr>
                <w:rFonts w:ascii="Arial" w:cs="Arial" w:eastAsia="Arial" w:hAnsi="Arial"/>
                <w:sz w:val="14"/>
                <w:szCs w:val="14"/>
                <w:color w:val="auto"/>
              </w:rPr>
              <w:t>623,878</w:t>
            </w:r>
          </w:p>
        </w:tc>
      </w:tr>
    </w:tbl>
    <w:p>
      <w:pPr>
        <w:spacing w:after="0" w:line="39" w:lineRule="exact"/>
        <w:rPr>
          <w:sz w:val="20"/>
          <w:szCs w:val="20"/>
          <w:color w:val="auto"/>
        </w:rPr>
      </w:pPr>
    </w:p>
    <w:p>
      <w:pPr>
        <w:ind w:left="287" w:hanging="287"/>
        <w:spacing w:after="0"/>
        <w:tabs>
          <w:tab w:leader="none" w:pos="287" w:val="left"/>
        </w:tabs>
        <w:numPr>
          <w:ilvl w:val="0"/>
          <w:numId w:val="40"/>
        </w:numPr>
        <w:rPr>
          <w:rFonts w:ascii="Arial" w:cs="Arial" w:eastAsia="Arial" w:hAnsi="Arial"/>
          <w:sz w:val="12"/>
          <w:szCs w:val="12"/>
          <w:color w:val="auto"/>
        </w:rPr>
      </w:pPr>
      <w:r>
        <w:rPr>
          <w:rFonts w:ascii="Arial" w:cs="Arial" w:eastAsia="Arial" w:hAnsi="Arial"/>
          <w:sz w:val="12"/>
          <w:szCs w:val="12"/>
          <w:color w:val="auto"/>
        </w:rPr>
        <w:t>Value realized is equal to the closing price of our common stock on The Nasdaq Global Select Market on each vesting date multiplied by the number of shares of stock that vested on such date.</w:t>
      </w:r>
    </w:p>
    <w:p>
      <w:pPr>
        <w:spacing w:after="0" w:line="316" w:lineRule="exact"/>
        <w:rPr>
          <w:sz w:val="20"/>
          <w:szCs w:val="20"/>
          <w:color w:val="auto"/>
        </w:rPr>
      </w:pPr>
    </w:p>
    <w:p>
      <w:pPr>
        <w:ind w:left="7"/>
        <w:spacing w:after="0"/>
        <w:rPr>
          <w:sz w:val="20"/>
          <w:szCs w:val="20"/>
          <w:color w:val="auto"/>
        </w:rPr>
      </w:pPr>
      <w:r>
        <w:rPr>
          <w:rFonts w:ascii="Arial" w:cs="Arial" w:eastAsia="Arial" w:hAnsi="Arial"/>
          <w:sz w:val="22"/>
          <w:szCs w:val="22"/>
          <w:b w:val="1"/>
          <w:bCs w:val="1"/>
          <w:color w:val="auto"/>
        </w:rPr>
        <w:t>Pension Benefits</w:t>
      </w:r>
    </w:p>
    <w:p>
      <w:pPr>
        <w:spacing w:after="0" w:line="222" w:lineRule="exact"/>
        <w:rPr>
          <w:sz w:val="20"/>
          <w:szCs w:val="20"/>
          <w:color w:val="auto"/>
        </w:rPr>
      </w:pPr>
    </w:p>
    <w:p>
      <w:pPr>
        <w:ind w:left="7" w:right="20"/>
        <w:spacing w:after="0" w:line="278" w:lineRule="auto"/>
        <w:rPr>
          <w:sz w:val="20"/>
          <w:szCs w:val="20"/>
          <w:color w:val="auto"/>
        </w:rPr>
      </w:pPr>
      <w:r>
        <w:rPr>
          <w:rFonts w:ascii="Arial" w:cs="Arial" w:eastAsia="Arial" w:hAnsi="Arial"/>
          <w:sz w:val="14"/>
          <w:szCs w:val="14"/>
          <w:color w:val="auto"/>
        </w:rPr>
        <w:t>We do not have a defined benefit plan. Our named executive officers did not participate in, or otherwise receive any special benefits under, any pension or defined benefit retirement plan sponsored by us during fiscal 2024.</w:t>
      </w:r>
    </w:p>
    <w:p>
      <w:pPr>
        <w:spacing w:after="0" w:line="117"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221E1F"/>
        </w:rPr>
        <w:t xml:space="preserve">ULTRAGENYX PHARMACEUTICAL INC. </w:t>
      </w:r>
      <w:r>
        <w:rPr>
          <w:rFonts w:ascii="Arial" w:cs="Arial" w:eastAsia="Arial" w:hAnsi="Arial"/>
          <w:sz w:val="14"/>
          <w:szCs w:val="14"/>
          <w:color w:val="7BBD3E"/>
        </w:rPr>
        <w:t>•</w:t>
      </w:r>
      <w:r>
        <w:rPr>
          <w:rFonts w:ascii="Arial" w:cs="Arial" w:eastAsia="Arial" w:hAnsi="Arial"/>
          <w:sz w:val="14"/>
          <w:szCs w:val="14"/>
          <w:b w:val="1"/>
          <w:bCs w:val="1"/>
          <w:color w:val="221E1F"/>
        </w:rPr>
        <w:t xml:space="preserve"> </w:t>
      </w:r>
      <w:r>
        <w:rPr>
          <w:rFonts w:ascii="Arial" w:cs="Arial" w:eastAsia="Arial" w:hAnsi="Arial"/>
          <w:sz w:val="14"/>
          <w:szCs w:val="14"/>
          <w:color w:val="221E1F"/>
        </w:rPr>
        <w:t>2025 Proxy Statement</w:t>
      </w:r>
      <w:r>
        <w:rPr>
          <w:rFonts w:ascii="Arial" w:cs="Arial" w:eastAsia="Arial" w:hAnsi="Arial"/>
          <w:sz w:val="14"/>
          <w:szCs w:val="14"/>
          <w:b w:val="1"/>
          <w:bCs w:val="1"/>
          <w:color w:val="221E1F"/>
        </w:rPr>
        <w:tab/>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150735"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0735" cy="29845"/>
                    </a:xfrm>
                    <a:prstGeom prst="rect">
                      <a:avLst/>
                    </a:prstGeom>
                    <a:noFill/>
                  </pic:spPr>
                </pic:pic>
              </a:graphicData>
            </a:graphic>
          </wp:anchor>
        </w:drawing>
      </w:r>
    </w:p>
    <w:p>
      <w:pPr>
        <w:sectPr>
          <w:pgSz w:w="11900" w:h="16838" w:orient="portrait"/>
          <w:cols w:equalWidth="0" w:num="1">
            <w:col w:w="11267"/>
          </w:cols>
          <w:pgMar w:left="313" w:top="223" w:right="319" w:bottom="1440" w:gutter="0" w:footer="0" w:header="0"/>
        </w:sectPr>
      </w:pPr>
    </w:p>
    <w:bookmarkStart w:id="59" w:name="page60"/>
    <w:bookmarkEnd w:id="59"/>
    <w:p>
      <w:pPr>
        <w:spacing w:after="0"/>
        <w:rPr>
          <w:sz w:val="20"/>
          <w:szCs w:val="20"/>
          <w:color w:val="auto"/>
        </w:rPr>
      </w:pPr>
      <w:r>
        <w:rPr>
          <w:rFonts w:ascii="Arial" w:cs="Arial" w:eastAsia="Arial" w:hAnsi="Arial"/>
          <w:sz w:val="12"/>
          <w:szCs w:val="12"/>
          <w:b w:val="1"/>
          <w:bCs w:val="1"/>
          <w:u w:val="single" w:color="auto"/>
          <w:color w:val="0000EE"/>
        </w:rPr>
        <w:t>Back to Contents</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Nonqualified Deferred Compensation</w:t>
      </w:r>
    </w:p>
    <w:p>
      <w:pPr>
        <w:spacing w:after="0" w:line="222"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In June 2021, we adopted a non-qualified deferred compensation plan (Deferred Compensation Plan). Our Deferred Compensation Plan permits highly-compensated U.S. based employees, including our named executive officers, as well as non-employee members of the Board to defer up to 75% of their base salary and up to 100% of director compensation and other types of compensation, including annual cash bonuses, RSUs and PSUs awarded.</w:t>
      </w:r>
    </w:p>
    <w:p>
      <w:pPr>
        <w:spacing w:after="0" w:line="130" w:lineRule="exact"/>
        <w:rPr>
          <w:sz w:val="20"/>
          <w:szCs w:val="20"/>
          <w:color w:val="auto"/>
        </w:rPr>
      </w:pPr>
    </w:p>
    <w:p>
      <w:pPr>
        <w:jc w:val="both"/>
        <w:spacing w:after="0" w:line="250" w:lineRule="auto"/>
        <w:rPr>
          <w:sz w:val="20"/>
          <w:szCs w:val="20"/>
          <w:color w:val="auto"/>
        </w:rPr>
      </w:pPr>
      <w:r>
        <w:rPr>
          <w:rFonts w:ascii="Arial" w:cs="Arial" w:eastAsia="Arial" w:hAnsi="Arial"/>
          <w:sz w:val="14"/>
          <w:szCs w:val="14"/>
          <w:color w:val="auto"/>
        </w:rPr>
        <w:t>Generally, a deferral election must be made no later than December 31 of the previous year and is irrevocable. Deferrals with respect to salary are deducted from the participant’s salary in equal installments for the period of January 1 to December 31 of each year. These deferral elections are for the salary earned by the participant for the particular salary pay period during that year, which would otherwise be payable to the participant in such pay period. The election to defer salary under the Deferred Compensation Plan is in addition to any deferral election made by the participant under our 401(k) Plan. Deferrals for performance-based annual bonuses are for those bonuses earned during the year for which the election applies, which are payable the following year. The Deferred Compensation Plan is intended to provide participants with a tax deferral opportunity for compensation paid by us. The deferred amounts are not subject to income tax or income tax withholding when earned and deferred, but are fully taxable (and withheld appropriately) when distributed.</w:t>
      </w:r>
    </w:p>
    <w:p>
      <w:pPr>
        <w:spacing w:after="0" w:line="136" w:lineRule="exact"/>
        <w:rPr>
          <w:sz w:val="20"/>
          <w:szCs w:val="20"/>
          <w:color w:val="auto"/>
        </w:rPr>
      </w:pPr>
    </w:p>
    <w:p>
      <w:pPr>
        <w:jc w:val="both"/>
        <w:spacing w:after="0" w:line="269" w:lineRule="auto"/>
        <w:rPr>
          <w:sz w:val="20"/>
          <w:szCs w:val="20"/>
          <w:color w:val="auto"/>
        </w:rPr>
      </w:pPr>
      <w:r>
        <w:rPr>
          <w:rFonts w:ascii="Arial" w:cs="Arial" w:eastAsia="Arial" w:hAnsi="Arial"/>
          <w:sz w:val="14"/>
          <w:szCs w:val="14"/>
          <w:color w:val="auto"/>
        </w:rPr>
        <w:t>The Deferred Compensation Plan authorizes the Company to make matching contributions at our sole discretion. The participant is 100% vested at all times in his or her deferred cash account (including any company matching contributions), and deferrals of any compensation subject to vesting (such as RSUs and PSUs) shall vest in accordance with the provisions of the underlying award. No matching contributions were made by the Company in 2024.</w:t>
      </w:r>
    </w:p>
    <w:p>
      <w:pPr>
        <w:spacing w:after="0" w:line="135"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The Deferred Compensation Plan provides for distribution of deferred compensation and earnings thereon upon a participant’s separation from service with us, his or her retirement, a date specified by the participant in his or her compensation deferral agreement, the death of a participant (in such a case, to the designated beneficiary) or a “change in control.” Payment distributions can be made in a lum psum, annual installments of up to five years at the participant’s election or for “specified date accounts only”, installments of up to 15 years, at the participant’s election.</w:t>
      </w:r>
    </w:p>
    <w:p>
      <w:pPr>
        <w:spacing w:after="0" w:line="132" w:lineRule="exact"/>
        <w:rPr>
          <w:sz w:val="20"/>
          <w:szCs w:val="20"/>
          <w:color w:val="auto"/>
        </w:rPr>
      </w:pPr>
    </w:p>
    <w:p>
      <w:pPr>
        <w:jc w:val="both"/>
        <w:ind w:right="20"/>
        <w:spacing w:after="0" w:line="255" w:lineRule="auto"/>
        <w:rPr>
          <w:sz w:val="20"/>
          <w:szCs w:val="20"/>
          <w:color w:val="auto"/>
        </w:rPr>
      </w:pPr>
      <w:r>
        <w:rPr>
          <w:rFonts w:ascii="Arial" w:cs="Arial" w:eastAsia="Arial" w:hAnsi="Arial"/>
          <w:sz w:val="14"/>
          <w:szCs w:val="14"/>
          <w:color w:val="auto"/>
        </w:rPr>
        <w:t>The Deferred Compensation Plan credits gains and losses to deferred amounts based upon “deemed” investments in mutual funds investing in equity instruments or debt securities chosen by each participant (which the participant may change at any time) from a “menu” of fund options provided by us. The investment returns credited to participants’ accounts in the Deferred Compensation Plan correspond to actual returns of the chosen funds. The performance of the mutual funds fluctuates with the conditions of the capital markets and the economy generally, and is affected by prevailing interest rates and credit risks. The investment options under the Deferred Compensation Plan include: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420" w:type="dxa"/>
            <w:vAlign w:val="bottom"/>
            <w:tcBorders>
              <w:bottom w:val="single" w:sz="8" w:color="7CBD3F"/>
            </w:tcBorders>
          </w:tcPr>
          <w:p>
            <w:pPr>
              <w:ind w:left="40"/>
              <w:spacing w:after="0"/>
              <w:rPr>
                <w:sz w:val="20"/>
                <w:szCs w:val="20"/>
                <w:color w:val="auto"/>
              </w:rPr>
            </w:pPr>
            <w:r>
              <w:rPr>
                <w:rFonts w:ascii="Arial" w:cs="Arial" w:eastAsia="Arial" w:hAnsi="Arial"/>
                <w:sz w:val="14"/>
                <w:szCs w:val="14"/>
                <w:b w:val="1"/>
                <w:bCs w:val="1"/>
                <w:color w:val="auto"/>
              </w:rPr>
              <w:t>Fund</w:t>
            </w:r>
          </w:p>
        </w:tc>
        <w:tc>
          <w:tcPr>
            <w:tcW w:w="4840" w:type="dxa"/>
            <w:vAlign w:val="bottom"/>
            <w:tcBorders>
              <w:bottom w:val="single" w:sz="8" w:color="7CBD3F"/>
            </w:tcBorders>
          </w:tcPr>
          <w:p>
            <w:pPr>
              <w:jc w:val="right"/>
              <w:spacing w:after="0"/>
              <w:rPr>
                <w:sz w:val="20"/>
                <w:szCs w:val="20"/>
                <w:color w:val="auto"/>
              </w:rPr>
            </w:pPr>
            <w:r>
              <w:rPr>
                <w:rFonts w:ascii="Arial" w:cs="Arial" w:eastAsia="Arial" w:hAnsi="Arial"/>
                <w:sz w:val="14"/>
                <w:szCs w:val="14"/>
                <w:b w:val="1"/>
                <w:bCs w:val="1"/>
                <w:color w:val="auto"/>
              </w:rPr>
              <w:t>2024 Rate of Return (%)</w:t>
            </w:r>
          </w:p>
        </w:tc>
      </w:tr>
      <w:tr>
        <w:trPr>
          <w:trHeight w:val="186"/>
        </w:trPr>
        <w:tc>
          <w:tcPr>
            <w:tcW w:w="6420" w:type="dxa"/>
            <w:vAlign w:val="bottom"/>
          </w:tcPr>
          <w:p>
            <w:pPr>
              <w:ind w:left="40"/>
              <w:spacing w:after="0"/>
              <w:rPr>
                <w:sz w:val="20"/>
                <w:szCs w:val="20"/>
                <w:color w:val="auto"/>
              </w:rPr>
            </w:pPr>
            <w:r>
              <w:rPr>
                <w:rFonts w:ascii="Arial" w:cs="Arial" w:eastAsia="Arial" w:hAnsi="Arial"/>
                <w:sz w:val="14"/>
                <w:szCs w:val="14"/>
                <w:color w:val="auto"/>
              </w:rPr>
              <w:t>PIMCO VIT Short-Term Admin</w:t>
            </w:r>
          </w:p>
        </w:tc>
        <w:tc>
          <w:tcPr>
            <w:tcW w:w="4840" w:type="dxa"/>
            <w:vAlign w:val="bottom"/>
          </w:tcPr>
          <w:p>
            <w:pPr>
              <w:jc w:val="right"/>
              <w:spacing w:after="0"/>
              <w:rPr>
                <w:sz w:val="20"/>
                <w:szCs w:val="20"/>
                <w:color w:val="auto"/>
              </w:rPr>
            </w:pPr>
            <w:r>
              <w:rPr>
                <w:rFonts w:ascii="Arial" w:cs="Arial" w:eastAsia="Arial" w:hAnsi="Arial"/>
                <w:sz w:val="14"/>
                <w:szCs w:val="14"/>
                <w:color w:val="auto"/>
              </w:rPr>
              <w:t>6.1</w:t>
            </w:r>
          </w:p>
        </w:tc>
      </w:tr>
      <w:tr>
        <w:trPr>
          <w:trHeight w:val="187"/>
        </w:trPr>
        <w:tc>
          <w:tcPr>
            <w:tcW w:w="6420" w:type="dxa"/>
            <w:vAlign w:val="bottom"/>
            <w:shd w:val="clear" w:color="auto" w:fill="F0F7E7"/>
          </w:tcPr>
          <w:p>
            <w:pPr>
              <w:ind w:left="40"/>
              <w:spacing w:after="0"/>
              <w:rPr>
                <w:sz w:val="20"/>
                <w:szCs w:val="20"/>
                <w:color w:val="auto"/>
              </w:rPr>
            </w:pPr>
            <w:r>
              <w:rPr>
                <w:rFonts w:ascii="Arial" w:cs="Arial" w:eastAsia="Arial" w:hAnsi="Arial"/>
                <w:sz w:val="14"/>
                <w:szCs w:val="14"/>
                <w:color w:val="auto"/>
              </w:rPr>
              <w:t>Vanguard VIF Total Bond Market Index</w:t>
            </w:r>
          </w:p>
        </w:tc>
        <w:tc>
          <w:tcPr>
            <w:tcW w:w="4840" w:type="dxa"/>
            <w:vAlign w:val="bottom"/>
            <w:shd w:val="clear" w:color="auto" w:fill="F0F7E7"/>
          </w:tcPr>
          <w:p>
            <w:pPr>
              <w:jc w:val="right"/>
              <w:spacing w:after="0"/>
              <w:rPr>
                <w:sz w:val="20"/>
                <w:szCs w:val="20"/>
                <w:color w:val="auto"/>
              </w:rPr>
            </w:pPr>
            <w:r>
              <w:rPr>
                <w:rFonts w:ascii="Arial" w:cs="Arial" w:eastAsia="Arial" w:hAnsi="Arial"/>
                <w:sz w:val="14"/>
                <w:szCs w:val="14"/>
                <w:color w:val="auto"/>
              </w:rPr>
              <w:t>1.2</w:t>
            </w:r>
          </w:p>
        </w:tc>
      </w:tr>
      <w:tr>
        <w:trPr>
          <w:trHeight w:val="186"/>
        </w:trPr>
        <w:tc>
          <w:tcPr>
            <w:tcW w:w="6420" w:type="dxa"/>
            <w:vAlign w:val="bottom"/>
          </w:tcPr>
          <w:p>
            <w:pPr>
              <w:ind w:left="40"/>
              <w:spacing w:after="0"/>
              <w:rPr>
                <w:sz w:val="20"/>
                <w:szCs w:val="20"/>
                <w:color w:val="auto"/>
              </w:rPr>
            </w:pPr>
            <w:r>
              <w:rPr>
                <w:rFonts w:ascii="Arial" w:cs="Arial" w:eastAsia="Arial" w:hAnsi="Arial"/>
                <w:sz w:val="14"/>
                <w:szCs w:val="14"/>
                <w:color w:val="auto"/>
              </w:rPr>
              <w:t>Western Asset Core Plus Vit I</w:t>
            </w:r>
          </w:p>
        </w:tc>
        <w:tc>
          <w:tcPr>
            <w:tcW w:w="4840" w:type="dxa"/>
            <w:vAlign w:val="bottom"/>
          </w:tcPr>
          <w:p>
            <w:pPr>
              <w:jc w:val="right"/>
              <w:spacing w:after="0"/>
              <w:rPr>
                <w:sz w:val="20"/>
                <w:szCs w:val="20"/>
                <w:color w:val="auto"/>
              </w:rPr>
            </w:pPr>
            <w:r>
              <w:rPr>
                <w:rFonts w:ascii="Arial" w:cs="Arial" w:eastAsia="Arial" w:hAnsi="Arial"/>
                <w:sz w:val="14"/>
                <w:szCs w:val="14"/>
                <w:color w:val="auto"/>
              </w:rPr>
              <w:t>(0.4)</w:t>
            </w:r>
          </w:p>
        </w:tc>
      </w:tr>
      <w:tr>
        <w:trPr>
          <w:trHeight w:val="187"/>
        </w:trPr>
        <w:tc>
          <w:tcPr>
            <w:tcW w:w="6420" w:type="dxa"/>
            <w:vAlign w:val="bottom"/>
            <w:shd w:val="clear" w:color="auto" w:fill="F0F7E7"/>
          </w:tcPr>
          <w:p>
            <w:pPr>
              <w:ind w:left="40"/>
              <w:spacing w:after="0"/>
              <w:rPr>
                <w:sz w:val="20"/>
                <w:szCs w:val="20"/>
                <w:color w:val="auto"/>
              </w:rPr>
            </w:pPr>
            <w:r>
              <w:rPr>
                <w:rFonts w:ascii="Arial" w:cs="Arial" w:eastAsia="Arial" w:hAnsi="Arial"/>
                <w:sz w:val="14"/>
                <w:szCs w:val="14"/>
                <w:color w:val="auto"/>
              </w:rPr>
              <w:t>DFA VIT Inflation-Protected Secs Instl.</w:t>
            </w:r>
          </w:p>
        </w:tc>
        <w:tc>
          <w:tcPr>
            <w:tcW w:w="4840" w:type="dxa"/>
            <w:vAlign w:val="bottom"/>
            <w:shd w:val="clear" w:color="auto" w:fill="F0F7E7"/>
          </w:tcPr>
          <w:p>
            <w:pPr>
              <w:jc w:val="right"/>
              <w:spacing w:after="0"/>
              <w:rPr>
                <w:sz w:val="20"/>
                <w:szCs w:val="20"/>
                <w:color w:val="auto"/>
              </w:rPr>
            </w:pPr>
            <w:r>
              <w:rPr>
                <w:rFonts w:ascii="Arial" w:cs="Arial" w:eastAsia="Arial" w:hAnsi="Arial"/>
                <w:sz w:val="14"/>
                <w:szCs w:val="14"/>
                <w:color w:val="auto"/>
              </w:rPr>
              <w:t>1.9</w:t>
            </w:r>
          </w:p>
        </w:tc>
      </w:tr>
      <w:tr>
        <w:trPr>
          <w:trHeight w:val="186"/>
        </w:trPr>
        <w:tc>
          <w:tcPr>
            <w:tcW w:w="6420" w:type="dxa"/>
            <w:vAlign w:val="bottom"/>
          </w:tcPr>
          <w:p>
            <w:pPr>
              <w:ind w:left="40"/>
              <w:spacing w:after="0"/>
              <w:rPr>
                <w:sz w:val="20"/>
                <w:szCs w:val="20"/>
                <w:color w:val="auto"/>
              </w:rPr>
            </w:pPr>
            <w:r>
              <w:rPr>
                <w:rFonts w:ascii="Arial" w:cs="Arial" w:eastAsia="Arial" w:hAnsi="Arial"/>
                <w:sz w:val="14"/>
                <w:szCs w:val="14"/>
                <w:color w:val="auto"/>
              </w:rPr>
              <w:t>Empower Multi-Sector Bond Investor (MXLMX)</w:t>
            </w:r>
          </w:p>
        </w:tc>
        <w:tc>
          <w:tcPr>
            <w:tcW w:w="4840" w:type="dxa"/>
            <w:vAlign w:val="bottom"/>
          </w:tcPr>
          <w:p>
            <w:pPr>
              <w:jc w:val="right"/>
              <w:spacing w:after="0"/>
              <w:rPr>
                <w:sz w:val="20"/>
                <w:szCs w:val="20"/>
                <w:color w:val="auto"/>
              </w:rPr>
            </w:pPr>
            <w:r>
              <w:rPr>
                <w:rFonts w:ascii="Arial" w:cs="Arial" w:eastAsia="Arial" w:hAnsi="Arial"/>
                <w:sz w:val="14"/>
                <w:szCs w:val="14"/>
                <w:color w:val="auto"/>
              </w:rPr>
              <w:t>5.1</w:t>
            </w:r>
          </w:p>
        </w:tc>
      </w:tr>
      <w:tr>
        <w:trPr>
          <w:trHeight w:val="222"/>
        </w:trPr>
        <w:tc>
          <w:tcPr>
            <w:tcW w:w="6420" w:type="dxa"/>
            <w:vAlign w:val="bottom"/>
            <w:shd w:val="clear" w:color="auto" w:fill="F0F7E7"/>
          </w:tcPr>
          <w:p>
            <w:pPr>
              <w:ind w:left="40"/>
              <w:spacing w:after="0" w:line="222" w:lineRule="exact"/>
              <w:rPr>
                <w:sz w:val="20"/>
                <w:szCs w:val="20"/>
                <w:color w:val="auto"/>
              </w:rPr>
            </w:pPr>
            <w:r>
              <w:rPr>
                <w:rFonts w:ascii="Arial" w:cs="Arial" w:eastAsia="Arial" w:hAnsi="Arial"/>
                <w:sz w:val="14"/>
                <w:szCs w:val="14"/>
                <w:color w:val="auto"/>
              </w:rPr>
              <w:t>American Funds IS</w:t>
            </w:r>
            <w:r>
              <w:rPr>
                <w:rFonts w:ascii="Arial" w:cs="Arial" w:eastAsia="Arial" w:hAnsi="Arial"/>
                <w:sz w:val="23"/>
                <w:szCs w:val="23"/>
                <w:color w:val="auto"/>
                <w:vertAlign w:val="superscript"/>
              </w:rPr>
              <w:t>®</w:t>
            </w:r>
            <w:r>
              <w:rPr>
                <w:rFonts w:ascii="Arial" w:cs="Arial" w:eastAsia="Arial" w:hAnsi="Arial"/>
                <w:sz w:val="14"/>
                <w:szCs w:val="14"/>
                <w:color w:val="auto"/>
              </w:rPr>
              <w:t xml:space="preserve"> Capital World Bond 2</w:t>
            </w:r>
          </w:p>
        </w:tc>
        <w:tc>
          <w:tcPr>
            <w:tcW w:w="4840" w:type="dxa"/>
            <w:vAlign w:val="bottom"/>
            <w:shd w:val="clear" w:color="auto" w:fill="F0F7E7"/>
          </w:tcPr>
          <w:p>
            <w:pPr>
              <w:jc w:val="right"/>
              <w:spacing w:after="0"/>
              <w:rPr>
                <w:sz w:val="20"/>
                <w:szCs w:val="20"/>
                <w:color w:val="auto"/>
              </w:rPr>
            </w:pPr>
            <w:r>
              <w:rPr>
                <w:rFonts w:ascii="Arial" w:cs="Arial" w:eastAsia="Arial" w:hAnsi="Arial"/>
                <w:sz w:val="14"/>
                <w:szCs w:val="14"/>
                <w:color w:val="auto"/>
              </w:rPr>
              <w:t>(3.0)</w:t>
            </w:r>
          </w:p>
        </w:tc>
      </w:tr>
      <w:tr>
        <w:trPr>
          <w:trHeight w:val="186"/>
        </w:trPr>
        <w:tc>
          <w:tcPr>
            <w:tcW w:w="6420" w:type="dxa"/>
            <w:vAlign w:val="bottom"/>
          </w:tcPr>
          <w:p>
            <w:pPr>
              <w:ind w:left="40"/>
              <w:spacing w:after="0"/>
              <w:rPr>
                <w:sz w:val="20"/>
                <w:szCs w:val="20"/>
                <w:color w:val="auto"/>
              </w:rPr>
            </w:pPr>
            <w:r>
              <w:rPr>
                <w:rFonts w:ascii="Arial" w:cs="Arial" w:eastAsia="Arial" w:hAnsi="Arial"/>
                <w:sz w:val="14"/>
                <w:szCs w:val="14"/>
                <w:color w:val="auto"/>
              </w:rPr>
              <w:t>Vanguard VIF Equity Income</w:t>
            </w:r>
          </w:p>
        </w:tc>
        <w:tc>
          <w:tcPr>
            <w:tcW w:w="4840" w:type="dxa"/>
            <w:vAlign w:val="bottom"/>
          </w:tcPr>
          <w:p>
            <w:pPr>
              <w:jc w:val="right"/>
              <w:spacing w:after="0"/>
              <w:rPr>
                <w:sz w:val="20"/>
                <w:szCs w:val="20"/>
                <w:color w:val="auto"/>
              </w:rPr>
            </w:pPr>
            <w:r>
              <w:rPr>
                <w:rFonts w:ascii="Arial" w:cs="Arial" w:eastAsia="Arial" w:hAnsi="Arial"/>
                <w:sz w:val="14"/>
                <w:szCs w:val="14"/>
                <w:color w:val="auto"/>
              </w:rPr>
              <w:t>15.1</w:t>
            </w:r>
          </w:p>
        </w:tc>
      </w:tr>
      <w:tr>
        <w:trPr>
          <w:trHeight w:val="222"/>
        </w:trPr>
        <w:tc>
          <w:tcPr>
            <w:tcW w:w="6420" w:type="dxa"/>
            <w:vAlign w:val="bottom"/>
            <w:shd w:val="clear" w:color="auto" w:fill="F0F7E7"/>
          </w:tcPr>
          <w:p>
            <w:pPr>
              <w:ind w:left="40"/>
              <w:spacing w:after="0" w:line="222" w:lineRule="exact"/>
              <w:rPr>
                <w:sz w:val="20"/>
                <w:szCs w:val="20"/>
                <w:color w:val="auto"/>
              </w:rPr>
            </w:pPr>
            <w:r>
              <w:rPr>
                <w:rFonts w:ascii="Arial" w:cs="Arial" w:eastAsia="Arial" w:hAnsi="Arial"/>
                <w:sz w:val="14"/>
                <w:szCs w:val="14"/>
                <w:color w:val="auto"/>
              </w:rPr>
              <w:t>Fidelity</w:t>
            </w:r>
            <w:r>
              <w:rPr>
                <w:rFonts w:ascii="Arial" w:cs="Arial" w:eastAsia="Arial" w:hAnsi="Arial"/>
                <w:sz w:val="23"/>
                <w:szCs w:val="23"/>
                <w:color w:val="auto"/>
                <w:vertAlign w:val="superscript"/>
              </w:rPr>
              <w:t>®</w:t>
            </w:r>
            <w:r>
              <w:rPr>
                <w:rFonts w:ascii="Arial" w:cs="Arial" w:eastAsia="Arial" w:hAnsi="Arial"/>
                <w:sz w:val="14"/>
                <w:szCs w:val="14"/>
                <w:color w:val="auto"/>
              </w:rPr>
              <w:t xml:space="preserve"> VIP Index 500 Initial</w:t>
            </w:r>
          </w:p>
        </w:tc>
        <w:tc>
          <w:tcPr>
            <w:tcW w:w="4840" w:type="dxa"/>
            <w:vAlign w:val="bottom"/>
            <w:shd w:val="clear" w:color="auto" w:fill="F0F7E7"/>
          </w:tcPr>
          <w:p>
            <w:pPr>
              <w:jc w:val="right"/>
              <w:spacing w:after="0"/>
              <w:rPr>
                <w:sz w:val="20"/>
                <w:szCs w:val="20"/>
                <w:color w:val="auto"/>
              </w:rPr>
            </w:pPr>
            <w:r>
              <w:rPr>
                <w:rFonts w:ascii="Arial" w:cs="Arial" w:eastAsia="Arial" w:hAnsi="Arial"/>
                <w:sz w:val="14"/>
                <w:szCs w:val="14"/>
                <w:color w:val="auto"/>
              </w:rPr>
              <w:t>24.9</w:t>
            </w:r>
          </w:p>
        </w:tc>
      </w:tr>
      <w:tr>
        <w:trPr>
          <w:trHeight w:val="186"/>
        </w:trPr>
        <w:tc>
          <w:tcPr>
            <w:tcW w:w="6420" w:type="dxa"/>
            <w:vAlign w:val="bottom"/>
          </w:tcPr>
          <w:p>
            <w:pPr>
              <w:ind w:left="40"/>
              <w:spacing w:after="0"/>
              <w:rPr>
                <w:sz w:val="20"/>
                <w:szCs w:val="20"/>
                <w:color w:val="auto"/>
              </w:rPr>
            </w:pPr>
            <w:r>
              <w:rPr>
                <w:rFonts w:ascii="Arial" w:cs="Arial" w:eastAsia="Arial" w:hAnsi="Arial"/>
                <w:sz w:val="14"/>
                <w:szCs w:val="14"/>
                <w:color w:val="auto"/>
              </w:rPr>
              <w:t>Invesco VI Equally Wtd S&amp;P 500 I</w:t>
            </w:r>
          </w:p>
        </w:tc>
        <w:tc>
          <w:tcPr>
            <w:tcW w:w="4840" w:type="dxa"/>
            <w:vAlign w:val="bottom"/>
          </w:tcPr>
          <w:p>
            <w:pPr>
              <w:jc w:val="right"/>
              <w:spacing w:after="0"/>
              <w:rPr>
                <w:sz w:val="20"/>
                <w:szCs w:val="20"/>
                <w:color w:val="auto"/>
              </w:rPr>
            </w:pPr>
            <w:r>
              <w:rPr>
                <w:rFonts w:ascii="Arial" w:cs="Arial" w:eastAsia="Arial" w:hAnsi="Arial"/>
                <w:sz w:val="14"/>
                <w:szCs w:val="14"/>
                <w:color w:val="auto"/>
              </w:rPr>
              <w:t>12.7</w:t>
            </w:r>
          </w:p>
        </w:tc>
      </w:tr>
      <w:tr>
        <w:trPr>
          <w:trHeight w:val="187"/>
        </w:trPr>
        <w:tc>
          <w:tcPr>
            <w:tcW w:w="6420" w:type="dxa"/>
            <w:vAlign w:val="bottom"/>
            <w:shd w:val="clear" w:color="auto" w:fill="F0F7E7"/>
          </w:tcPr>
          <w:p>
            <w:pPr>
              <w:ind w:left="40"/>
              <w:spacing w:after="0"/>
              <w:rPr>
                <w:sz w:val="20"/>
                <w:szCs w:val="20"/>
                <w:color w:val="auto"/>
              </w:rPr>
            </w:pPr>
            <w:r>
              <w:rPr>
                <w:rFonts w:ascii="Arial" w:cs="Arial" w:eastAsia="Arial" w:hAnsi="Arial"/>
                <w:sz w:val="14"/>
                <w:szCs w:val="14"/>
                <w:color w:val="auto"/>
              </w:rPr>
              <w:t>T. Rowe Price Blue Chip Growth Port</w:t>
            </w:r>
          </w:p>
        </w:tc>
        <w:tc>
          <w:tcPr>
            <w:tcW w:w="4840" w:type="dxa"/>
            <w:vAlign w:val="bottom"/>
            <w:shd w:val="clear" w:color="auto" w:fill="F0F7E7"/>
          </w:tcPr>
          <w:p>
            <w:pPr>
              <w:jc w:val="right"/>
              <w:spacing w:after="0"/>
              <w:rPr>
                <w:sz w:val="20"/>
                <w:szCs w:val="20"/>
                <w:color w:val="auto"/>
              </w:rPr>
            </w:pPr>
            <w:r>
              <w:rPr>
                <w:rFonts w:ascii="Arial" w:cs="Arial" w:eastAsia="Arial" w:hAnsi="Arial"/>
                <w:sz w:val="14"/>
                <w:szCs w:val="14"/>
                <w:color w:val="auto"/>
              </w:rPr>
              <w:t>35.5</w:t>
            </w:r>
          </w:p>
        </w:tc>
      </w:tr>
      <w:tr>
        <w:trPr>
          <w:trHeight w:val="186"/>
        </w:trPr>
        <w:tc>
          <w:tcPr>
            <w:tcW w:w="6420" w:type="dxa"/>
            <w:vAlign w:val="bottom"/>
          </w:tcPr>
          <w:p>
            <w:pPr>
              <w:ind w:left="40"/>
              <w:spacing w:after="0"/>
              <w:rPr>
                <w:sz w:val="20"/>
                <w:szCs w:val="20"/>
                <w:color w:val="auto"/>
              </w:rPr>
            </w:pPr>
            <w:r>
              <w:rPr>
                <w:rFonts w:ascii="Arial" w:cs="Arial" w:eastAsia="Arial" w:hAnsi="Arial"/>
                <w:sz w:val="14"/>
                <w:szCs w:val="14"/>
                <w:color w:val="auto"/>
              </w:rPr>
              <w:t>American Century Vp Mid Cap Value I (AVIPX)</w:t>
            </w:r>
          </w:p>
        </w:tc>
        <w:tc>
          <w:tcPr>
            <w:tcW w:w="4840" w:type="dxa"/>
            <w:vAlign w:val="bottom"/>
          </w:tcPr>
          <w:p>
            <w:pPr>
              <w:jc w:val="right"/>
              <w:spacing w:after="0"/>
              <w:rPr>
                <w:sz w:val="20"/>
                <w:szCs w:val="20"/>
                <w:color w:val="auto"/>
              </w:rPr>
            </w:pPr>
            <w:r>
              <w:rPr>
                <w:rFonts w:ascii="Arial" w:cs="Arial" w:eastAsia="Arial" w:hAnsi="Arial"/>
                <w:sz w:val="14"/>
                <w:szCs w:val="14"/>
                <w:color w:val="auto"/>
              </w:rPr>
              <w:t>8.7</w:t>
            </w:r>
          </w:p>
        </w:tc>
      </w:tr>
      <w:tr>
        <w:trPr>
          <w:trHeight w:val="222"/>
        </w:trPr>
        <w:tc>
          <w:tcPr>
            <w:tcW w:w="6420" w:type="dxa"/>
            <w:vAlign w:val="bottom"/>
            <w:shd w:val="clear" w:color="auto" w:fill="F0F7E7"/>
          </w:tcPr>
          <w:p>
            <w:pPr>
              <w:ind w:left="40"/>
              <w:spacing w:after="0" w:line="222" w:lineRule="exact"/>
              <w:rPr>
                <w:sz w:val="20"/>
                <w:szCs w:val="20"/>
                <w:color w:val="auto"/>
              </w:rPr>
            </w:pPr>
            <w:r>
              <w:rPr>
                <w:rFonts w:ascii="Arial" w:cs="Arial" w:eastAsia="Arial" w:hAnsi="Arial"/>
                <w:sz w:val="14"/>
                <w:szCs w:val="14"/>
                <w:color w:val="auto"/>
              </w:rPr>
              <w:t>Empower S&amp;P Mid Cap 400</w:t>
            </w:r>
            <w:r>
              <w:rPr>
                <w:rFonts w:ascii="Arial" w:cs="Arial" w:eastAsia="Arial" w:hAnsi="Arial"/>
                <w:sz w:val="23"/>
                <w:szCs w:val="23"/>
                <w:color w:val="auto"/>
                <w:vertAlign w:val="superscript"/>
              </w:rPr>
              <w:t>®</w:t>
            </w:r>
            <w:r>
              <w:rPr>
                <w:rFonts w:ascii="Arial" w:cs="Arial" w:eastAsia="Arial" w:hAnsi="Arial"/>
                <w:sz w:val="14"/>
                <w:szCs w:val="14"/>
                <w:color w:val="auto"/>
              </w:rPr>
              <w:t xml:space="preserve"> Index Inv (MXMDX)</w:t>
            </w:r>
          </w:p>
        </w:tc>
        <w:tc>
          <w:tcPr>
            <w:tcW w:w="4840" w:type="dxa"/>
            <w:vAlign w:val="bottom"/>
            <w:shd w:val="clear" w:color="auto" w:fill="F0F7E7"/>
          </w:tcPr>
          <w:p>
            <w:pPr>
              <w:jc w:val="right"/>
              <w:spacing w:after="0"/>
              <w:rPr>
                <w:sz w:val="20"/>
                <w:szCs w:val="20"/>
                <w:color w:val="auto"/>
              </w:rPr>
            </w:pPr>
            <w:r>
              <w:rPr>
                <w:rFonts w:ascii="Arial" w:cs="Arial" w:eastAsia="Arial" w:hAnsi="Arial"/>
                <w:sz w:val="14"/>
                <w:szCs w:val="14"/>
                <w:color w:val="auto"/>
              </w:rPr>
              <w:t>13.3</w:t>
            </w:r>
          </w:p>
        </w:tc>
      </w:tr>
      <w:tr>
        <w:trPr>
          <w:trHeight w:val="221"/>
        </w:trPr>
        <w:tc>
          <w:tcPr>
            <w:tcW w:w="6420" w:type="dxa"/>
            <w:vAlign w:val="bottom"/>
          </w:tcPr>
          <w:p>
            <w:pPr>
              <w:ind w:left="40"/>
              <w:spacing w:after="0" w:line="221" w:lineRule="exact"/>
              <w:rPr>
                <w:sz w:val="20"/>
                <w:szCs w:val="20"/>
                <w:color w:val="auto"/>
              </w:rPr>
            </w:pPr>
            <w:r>
              <w:rPr>
                <w:rFonts w:ascii="Arial" w:cs="Arial" w:eastAsia="Arial" w:hAnsi="Arial"/>
                <w:sz w:val="14"/>
                <w:szCs w:val="14"/>
                <w:color w:val="auto"/>
              </w:rPr>
              <w:t>MFS</w:t>
            </w:r>
            <w:r>
              <w:rPr>
                <w:rFonts w:ascii="Arial" w:cs="Arial" w:eastAsia="Arial" w:hAnsi="Arial"/>
                <w:sz w:val="23"/>
                <w:szCs w:val="23"/>
                <w:color w:val="auto"/>
                <w:vertAlign w:val="superscript"/>
              </w:rPr>
              <w:t>®</w:t>
            </w:r>
            <w:r>
              <w:rPr>
                <w:rFonts w:ascii="Arial" w:cs="Arial" w:eastAsia="Arial" w:hAnsi="Arial"/>
                <w:sz w:val="14"/>
                <w:szCs w:val="14"/>
                <w:color w:val="auto"/>
              </w:rPr>
              <w:t xml:space="preserve"> VIT Mid Cap Growth Init</w:t>
            </w:r>
          </w:p>
        </w:tc>
        <w:tc>
          <w:tcPr>
            <w:tcW w:w="4840" w:type="dxa"/>
            <w:vAlign w:val="bottom"/>
          </w:tcPr>
          <w:p>
            <w:pPr>
              <w:jc w:val="right"/>
              <w:spacing w:after="0"/>
              <w:rPr>
                <w:sz w:val="20"/>
                <w:szCs w:val="20"/>
                <w:color w:val="auto"/>
              </w:rPr>
            </w:pPr>
            <w:r>
              <w:rPr>
                <w:rFonts w:ascii="Arial" w:cs="Arial" w:eastAsia="Arial" w:hAnsi="Arial"/>
                <w:sz w:val="14"/>
                <w:szCs w:val="14"/>
                <w:color w:val="auto"/>
              </w:rPr>
              <w:t>14.7</w:t>
            </w:r>
          </w:p>
        </w:tc>
      </w:tr>
      <w:tr>
        <w:trPr>
          <w:trHeight w:val="187"/>
        </w:trPr>
        <w:tc>
          <w:tcPr>
            <w:tcW w:w="6420" w:type="dxa"/>
            <w:vAlign w:val="bottom"/>
            <w:shd w:val="clear" w:color="auto" w:fill="F0F7E7"/>
          </w:tcPr>
          <w:p>
            <w:pPr>
              <w:ind w:left="40"/>
              <w:spacing w:after="0"/>
              <w:rPr>
                <w:sz w:val="20"/>
                <w:szCs w:val="20"/>
                <w:color w:val="auto"/>
              </w:rPr>
            </w:pPr>
            <w:r>
              <w:rPr>
                <w:rFonts w:ascii="Arial" w:cs="Arial" w:eastAsia="Arial" w:hAnsi="Arial"/>
                <w:sz w:val="14"/>
                <w:szCs w:val="14"/>
                <w:color w:val="auto"/>
              </w:rPr>
              <w:t>Dimensional VA US Targeted Value</w:t>
            </w:r>
          </w:p>
        </w:tc>
        <w:tc>
          <w:tcPr>
            <w:tcW w:w="4840" w:type="dxa"/>
            <w:vAlign w:val="bottom"/>
            <w:shd w:val="clear" w:color="auto" w:fill="F0F7E7"/>
          </w:tcPr>
          <w:p>
            <w:pPr>
              <w:jc w:val="right"/>
              <w:spacing w:after="0"/>
              <w:rPr>
                <w:sz w:val="20"/>
                <w:szCs w:val="20"/>
                <w:color w:val="auto"/>
              </w:rPr>
            </w:pPr>
            <w:r>
              <w:rPr>
                <w:rFonts w:ascii="Arial" w:cs="Arial" w:eastAsia="Arial" w:hAnsi="Arial"/>
                <w:sz w:val="14"/>
                <w:szCs w:val="14"/>
                <w:color w:val="auto"/>
              </w:rPr>
              <w:t>8.1</w:t>
            </w:r>
          </w:p>
        </w:tc>
      </w:tr>
      <w:tr>
        <w:trPr>
          <w:trHeight w:val="221"/>
        </w:trPr>
        <w:tc>
          <w:tcPr>
            <w:tcW w:w="6420" w:type="dxa"/>
            <w:vAlign w:val="bottom"/>
          </w:tcPr>
          <w:p>
            <w:pPr>
              <w:ind w:left="40"/>
              <w:spacing w:after="0" w:line="221" w:lineRule="exact"/>
              <w:rPr>
                <w:sz w:val="20"/>
                <w:szCs w:val="20"/>
                <w:color w:val="auto"/>
              </w:rPr>
            </w:pPr>
            <w:r>
              <w:rPr>
                <w:rFonts w:ascii="Arial" w:cs="Arial" w:eastAsia="Arial" w:hAnsi="Arial"/>
                <w:sz w:val="14"/>
                <w:szCs w:val="14"/>
                <w:color w:val="auto"/>
              </w:rPr>
              <w:t>Empower S&amp;P Smallcap 600</w:t>
            </w:r>
            <w:r>
              <w:rPr>
                <w:rFonts w:ascii="Arial" w:cs="Arial" w:eastAsia="Arial" w:hAnsi="Arial"/>
                <w:sz w:val="23"/>
                <w:szCs w:val="23"/>
                <w:color w:val="auto"/>
                <w:vertAlign w:val="superscript"/>
              </w:rPr>
              <w:t>®</w:t>
            </w:r>
            <w:r>
              <w:rPr>
                <w:rFonts w:ascii="Arial" w:cs="Arial" w:eastAsia="Arial" w:hAnsi="Arial"/>
                <w:sz w:val="14"/>
                <w:szCs w:val="14"/>
                <w:color w:val="auto"/>
              </w:rPr>
              <w:t xml:space="preserve"> Index Inv (MXISX)</w:t>
            </w:r>
          </w:p>
        </w:tc>
        <w:tc>
          <w:tcPr>
            <w:tcW w:w="4840" w:type="dxa"/>
            <w:vAlign w:val="bottom"/>
          </w:tcPr>
          <w:p>
            <w:pPr>
              <w:jc w:val="right"/>
              <w:spacing w:after="0"/>
              <w:rPr>
                <w:sz w:val="20"/>
                <w:szCs w:val="20"/>
                <w:color w:val="auto"/>
              </w:rPr>
            </w:pPr>
            <w:r>
              <w:rPr>
                <w:rFonts w:ascii="Arial" w:cs="Arial" w:eastAsia="Arial" w:hAnsi="Arial"/>
                <w:sz w:val="14"/>
                <w:szCs w:val="14"/>
                <w:color w:val="auto"/>
              </w:rPr>
              <w:t>7.9</w:t>
            </w:r>
          </w:p>
        </w:tc>
      </w:tr>
      <w:tr>
        <w:trPr>
          <w:trHeight w:val="187"/>
        </w:trPr>
        <w:tc>
          <w:tcPr>
            <w:tcW w:w="6420" w:type="dxa"/>
            <w:vAlign w:val="bottom"/>
            <w:shd w:val="clear" w:color="auto" w:fill="F0F7E7"/>
          </w:tcPr>
          <w:p>
            <w:pPr>
              <w:ind w:left="40"/>
              <w:spacing w:after="0"/>
              <w:rPr>
                <w:sz w:val="20"/>
                <w:szCs w:val="20"/>
                <w:color w:val="auto"/>
              </w:rPr>
            </w:pPr>
            <w:r>
              <w:rPr>
                <w:rFonts w:ascii="Arial" w:cs="Arial" w:eastAsia="Arial" w:hAnsi="Arial"/>
                <w:sz w:val="14"/>
                <w:szCs w:val="14"/>
                <w:color w:val="auto"/>
              </w:rPr>
              <w:t>Clearbridge Variable Small Cap Growth I (QLMSIX)</w:t>
            </w:r>
          </w:p>
        </w:tc>
        <w:tc>
          <w:tcPr>
            <w:tcW w:w="4840" w:type="dxa"/>
            <w:vAlign w:val="bottom"/>
            <w:shd w:val="clear" w:color="auto" w:fill="F0F7E7"/>
          </w:tcPr>
          <w:p>
            <w:pPr>
              <w:jc w:val="right"/>
              <w:spacing w:after="0"/>
              <w:rPr>
                <w:sz w:val="20"/>
                <w:szCs w:val="20"/>
                <w:color w:val="auto"/>
              </w:rPr>
            </w:pPr>
            <w:r>
              <w:rPr>
                <w:rFonts w:ascii="Arial" w:cs="Arial" w:eastAsia="Arial" w:hAnsi="Arial"/>
                <w:sz w:val="14"/>
                <w:szCs w:val="14"/>
                <w:color w:val="auto"/>
              </w:rPr>
              <w:t>4.5</w:t>
            </w:r>
          </w:p>
        </w:tc>
      </w:tr>
      <w:tr>
        <w:trPr>
          <w:trHeight w:val="186"/>
        </w:trPr>
        <w:tc>
          <w:tcPr>
            <w:tcW w:w="6420" w:type="dxa"/>
            <w:vAlign w:val="bottom"/>
          </w:tcPr>
          <w:p>
            <w:pPr>
              <w:ind w:left="40"/>
              <w:spacing w:after="0"/>
              <w:rPr>
                <w:sz w:val="20"/>
                <w:szCs w:val="20"/>
                <w:color w:val="auto"/>
              </w:rPr>
            </w:pPr>
            <w:r>
              <w:rPr>
                <w:rFonts w:ascii="Arial" w:cs="Arial" w:eastAsia="Arial" w:hAnsi="Arial"/>
                <w:sz w:val="14"/>
                <w:szCs w:val="14"/>
                <w:color w:val="auto"/>
              </w:rPr>
              <w:t>Vanguard VIF Total Intl Stock Market Index</w:t>
            </w:r>
          </w:p>
        </w:tc>
        <w:tc>
          <w:tcPr>
            <w:tcW w:w="4840" w:type="dxa"/>
            <w:vAlign w:val="bottom"/>
          </w:tcPr>
          <w:p>
            <w:pPr>
              <w:jc w:val="right"/>
              <w:spacing w:after="0"/>
              <w:rPr>
                <w:sz w:val="20"/>
                <w:szCs w:val="20"/>
                <w:color w:val="auto"/>
              </w:rPr>
            </w:pPr>
            <w:r>
              <w:rPr>
                <w:rFonts w:ascii="Arial" w:cs="Arial" w:eastAsia="Arial" w:hAnsi="Arial"/>
                <w:sz w:val="14"/>
                <w:szCs w:val="14"/>
                <w:color w:val="auto"/>
              </w:rPr>
              <w:t>5.1</w:t>
            </w:r>
          </w:p>
        </w:tc>
      </w:tr>
      <w:tr>
        <w:trPr>
          <w:trHeight w:val="187"/>
        </w:trPr>
        <w:tc>
          <w:tcPr>
            <w:tcW w:w="6420" w:type="dxa"/>
            <w:vAlign w:val="bottom"/>
            <w:shd w:val="clear" w:color="auto" w:fill="F0F7E7"/>
          </w:tcPr>
          <w:p>
            <w:pPr>
              <w:ind w:left="40"/>
              <w:spacing w:after="0"/>
              <w:rPr>
                <w:sz w:val="20"/>
                <w:szCs w:val="20"/>
                <w:color w:val="auto"/>
              </w:rPr>
            </w:pPr>
            <w:r>
              <w:rPr>
                <w:rFonts w:ascii="Arial" w:cs="Arial" w:eastAsia="Arial" w:hAnsi="Arial"/>
                <w:sz w:val="14"/>
                <w:szCs w:val="14"/>
                <w:color w:val="auto"/>
              </w:rPr>
              <w:t>Vanguard VIF International</w:t>
            </w:r>
          </w:p>
        </w:tc>
        <w:tc>
          <w:tcPr>
            <w:tcW w:w="4840" w:type="dxa"/>
            <w:vAlign w:val="bottom"/>
            <w:shd w:val="clear" w:color="auto" w:fill="F0F7E7"/>
          </w:tcPr>
          <w:p>
            <w:pPr>
              <w:jc w:val="right"/>
              <w:spacing w:after="0"/>
              <w:rPr>
                <w:sz w:val="20"/>
                <w:szCs w:val="20"/>
                <w:color w:val="auto"/>
              </w:rPr>
            </w:pPr>
            <w:r>
              <w:rPr>
                <w:rFonts w:ascii="Arial" w:cs="Arial" w:eastAsia="Arial" w:hAnsi="Arial"/>
                <w:sz w:val="14"/>
                <w:szCs w:val="14"/>
                <w:color w:val="auto"/>
              </w:rPr>
              <w:t>9.0</w:t>
            </w:r>
          </w:p>
        </w:tc>
      </w:tr>
      <w:tr>
        <w:trPr>
          <w:trHeight w:val="221"/>
        </w:trPr>
        <w:tc>
          <w:tcPr>
            <w:tcW w:w="6420" w:type="dxa"/>
            <w:vAlign w:val="bottom"/>
          </w:tcPr>
          <w:p>
            <w:pPr>
              <w:ind w:left="40"/>
              <w:spacing w:after="0" w:line="221" w:lineRule="exact"/>
              <w:rPr>
                <w:sz w:val="20"/>
                <w:szCs w:val="20"/>
                <w:color w:val="auto"/>
              </w:rPr>
            </w:pPr>
            <w:r>
              <w:rPr>
                <w:rFonts w:ascii="Arial" w:cs="Arial" w:eastAsia="Arial" w:hAnsi="Arial"/>
                <w:sz w:val="14"/>
                <w:szCs w:val="14"/>
                <w:color w:val="auto"/>
              </w:rPr>
              <w:t>American Funds IS</w:t>
            </w:r>
            <w:r>
              <w:rPr>
                <w:rFonts w:ascii="Arial" w:cs="Arial" w:eastAsia="Arial" w:hAnsi="Arial"/>
                <w:sz w:val="23"/>
                <w:szCs w:val="23"/>
                <w:color w:val="auto"/>
                <w:vertAlign w:val="superscript"/>
              </w:rPr>
              <w:t>®</w:t>
            </w:r>
            <w:r>
              <w:rPr>
                <w:rFonts w:ascii="Arial" w:cs="Arial" w:eastAsia="Arial" w:hAnsi="Arial"/>
                <w:sz w:val="14"/>
                <w:szCs w:val="14"/>
                <w:color w:val="auto"/>
              </w:rPr>
              <w:t xml:space="preserve"> New World 2</w:t>
            </w:r>
          </w:p>
        </w:tc>
        <w:tc>
          <w:tcPr>
            <w:tcW w:w="4840" w:type="dxa"/>
            <w:vAlign w:val="bottom"/>
          </w:tcPr>
          <w:p>
            <w:pPr>
              <w:jc w:val="right"/>
              <w:spacing w:after="0"/>
              <w:rPr>
                <w:sz w:val="20"/>
                <w:szCs w:val="20"/>
                <w:color w:val="auto"/>
              </w:rPr>
            </w:pPr>
            <w:r>
              <w:rPr>
                <w:rFonts w:ascii="Arial" w:cs="Arial" w:eastAsia="Arial" w:hAnsi="Arial"/>
                <w:sz w:val="14"/>
                <w:szCs w:val="14"/>
                <w:color w:val="auto"/>
              </w:rPr>
              <w:t>6.6</w:t>
            </w:r>
          </w:p>
        </w:tc>
      </w:tr>
      <w:tr>
        <w:trPr>
          <w:trHeight w:val="225"/>
        </w:trPr>
        <w:tc>
          <w:tcPr>
            <w:tcW w:w="6420" w:type="dxa"/>
            <w:vAlign w:val="bottom"/>
            <w:tcBorders>
              <w:bottom w:val="single" w:sz="8" w:color="7CBD3F"/>
            </w:tcBorders>
            <w:shd w:val="clear" w:color="auto" w:fill="F0F7E7"/>
          </w:tcPr>
          <w:p>
            <w:pPr>
              <w:ind w:left="40"/>
              <w:spacing w:after="0" w:line="221" w:lineRule="exact"/>
              <w:rPr>
                <w:sz w:val="20"/>
                <w:szCs w:val="20"/>
                <w:color w:val="auto"/>
              </w:rPr>
            </w:pPr>
            <w:r>
              <w:rPr>
                <w:rFonts w:ascii="Arial" w:cs="Arial" w:eastAsia="Arial" w:hAnsi="Arial"/>
                <w:sz w:val="14"/>
                <w:szCs w:val="14"/>
                <w:color w:val="auto"/>
              </w:rPr>
              <w:t>MFS</w:t>
            </w:r>
            <w:r>
              <w:rPr>
                <w:rFonts w:ascii="Arial" w:cs="Arial" w:eastAsia="Arial" w:hAnsi="Arial"/>
                <w:sz w:val="23"/>
                <w:szCs w:val="23"/>
                <w:color w:val="auto"/>
                <w:vertAlign w:val="superscript"/>
              </w:rPr>
              <w:t>®</w:t>
            </w:r>
            <w:r>
              <w:rPr>
                <w:rFonts w:ascii="Arial" w:cs="Arial" w:eastAsia="Arial" w:hAnsi="Arial"/>
                <w:sz w:val="14"/>
                <w:szCs w:val="14"/>
                <w:color w:val="auto"/>
              </w:rPr>
              <w:t xml:space="preserve"> VIT III Global Real Estate Initial</w:t>
            </w:r>
          </w:p>
        </w:tc>
        <w:tc>
          <w:tcPr>
            <w:tcW w:w="4840" w:type="dxa"/>
            <w:vAlign w:val="bottom"/>
            <w:tcBorders>
              <w:bottom w:val="single" w:sz="8" w:color="7CBD3F"/>
            </w:tcBorders>
            <w:shd w:val="clear" w:color="auto" w:fill="F0F7E7"/>
          </w:tcPr>
          <w:p>
            <w:pPr>
              <w:jc w:val="right"/>
              <w:spacing w:after="0"/>
              <w:rPr>
                <w:sz w:val="20"/>
                <w:szCs w:val="20"/>
                <w:color w:val="auto"/>
              </w:rPr>
            </w:pPr>
            <w:r>
              <w:rPr>
                <w:rFonts w:ascii="Arial" w:cs="Arial" w:eastAsia="Arial" w:hAnsi="Arial"/>
                <w:sz w:val="14"/>
                <w:szCs w:val="14"/>
                <w:color w:val="auto"/>
              </w:rPr>
              <w:t>(2.7)</w:t>
            </w:r>
          </w:p>
        </w:tc>
      </w:tr>
    </w:tbl>
    <w:p>
      <w:pPr>
        <w:spacing w:after="0" w:line="162"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221E1F"/>
        </w:rPr>
        <w:t xml:space="preserve">ULTRAGENYX PHARMACEUTICAL INC. </w:t>
      </w:r>
      <w:r>
        <w:rPr>
          <w:rFonts w:ascii="Arial" w:cs="Arial" w:eastAsia="Arial" w:hAnsi="Arial"/>
          <w:sz w:val="14"/>
          <w:szCs w:val="14"/>
          <w:color w:val="7BBD3E"/>
        </w:rPr>
        <w:t>•</w:t>
      </w:r>
      <w:r>
        <w:rPr>
          <w:rFonts w:ascii="Arial" w:cs="Arial" w:eastAsia="Arial" w:hAnsi="Arial"/>
          <w:sz w:val="14"/>
          <w:szCs w:val="14"/>
          <w:b w:val="1"/>
          <w:bCs w:val="1"/>
          <w:color w:val="221E1F"/>
        </w:rPr>
        <w:t xml:space="preserve"> </w:t>
      </w:r>
      <w:r>
        <w:rPr>
          <w:rFonts w:ascii="Arial" w:cs="Arial" w:eastAsia="Arial" w:hAnsi="Arial"/>
          <w:sz w:val="14"/>
          <w:szCs w:val="14"/>
          <w:color w:val="221E1F"/>
        </w:rPr>
        <w:t>2025 Proxy Statement</w:t>
      </w:r>
      <w:r>
        <w:rPr>
          <w:rFonts w:ascii="Arial" w:cs="Arial" w:eastAsia="Arial" w:hAnsi="Arial"/>
          <w:sz w:val="14"/>
          <w:szCs w:val="14"/>
          <w:b w:val="1"/>
          <w:bCs w:val="1"/>
          <w:color w:val="221E1F"/>
        </w:rPr>
        <w:tab/>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142240</wp:posOffset>
            </wp:positionV>
            <wp:extent cx="7150735"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0735" cy="29845"/>
                    </a:xfrm>
                    <a:prstGeom prst="rect">
                      <a:avLst/>
                    </a:prstGeom>
                    <a:noFill/>
                  </pic:spPr>
                </pic:pic>
              </a:graphicData>
            </a:graphic>
          </wp:anchor>
        </w:drawing>
      </w:r>
    </w:p>
    <w:p>
      <w:pPr>
        <w:sectPr>
          <w:pgSz w:w="11900" w:h="16838" w:orient="portrait"/>
          <w:cols w:equalWidth="0" w:num="1">
            <w:col w:w="11260"/>
          </w:cols>
          <w:pgMar w:left="320" w:top="225" w:right="319" w:bottom="1440" w:gutter="0" w:footer="0" w:header="0"/>
        </w:sectPr>
      </w:pPr>
    </w:p>
    <w:bookmarkStart w:id="60" w:name="page61"/>
    <w:bookmarkEnd w:id="60"/>
    <w:tbl>
      <w:tblPr>
        <w:tblLayout w:type="fixed"/>
        <w:tblInd w:w="7" w:type="dxa"/>
        <w:tblCellMar>
          <w:top w:w="0" w:type="dxa"/>
          <w:left w:w="0" w:type="dxa"/>
          <w:bottom w:w="0" w:type="dxa"/>
          <w:right w:w="0" w:type="dxa"/>
        </w:tblCellMar>
      </w:tblPr>
      <w:tr>
        <w:trPr>
          <w:trHeight w:val="138"/>
        </w:trPr>
        <w:tc>
          <w:tcPr>
            <w:tcW w:w="1020" w:type="dxa"/>
            <w:vAlign w:val="bottom"/>
            <w:tcBorders>
              <w:bottom w:val="single" w:sz="8" w:color="0000EE"/>
            </w:tcBorders>
          </w:tcPr>
          <w:p>
            <w:pPr>
              <w:spacing w:after="0"/>
              <w:rPr>
                <w:sz w:val="20"/>
                <w:szCs w:val="20"/>
                <w:color w:val="auto"/>
              </w:rPr>
            </w:pPr>
            <w:r>
              <w:rPr>
                <w:rFonts w:ascii="Arial" w:cs="Arial" w:eastAsia="Arial" w:hAnsi="Arial"/>
                <w:sz w:val="12"/>
                <w:szCs w:val="12"/>
                <w:b w:val="1"/>
                <w:bCs w:val="1"/>
                <w:color w:val="0000EE"/>
              </w:rPr>
              <w:t>Back to Contents</w:t>
            </w:r>
          </w:p>
        </w:tc>
        <w:tc>
          <w:tcPr>
            <w:tcW w:w="49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315"/>
        </w:trPr>
        <w:tc>
          <w:tcPr>
            <w:tcW w:w="8320" w:type="dxa"/>
            <w:vAlign w:val="bottom"/>
            <w:gridSpan w:val="4"/>
          </w:tcPr>
          <w:p>
            <w:pPr>
              <w:spacing w:after="0"/>
              <w:rPr>
                <w:sz w:val="20"/>
                <w:szCs w:val="20"/>
                <w:color w:val="auto"/>
              </w:rPr>
            </w:pPr>
            <w:r>
              <w:rPr>
                <w:rFonts w:ascii="Arial" w:cs="Arial" w:eastAsia="Arial" w:hAnsi="Arial"/>
                <w:sz w:val="14"/>
                <w:szCs w:val="14"/>
                <w:color w:val="auto"/>
              </w:rPr>
              <w:t>For fiscal year 2024, other than Mr. Pinion, none of our named executive officers, participated in the Deferred Compensation Plan.</w:t>
            </w:r>
          </w:p>
        </w:tc>
        <w:tc>
          <w:tcPr>
            <w:tcW w:w="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17"/>
        </w:trPr>
        <w:tc>
          <w:tcPr>
            <w:tcW w:w="10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1220" w:type="dxa"/>
            <w:vAlign w:val="bottom"/>
          </w:tcPr>
          <w:p>
            <w:pPr>
              <w:jc w:val="right"/>
              <w:ind w:right="50"/>
              <w:spacing w:after="0"/>
              <w:rPr>
                <w:sz w:val="20"/>
                <w:szCs w:val="20"/>
                <w:color w:val="auto"/>
              </w:rPr>
            </w:pPr>
            <w:r>
              <w:rPr>
                <w:rFonts w:ascii="Arial" w:cs="Arial" w:eastAsia="Arial" w:hAnsi="Arial"/>
                <w:sz w:val="14"/>
                <w:szCs w:val="14"/>
                <w:b w:val="1"/>
                <w:bCs w:val="1"/>
                <w:color w:val="auto"/>
              </w:rPr>
              <w:t>Executive</w:t>
            </w:r>
          </w:p>
        </w:tc>
        <w:tc>
          <w:tcPr>
            <w:tcW w:w="1120" w:type="dxa"/>
            <w:vAlign w:val="bottom"/>
          </w:tcPr>
          <w:p>
            <w:pPr>
              <w:jc w:val="right"/>
              <w:ind w:right="110"/>
              <w:spacing w:after="0"/>
              <w:rPr>
                <w:sz w:val="20"/>
                <w:szCs w:val="20"/>
                <w:color w:val="auto"/>
              </w:rPr>
            </w:pPr>
            <w:r>
              <w:rPr>
                <w:rFonts w:ascii="Arial" w:cs="Arial" w:eastAsia="Arial" w:hAnsi="Arial"/>
                <w:sz w:val="14"/>
                <w:szCs w:val="14"/>
                <w:b w:val="1"/>
                <w:bCs w:val="1"/>
                <w:color w:val="auto"/>
              </w:rPr>
              <w:t>Company</w:t>
            </w:r>
          </w:p>
        </w:tc>
        <w:tc>
          <w:tcPr>
            <w:tcW w:w="960" w:type="dxa"/>
            <w:vAlign w:val="bottom"/>
          </w:tcPr>
          <w:p>
            <w:pPr>
              <w:jc w:val="right"/>
              <w:ind w:right="50"/>
              <w:spacing w:after="0"/>
              <w:rPr>
                <w:sz w:val="20"/>
                <w:szCs w:val="20"/>
                <w:color w:val="auto"/>
              </w:rPr>
            </w:pPr>
            <w:r>
              <w:rPr>
                <w:rFonts w:ascii="Arial" w:cs="Arial" w:eastAsia="Arial" w:hAnsi="Arial"/>
                <w:sz w:val="14"/>
                <w:szCs w:val="14"/>
                <w:b w:val="1"/>
                <w:bCs w:val="1"/>
                <w:color w:val="auto"/>
              </w:rPr>
              <w:t>Aggregate</w:t>
            </w:r>
          </w:p>
        </w:tc>
        <w:tc>
          <w:tcPr>
            <w:tcW w:w="1040" w:type="dxa"/>
            <w:vAlign w:val="bottom"/>
          </w:tcPr>
          <w:p>
            <w:pPr>
              <w:jc w:val="right"/>
              <w:ind w:right="50"/>
              <w:spacing w:after="0"/>
              <w:rPr>
                <w:sz w:val="20"/>
                <w:szCs w:val="20"/>
                <w:color w:val="auto"/>
              </w:rPr>
            </w:pPr>
            <w:r>
              <w:rPr>
                <w:rFonts w:ascii="Arial" w:cs="Arial" w:eastAsia="Arial" w:hAnsi="Arial"/>
                <w:sz w:val="14"/>
                <w:szCs w:val="14"/>
                <w:b w:val="1"/>
                <w:bCs w:val="1"/>
                <w:color w:val="auto"/>
              </w:rPr>
              <w:t>Aggregate</w:t>
            </w:r>
          </w:p>
        </w:tc>
        <w:tc>
          <w:tcPr>
            <w:tcW w:w="940" w:type="dxa"/>
            <w:vAlign w:val="bottom"/>
          </w:tcPr>
          <w:p>
            <w:pPr>
              <w:jc w:val="right"/>
              <w:ind w:right="30"/>
              <w:spacing w:after="0"/>
              <w:rPr>
                <w:sz w:val="20"/>
                <w:szCs w:val="20"/>
                <w:color w:val="auto"/>
              </w:rPr>
            </w:pPr>
            <w:r>
              <w:rPr>
                <w:rFonts w:ascii="Arial" w:cs="Arial" w:eastAsia="Arial" w:hAnsi="Arial"/>
                <w:sz w:val="14"/>
                <w:szCs w:val="14"/>
                <w:b w:val="1"/>
                <w:bCs w:val="1"/>
                <w:color w:val="auto"/>
              </w:rPr>
              <w:t>Aggregate</w:t>
            </w:r>
          </w:p>
        </w:tc>
      </w:tr>
      <w:tr>
        <w:trPr>
          <w:trHeight w:val="163"/>
        </w:trPr>
        <w:tc>
          <w:tcPr>
            <w:tcW w:w="10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220" w:type="dxa"/>
            <w:vAlign w:val="bottom"/>
          </w:tcPr>
          <w:p>
            <w:pPr>
              <w:jc w:val="right"/>
              <w:ind w:right="10"/>
              <w:spacing w:after="0"/>
              <w:rPr>
                <w:sz w:val="20"/>
                <w:szCs w:val="20"/>
                <w:color w:val="auto"/>
              </w:rPr>
            </w:pPr>
            <w:r>
              <w:rPr>
                <w:rFonts w:ascii="Arial" w:cs="Arial" w:eastAsia="Arial" w:hAnsi="Arial"/>
                <w:sz w:val="14"/>
                <w:szCs w:val="14"/>
                <w:b w:val="1"/>
                <w:bCs w:val="1"/>
                <w:color w:val="auto"/>
              </w:rPr>
              <w:t>Contributions</w:t>
            </w:r>
          </w:p>
        </w:tc>
        <w:tc>
          <w:tcPr>
            <w:tcW w:w="1120" w:type="dxa"/>
            <w:vAlign w:val="bottom"/>
          </w:tcPr>
          <w:p>
            <w:pPr>
              <w:jc w:val="right"/>
              <w:ind w:right="70"/>
              <w:spacing w:after="0"/>
              <w:rPr>
                <w:sz w:val="20"/>
                <w:szCs w:val="20"/>
                <w:color w:val="auto"/>
              </w:rPr>
            </w:pPr>
            <w:r>
              <w:rPr>
                <w:rFonts w:ascii="Arial" w:cs="Arial" w:eastAsia="Arial" w:hAnsi="Arial"/>
                <w:sz w:val="14"/>
                <w:szCs w:val="14"/>
                <w:b w:val="1"/>
                <w:bCs w:val="1"/>
                <w:color w:val="auto"/>
              </w:rPr>
              <w:t>Contributions</w:t>
            </w:r>
          </w:p>
        </w:tc>
        <w:tc>
          <w:tcPr>
            <w:tcW w:w="960" w:type="dxa"/>
            <w:vAlign w:val="bottom"/>
          </w:tcPr>
          <w:p>
            <w:pPr>
              <w:jc w:val="right"/>
              <w:ind w:right="50"/>
              <w:spacing w:after="0"/>
              <w:rPr>
                <w:sz w:val="20"/>
                <w:szCs w:val="20"/>
                <w:color w:val="auto"/>
              </w:rPr>
            </w:pPr>
            <w:r>
              <w:rPr>
                <w:rFonts w:ascii="Arial" w:cs="Arial" w:eastAsia="Arial" w:hAnsi="Arial"/>
                <w:sz w:val="14"/>
                <w:szCs w:val="14"/>
                <w:b w:val="1"/>
                <w:bCs w:val="1"/>
                <w:color w:val="auto"/>
              </w:rPr>
              <w:t>Earnings</w:t>
            </w:r>
          </w:p>
        </w:tc>
        <w:tc>
          <w:tcPr>
            <w:tcW w:w="1040" w:type="dxa"/>
            <w:vAlign w:val="bottom"/>
          </w:tcPr>
          <w:p>
            <w:pPr>
              <w:jc w:val="right"/>
              <w:ind w:right="30"/>
              <w:spacing w:after="0"/>
              <w:rPr>
                <w:sz w:val="20"/>
                <w:szCs w:val="20"/>
                <w:color w:val="auto"/>
              </w:rPr>
            </w:pPr>
            <w:r>
              <w:rPr>
                <w:rFonts w:ascii="Arial" w:cs="Arial" w:eastAsia="Arial" w:hAnsi="Arial"/>
                <w:sz w:val="14"/>
                <w:szCs w:val="14"/>
                <w:b w:val="1"/>
                <w:bCs w:val="1"/>
                <w:color w:val="auto"/>
              </w:rPr>
              <w:t>Withdrawals/</w:t>
            </w:r>
          </w:p>
        </w:tc>
        <w:tc>
          <w:tcPr>
            <w:tcW w:w="940" w:type="dxa"/>
            <w:vAlign w:val="bottom"/>
          </w:tcPr>
          <w:p>
            <w:pPr>
              <w:jc w:val="right"/>
              <w:ind w:right="30"/>
              <w:spacing w:after="0"/>
              <w:rPr>
                <w:sz w:val="20"/>
                <w:szCs w:val="20"/>
                <w:color w:val="auto"/>
              </w:rPr>
            </w:pPr>
            <w:r>
              <w:rPr>
                <w:rFonts w:ascii="Arial" w:cs="Arial" w:eastAsia="Arial" w:hAnsi="Arial"/>
                <w:sz w:val="14"/>
                <w:szCs w:val="14"/>
                <w:b w:val="1"/>
                <w:bCs w:val="1"/>
                <w:color w:val="auto"/>
              </w:rPr>
              <w:t>Balance</w:t>
            </w:r>
          </w:p>
        </w:tc>
      </w:tr>
      <w:tr>
        <w:trPr>
          <w:trHeight w:val="163"/>
        </w:trPr>
        <w:tc>
          <w:tcPr>
            <w:tcW w:w="10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220" w:type="dxa"/>
            <w:vAlign w:val="bottom"/>
          </w:tcPr>
          <w:p>
            <w:pPr>
              <w:jc w:val="right"/>
              <w:ind w:right="10"/>
              <w:spacing w:after="0"/>
              <w:rPr>
                <w:sz w:val="20"/>
                <w:szCs w:val="20"/>
                <w:color w:val="auto"/>
              </w:rPr>
            </w:pPr>
            <w:r>
              <w:rPr>
                <w:rFonts w:ascii="Arial" w:cs="Arial" w:eastAsia="Arial" w:hAnsi="Arial"/>
                <w:sz w:val="14"/>
                <w:szCs w:val="14"/>
                <w:b w:val="1"/>
                <w:bCs w:val="1"/>
                <w:color w:val="auto"/>
              </w:rPr>
              <w:t>in Last FY</w:t>
            </w:r>
          </w:p>
        </w:tc>
        <w:tc>
          <w:tcPr>
            <w:tcW w:w="1120" w:type="dxa"/>
            <w:vAlign w:val="bottom"/>
          </w:tcPr>
          <w:p>
            <w:pPr>
              <w:jc w:val="right"/>
              <w:ind w:right="110"/>
              <w:spacing w:after="0"/>
              <w:rPr>
                <w:sz w:val="20"/>
                <w:szCs w:val="20"/>
                <w:color w:val="auto"/>
              </w:rPr>
            </w:pPr>
            <w:r>
              <w:rPr>
                <w:rFonts w:ascii="Arial" w:cs="Arial" w:eastAsia="Arial" w:hAnsi="Arial"/>
                <w:sz w:val="14"/>
                <w:szCs w:val="14"/>
                <w:b w:val="1"/>
                <w:bCs w:val="1"/>
                <w:color w:val="auto"/>
              </w:rPr>
              <w:t>in Last FY</w:t>
            </w:r>
          </w:p>
        </w:tc>
        <w:tc>
          <w:tcPr>
            <w:tcW w:w="960" w:type="dxa"/>
            <w:vAlign w:val="bottom"/>
          </w:tcPr>
          <w:p>
            <w:pPr>
              <w:jc w:val="right"/>
              <w:ind w:right="50"/>
              <w:spacing w:after="0"/>
              <w:rPr>
                <w:sz w:val="20"/>
                <w:szCs w:val="20"/>
                <w:color w:val="auto"/>
              </w:rPr>
            </w:pPr>
            <w:r>
              <w:rPr>
                <w:rFonts w:ascii="Arial" w:cs="Arial" w:eastAsia="Arial" w:hAnsi="Arial"/>
                <w:sz w:val="14"/>
                <w:szCs w:val="14"/>
                <w:b w:val="1"/>
                <w:bCs w:val="1"/>
                <w:color w:val="auto"/>
              </w:rPr>
              <w:t>in Last FY</w:t>
            </w:r>
          </w:p>
        </w:tc>
        <w:tc>
          <w:tcPr>
            <w:tcW w:w="1040" w:type="dxa"/>
            <w:vAlign w:val="bottom"/>
          </w:tcPr>
          <w:p>
            <w:pPr>
              <w:jc w:val="right"/>
              <w:ind w:right="30"/>
              <w:spacing w:after="0"/>
              <w:rPr>
                <w:sz w:val="20"/>
                <w:szCs w:val="20"/>
                <w:color w:val="auto"/>
              </w:rPr>
            </w:pPr>
            <w:r>
              <w:rPr>
                <w:rFonts w:ascii="Arial" w:cs="Arial" w:eastAsia="Arial" w:hAnsi="Arial"/>
                <w:sz w:val="14"/>
                <w:szCs w:val="14"/>
                <w:b w:val="1"/>
                <w:bCs w:val="1"/>
                <w:color w:val="auto"/>
              </w:rPr>
              <w:t>Distributions</w:t>
            </w:r>
          </w:p>
        </w:tc>
        <w:tc>
          <w:tcPr>
            <w:tcW w:w="940" w:type="dxa"/>
            <w:vAlign w:val="bottom"/>
          </w:tcPr>
          <w:p>
            <w:pPr>
              <w:jc w:val="right"/>
              <w:ind w:right="30"/>
              <w:spacing w:after="0"/>
              <w:rPr>
                <w:sz w:val="20"/>
                <w:szCs w:val="20"/>
                <w:color w:val="auto"/>
              </w:rPr>
            </w:pPr>
            <w:r>
              <w:rPr>
                <w:rFonts w:ascii="Arial" w:cs="Arial" w:eastAsia="Arial" w:hAnsi="Arial"/>
                <w:sz w:val="14"/>
                <w:szCs w:val="14"/>
                <w:b w:val="1"/>
                <w:bCs w:val="1"/>
                <w:color w:val="auto"/>
              </w:rPr>
              <w:t>at Last FYE</w:t>
            </w:r>
          </w:p>
        </w:tc>
      </w:tr>
      <w:tr>
        <w:trPr>
          <w:trHeight w:val="191"/>
        </w:trPr>
        <w:tc>
          <w:tcPr>
            <w:tcW w:w="5980" w:type="dxa"/>
            <w:vAlign w:val="bottom"/>
            <w:tcBorders>
              <w:bottom w:val="single" w:sz="8" w:color="7CBD3F"/>
            </w:tcBorders>
            <w:gridSpan w:val="2"/>
          </w:tcPr>
          <w:p>
            <w:pPr>
              <w:ind w:left="40"/>
              <w:spacing w:after="0"/>
              <w:rPr>
                <w:sz w:val="20"/>
                <w:szCs w:val="20"/>
                <w:color w:val="auto"/>
              </w:rPr>
            </w:pPr>
            <w:r>
              <w:rPr>
                <w:rFonts w:ascii="Arial" w:cs="Arial" w:eastAsia="Arial" w:hAnsi="Arial"/>
                <w:sz w:val="14"/>
                <w:szCs w:val="14"/>
                <w:b w:val="1"/>
                <w:bCs w:val="1"/>
                <w:color w:val="auto"/>
              </w:rPr>
              <w:t>Name</w:t>
            </w:r>
          </w:p>
        </w:tc>
        <w:tc>
          <w:tcPr>
            <w:tcW w:w="1220" w:type="dxa"/>
            <w:vAlign w:val="bottom"/>
            <w:tcBorders>
              <w:bottom w:val="single" w:sz="8" w:color="7CBD3F"/>
            </w:tcBorders>
          </w:tcPr>
          <w:p>
            <w:pPr>
              <w:jc w:val="right"/>
              <w:ind w:right="10"/>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7CBD3F"/>
            </w:tcBorders>
          </w:tcPr>
          <w:p>
            <w:pPr>
              <w:jc w:val="right"/>
              <w:ind w:right="70"/>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7CBD3F"/>
            </w:tcBorders>
          </w:tcPr>
          <w:p>
            <w:pPr>
              <w:jc w:val="right"/>
              <w:ind w:right="10"/>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7CBD3F"/>
            </w:tcBorders>
          </w:tcPr>
          <w:p>
            <w:pPr>
              <w:jc w:val="right"/>
              <w:ind w:right="30"/>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7CBD3F"/>
            </w:tcBorders>
          </w:tcPr>
          <w:p>
            <w:pPr>
              <w:jc w:val="right"/>
              <w:spacing w:after="0"/>
              <w:rPr>
                <w:sz w:val="20"/>
                <w:szCs w:val="20"/>
                <w:color w:val="auto"/>
              </w:rPr>
            </w:pPr>
            <w:r>
              <w:rPr>
                <w:rFonts w:ascii="Arial" w:cs="Arial" w:eastAsia="Arial" w:hAnsi="Arial"/>
                <w:sz w:val="14"/>
                <w:szCs w:val="14"/>
                <w:b w:val="1"/>
                <w:bCs w:val="1"/>
                <w:color w:val="auto"/>
              </w:rPr>
              <w:t>($)</w:t>
            </w:r>
          </w:p>
        </w:tc>
      </w:tr>
      <w:tr>
        <w:trPr>
          <w:trHeight w:val="186"/>
        </w:trPr>
        <w:tc>
          <w:tcPr>
            <w:tcW w:w="5980" w:type="dxa"/>
            <w:vAlign w:val="bottom"/>
            <w:gridSpan w:val="2"/>
          </w:tcPr>
          <w:p>
            <w:pPr>
              <w:ind w:left="40"/>
              <w:spacing w:after="0"/>
              <w:rPr>
                <w:sz w:val="20"/>
                <w:szCs w:val="20"/>
                <w:color w:val="auto"/>
              </w:rPr>
            </w:pPr>
            <w:r>
              <w:rPr>
                <w:rFonts w:ascii="Arial" w:cs="Arial" w:eastAsia="Arial" w:hAnsi="Arial"/>
                <w:sz w:val="14"/>
                <w:szCs w:val="14"/>
                <w:color w:val="auto"/>
              </w:rPr>
              <w:t>Emil D. Kakkis, M.D., Ph.D., President and Chief Executive Officer</w:t>
            </w:r>
          </w:p>
        </w:tc>
        <w:tc>
          <w:tcPr>
            <w:tcW w:w="122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7"/>
        </w:trPr>
        <w:tc>
          <w:tcPr>
            <w:tcW w:w="5980" w:type="dxa"/>
            <w:vAlign w:val="bottom"/>
            <w:gridSpan w:val="2"/>
            <w:shd w:val="clear" w:color="auto" w:fill="F0F7E7"/>
          </w:tcPr>
          <w:p>
            <w:pPr>
              <w:ind w:left="40"/>
              <w:spacing w:after="0"/>
              <w:rPr>
                <w:sz w:val="20"/>
                <w:szCs w:val="20"/>
                <w:color w:val="auto"/>
              </w:rPr>
            </w:pPr>
            <w:r>
              <w:rPr>
                <w:rFonts w:ascii="Arial" w:cs="Arial" w:eastAsia="Arial" w:hAnsi="Arial"/>
                <w:sz w:val="14"/>
                <w:szCs w:val="14"/>
                <w:color w:val="auto"/>
              </w:rPr>
              <w:t>Howard Horn Chief Financial Officer, Corporate Strategy and Executive Vice President</w:t>
            </w:r>
          </w:p>
        </w:tc>
        <w:tc>
          <w:tcPr>
            <w:tcW w:w="1220" w:type="dxa"/>
            <w:vAlign w:val="bottom"/>
            <w:shd w:val="clear" w:color="auto" w:fill="F0F7E7"/>
          </w:tcPr>
          <w:p>
            <w:pPr>
              <w:jc w:val="right"/>
              <w:ind w:right="10"/>
              <w:spacing w:after="0"/>
              <w:rPr>
                <w:sz w:val="20"/>
                <w:szCs w:val="20"/>
                <w:color w:val="auto"/>
              </w:rPr>
            </w:pPr>
            <w:r>
              <w:rPr>
                <w:rFonts w:ascii="Arial" w:cs="Arial" w:eastAsia="Arial" w:hAnsi="Arial"/>
                <w:sz w:val="14"/>
                <w:szCs w:val="14"/>
                <w:color w:val="auto"/>
              </w:rPr>
              <w:t>—</w:t>
            </w:r>
          </w:p>
        </w:tc>
        <w:tc>
          <w:tcPr>
            <w:tcW w:w="1120" w:type="dxa"/>
            <w:vAlign w:val="bottom"/>
            <w:shd w:val="clear" w:color="auto" w:fill="F0F7E7"/>
          </w:tcPr>
          <w:p>
            <w:pPr>
              <w:jc w:val="right"/>
              <w:ind w:right="70"/>
              <w:spacing w:after="0"/>
              <w:rPr>
                <w:sz w:val="20"/>
                <w:szCs w:val="20"/>
                <w:color w:val="auto"/>
              </w:rPr>
            </w:pPr>
            <w:r>
              <w:rPr>
                <w:rFonts w:ascii="Arial" w:cs="Arial" w:eastAsia="Arial" w:hAnsi="Arial"/>
                <w:sz w:val="14"/>
                <w:szCs w:val="14"/>
                <w:color w:val="auto"/>
              </w:rPr>
              <w:t>—</w:t>
            </w:r>
          </w:p>
        </w:tc>
        <w:tc>
          <w:tcPr>
            <w:tcW w:w="960" w:type="dxa"/>
            <w:vAlign w:val="bottom"/>
            <w:shd w:val="clear" w:color="auto" w:fill="F0F7E7"/>
          </w:tcPr>
          <w:p>
            <w:pPr>
              <w:jc w:val="right"/>
              <w:ind w:right="10"/>
              <w:spacing w:after="0"/>
              <w:rPr>
                <w:sz w:val="20"/>
                <w:szCs w:val="20"/>
                <w:color w:val="auto"/>
              </w:rPr>
            </w:pPr>
            <w:r>
              <w:rPr>
                <w:rFonts w:ascii="Arial" w:cs="Arial" w:eastAsia="Arial" w:hAnsi="Arial"/>
                <w:sz w:val="14"/>
                <w:szCs w:val="14"/>
                <w:color w:val="auto"/>
              </w:rPr>
              <w:t>—</w:t>
            </w:r>
          </w:p>
        </w:tc>
        <w:tc>
          <w:tcPr>
            <w:tcW w:w="1040" w:type="dxa"/>
            <w:vAlign w:val="bottom"/>
            <w:shd w:val="clear" w:color="auto" w:fill="F0F7E7"/>
          </w:tcPr>
          <w:p>
            <w:pPr>
              <w:jc w:val="right"/>
              <w:ind w:right="30"/>
              <w:spacing w:after="0"/>
              <w:rPr>
                <w:sz w:val="20"/>
                <w:szCs w:val="20"/>
                <w:color w:val="auto"/>
              </w:rPr>
            </w:pPr>
            <w:r>
              <w:rPr>
                <w:rFonts w:ascii="Arial" w:cs="Arial" w:eastAsia="Arial" w:hAnsi="Arial"/>
                <w:sz w:val="14"/>
                <w:szCs w:val="14"/>
                <w:color w:val="auto"/>
              </w:rPr>
              <w:t>—</w:t>
            </w:r>
          </w:p>
        </w:tc>
        <w:tc>
          <w:tcPr>
            <w:tcW w:w="940" w:type="dxa"/>
            <w:vAlign w:val="bottom"/>
            <w:shd w:val="clear" w:color="auto" w:fill="F0F7E7"/>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5980" w:type="dxa"/>
            <w:vAlign w:val="bottom"/>
            <w:gridSpan w:val="2"/>
          </w:tcPr>
          <w:p>
            <w:pPr>
              <w:ind w:left="40"/>
              <w:spacing w:after="0"/>
              <w:rPr>
                <w:sz w:val="20"/>
                <w:szCs w:val="20"/>
                <w:color w:val="auto"/>
              </w:rPr>
            </w:pPr>
            <w:r>
              <w:rPr>
                <w:rFonts w:ascii="Arial" w:cs="Arial" w:eastAsia="Arial" w:hAnsi="Arial"/>
                <w:sz w:val="14"/>
                <w:szCs w:val="14"/>
                <w:color w:val="auto"/>
              </w:rPr>
              <w:t>Erik Harris, Chief Commercial Officer and Executive Vice President</w:t>
            </w:r>
          </w:p>
        </w:tc>
        <w:tc>
          <w:tcPr>
            <w:tcW w:w="122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7"/>
        </w:trPr>
        <w:tc>
          <w:tcPr>
            <w:tcW w:w="5980" w:type="dxa"/>
            <w:vAlign w:val="bottom"/>
            <w:gridSpan w:val="2"/>
            <w:shd w:val="clear" w:color="auto" w:fill="F0F7E7"/>
          </w:tcPr>
          <w:p>
            <w:pPr>
              <w:ind w:left="40"/>
              <w:spacing w:after="0"/>
              <w:rPr>
                <w:sz w:val="20"/>
                <w:szCs w:val="20"/>
                <w:color w:val="auto"/>
              </w:rPr>
            </w:pPr>
            <w:r>
              <w:rPr>
                <w:rFonts w:ascii="Arial" w:cs="Arial" w:eastAsia="Arial" w:hAnsi="Arial"/>
                <w:sz w:val="14"/>
                <w:szCs w:val="14"/>
                <w:color w:val="auto"/>
              </w:rPr>
              <w:t>Eric Crombez, M.D., Chief Medical Officer and Executive Vice President</w:t>
            </w:r>
          </w:p>
        </w:tc>
        <w:tc>
          <w:tcPr>
            <w:tcW w:w="1220" w:type="dxa"/>
            <w:vAlign w:val="bottom"/>
            <w:shd w:val="clear" w:color="auto" w:fill="F0F7E7"/>
          </w:tcPr>
          <w:p>
            <w:pPr>
              <w:jc w:val="right"/>
              <w:ind w:right="10"/>
              <w:spacing w:after="0"/>
              <w:rPr>
                <w:sz w:val="20"/>
                <w:szCs w:val="20"/>
                <w:color w:val="auto"/>
              </w:rPr>
            </w:pPr>
            <w:r>
              <w:rPr>
                <w:rFonts w:ascii="Arial" w:cs="Arial" w:eastAsia="Arial" w:hAnsi="Arial"/>
                <w:sz w:val="14"/>
                <w:szCs w:val="14"/>
                <w:color w:val="auto"/>
              </w:rPr>
              <w:t>—</w:t>
            </w:r>
          </w:p>
        </w:tc>
        <w:tc>
          <w:tcPr>
            <w:tcW w:w="1120" w:type="dxa"/>
            <w:vAlign w:val="bottom"/>
            <w:shd w:val="clear" w:color="auto" w:fill="F0F7E7"/>
          </w:tcPr>
          <w:p>
            <w:pPr>
              <w:jc w:val="right"/>
              <w:ind w:right="70"/>
              <w:spacing w:after="0"/>
              <w:rPr>
                <w:sz w:val="20"/>
                <w:szCs w:val="20"/>
                <w:color w:val="auto"/>
              </w:rPr>
            </w:pPr>
            <w:r>
              <w:rPr>
                <w:rFonts w:ascii="Arial" w:cs="Arial" w:eastAsia="Arial" w:hAnsi="Arial"/>
                <w:sz w:val="14"/>
                <w:szCs w:val="14"/>
                <w:color w:val="auto"/>
              </w:rPr>
              <w:t>—</w:t>
            </w:r>
          </w:p>
        </w:tc>
        <w:tc>
          <w:tcPr>
            <w:tcW w:w="960" w:type="dxa"/>
            <w:vAlign w:val="bottom"/>
            <w:shd w:val="clear" w:color="auto" w:fill="F0F7E7"/>
          </w:tcPr>
          <w:p>
            <w:pPr>
              <w:jc w:val="right"/>
              <w:ind w:right="10"/>
              <w:spacing w:after="0"/>
              <w:rPr>
                <w:sz w:val="20"/>
                <w:szCs w:val="20"/>
                <w:color w:val="auto"/>
              </w:rPr>
            </w:pPr>
            <w:r>
              <w:rPr>
                <w:rFonts w:ascii="Arial" w:cs="Arial" w:eastAsia="Arial" w:hAnsi="Arial"/>
                <w:sz w:val="14"/>
                <w:szCs w:val="14"/>
                <w:color w:val="auto"/>
              </w:rPr>
              <w:t>—</w:t>
            </w:r>
          </w:p>
        </w:tc>
        <w:tc>
          <w:tcPr>
            <w:tcW w:w="1040" w:type="dxa"/>
            <w:vAlign w:val="bottom"/>
            <w:shd w:val="clear" w:color="auto" w:fill="F0F7E7"/>
          </w:tcPr>
          <w:p>
            <w:pPr>
              <w:jc w:val="right"/>
              <w:ind w:right="30"/>
              <w:spacing w:after="0"/>
              <w:rPr>
                <w:sz w:val="20"/>
                <w:szCs w:val="20"/>
                <w:color w:val="auto"/>
              </w:rPr>
            </w:pPr>
            <w:r>
              <w:rPr>
                <w:rFonts w:ascii="Arial" w:cs="Arial" w:eastAsia="Arial" w:hAnsi="Arial"/>
                <w:sz w:val="14"/>
                <w:szCs w:val="14"/>
                <w:color w:val="auto"/>
              </w:rPr>
              <w:t>—</w:t>
            </w:r>
          </w:p>
        </w:tc>
        <w:tc>
          <w:tcPr>
            <w:tcW w:w="940" w:type="dxa"/>
            <w:vAlign w:val="bottom"/>
            <w:shd w:val="clear" w:color="auto" w:fill="F0F7E7"/>
          </w:tcPr>
          <w:p>
            <w:pPr>
              <w:jc w:val="right"/>
              <w:spacing w:after="0"/>
              <w:rPr>
                <w:sz w:val="20"/>
                <w:szCs w:val="20"/>
                <w:color w:val="auto"/>
              </w:rPr>
            </w:pPr>
            <w:r>
              <w:rPr>
                <w:rFonts w:ascii="Arial" w:cs="Arial" w:eastAsia="Arial" w:hAnsi="Arial"/>
                <w:sz w:val="14"/>
                <w:szCs w:val="14"/>
                <w:color w:val="auto"/>
              </w:rPr>
              <w:t>—</w:t>
            </w:r>
          </w:p>
        </w:tc>
      </w:tr>
      <w:tr>
        <w:trPr>
          <w:trHeight w:val="225"/>
        </w:trPr>
        <w:tc>
          <w:tcPr>
            <w:tcW w:w="5980" w:type="dxa"/>
            <w:vAlign w:val="bottom"/>
            <w:tcBorders>
              <w:bottom w:val="single" w:sz="8" w:color="7CBD3F"/>
            </w:tcBorders>
            <w:gridSpan w:val="2"/>
          </w:tcPr>
          <w:p>
            <w:pPr>
              <w:ind w:left="40"/>
              <w:spacing w:after="0"/>
              <w:rPr>
                <w:sz w:val="20"/>
                <w:szCs w:val="20"/>
                <w:color w:val="auto"/>
              </w:rPr>
            </w:pPr>
            <w:r>
              <w:rPr>
                <w:rFonts w:ascii="Arial" w:cs="Arial" w:eastAsia="Arial" w:hAnsi="Arial"/>
                <w:sz w:val="14"/>
                <w:szCs w:val="14"/>
                <w:color w:val="auto"/>
              </w:rPr>
              <w:t>John R. Pinion II, Chief Quality Officer and Executive Vice President, Translational Sciences</w:t>
            </w:r>
          </w:p>
        </w:tc>
        <w:tc>
          <w:tcPr>
            <w:tcW w:w="1220" w:type="dxa"/>
            <w:vAlign w:val="bottom"/>
            <w:tcBorders>
              <w:bottom w:val="single" w:sz="8" w:color="7CBD3F"/>
            </w:tcBorders>
          </w:tcPr>
          <w:p>
            <w:pPr>
              <w:jc w:val="right"/>
              <w:ind w:right="10"/>
              <w:spacing w:after="0" w:line="221" w:lineRule="exact"/>
              <w:rPr>
                <w:sz w:val="20"/>
                <w:szCs w:val="20"/>
                <w:color w:val="auto"/>
              </w:rPr>
            </w:pPr>
            <w:r>
              <w:rPr>
                <w:rFonts w:ascii="Arial" w:cs="Arial" w:eastAsia="Arial" w:hAnsi="Arial"/>
                <w:sz w:val="14"/>
                <w:szCs w:val="14"/>
                <w:color w:val="auto"/>
              </w:rPr>
              <w:t>86,011</w:t>
            </w:r>
            <w:r>
              <w:rPr>
                <w:rFonts w:ascii="Arial" w:cs="Arial" w:eastAsia="Arial" w:hAnsi="Arial"/>
                <w:sz w:val="23"/>
                <w:szCs w:val="23"/>
                <w:color w:val="auto"/>
                <w:vertAlign w:val="superscript"/>
              </w:rPr>
              <w:t>(1)</w:t>
            </w:r>
          </w:p>
        </w:tc>
        <w:tc>
          <w:tcPr>
            <w:tcW w:w="1120" w:type="dxa"/>
            <w:vAlign w:val="bottom"/>
            <w:tcBorders>
              <w:bottom w:val="single" w:sz="8" w:color="7CBD3F"/>
            </w:tcBorders>
          </w:tcPr>
          <w:p>
            <w:pPr>
              <w:jc w:val="right"/>
              <w:ind w:right="7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7CBD3F"/>
            </w:tcBorders>
          </w:tcPr>
          <w:p>
            <w:pPr>
              <w:jc w:val="right"/>
              <w:ind w:right="10"/>
              <w:spacing w:after="0"/>
              <w:rPr>
                <w:sz w:val="20"/>
                <w:szCs w:val="20"/>
                <w:color w:val="auto"/>
              </w:rPr>
            </w:pPr>
            <w:r>
              <w:rPr>
                <w:rFonts w:ascii="Arial" w:cs="Arial" w:eastAsia="Arial" w:hAnsi="Arial"/>
                <w:sz w:val="14"/>
                <w:szCs w:val="14"/>
                <w:color w:val="auto"/>
              </w:rPr>
              <w:t>29,798</w:t>
            </w:r>
          </w:p>
        </w:tc>
        <w:tc>
          <w:tcPr>
            <w:tcW w:w="1040" w:type="dxa"/>
            <w:vAlign w:val="bottom"/>
            <w:tcBorders>
              <w:bottom w:val="single" w:sz="8" w:color="7CBD3F"/>
            </w:tcBorders>
          </w:tcPr>
          <w:p>
            <w:pPr>
              <w:jc w:val="right"/>
              <w:ind w:right="3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7CBD3F"/>
            </w:tcBorders>
          </w:tcPr>
          <w:p>
            <w:pPr>
              <w:jc w:val="right"/>
              <w:spacing w:after="0"/>
              <w:rPr>
                <w:sz w:val="20"/>
                <w:szCs w:val="20"/>
                <w:color w:val="auto"/>
              </w:rPr>
            </w:pPr>
            <w:r>
              <w:rPr>
                <w:rFonts w:ascii="Arial" w:cs="Arial" w:eastAsia="Arial" w:hAnsi="Arial"/>
                <w:sz w:val="14"/>
                <w:szCs w:val="14"/>
                <w:color w:val="auto"/>
              </w:rPr>
              <w:t>333,174</w:t>
            </w:r>
          </w:p>
        </w:tc>
      </w:tr>
    </w:tbl>
    <w:p>
      <w:pPr>
        <w:spacing w:after="0" w:line="39" w:lineRule="exact"/>
        <w:rPr>
          <w:sz w:val="20"/>
          <w:szCs w:val="20"/>
          <w:color w:val="auto"/>
        </w:rPr>
      </w:pPr>
    </w:p>
    <w:p>
      <w:pPr>
        <w:ind w:left="287" w:hanging="287"/>
        <w:spacing w:after="0"/>
        <w:tabs>
          <w:tab w:leader="none" w:pos="287" w:val="left"/>
        </w:tabs>
        <w:numPr>
          <w:ilvl w:val="0"/>
          <w:numId w:val="41"/>
        </w:numPr>
        <w:rPr>
          <w:rFonts w:ascii="Arial" w:cs="Arial" w:eastAsia="Arial" w:hAnsi="Arial"/>
          <w:sz w:val="12"/>
          <w:szCs w:val="12"/>
          <w:color w:val="auto"/>
        </w:rPr>
      </w:pPr>
      <w:r>
        <w:rPr>
          <w:rFonts w:ascii="Arial" w:cs="Arial" w:eastAsia="Arial" w:hAnsi="Arial"/>
          <w:sz w:val="12"/>
          <w:szCs w:val="12"/>
          <w:color w:val="auto"/>
        </w:rPr>
        <w:t>Represents the value of 1,602 RSUs as of the applicable vesting date that were deferred into the Deferred Compensation Plan upon the partial vesting of such RSUs.</w:t>
      </w:r>
    </w:p>
    <w:p>
      <w:pPr>
        <w:spacing w:after="0" w:line="316" w:lineRule="exact"/>
        <w:rPr>
          <w:sz w:val="20"/>
          <w:szCs w:val="20"/>
          <w:color w:val="auto"/>
        </w:rPr>
      </w:pPr>
    </w:p>
    <w:p>
      <w:pPr>
        <w:ind w:left="7"/>
        <w:spacing w:after="0"/>
        <w:rPr>
          <w:sz w:val="20"/>
          <w:szCs w:val="20"/>
          <w:color w:val="auto"/>
        </w:rPr>
      </w:pPr>
      <w:r>
        <w:rPr>
          <w:rFonts w:ascii="Arial" w:cs="Arial" w:eastAsia="Arial" w:hAnsi="Arial"/>
          <w:sz w:val="22"/>
          <w:szCs w:val="22"/>
          <w:b w:val="1"/>
          <w:bCs w:val="1"/>
          <w:color w:val="auto"/>
        </w:rPr>
        <w:t>Potential Payments Upon Termination or Change of Control</w:t>
      </w:r>
    </w:p>
    <w:p>
      <w:pPr>
        <w:spacing w:after="0" w:line="222" w:lineRule="exact"/>
        <w:rPr>
          <w:sz w:val="20"/>
          <w:szCs w:val="20"/>
          <w:color w:val="auto"/>
        </w:rPr>
      </w:pPr>
    </w:p>
    <w:p>
      <w:pPr>
        <w:jc w:val="both"/>
        <w:ind w:left="7"/>
        <w:spacing w:after="0" w:line="255" w:lineRule="auto"/>
        <w:rPr>
          <w:sz w:val="20"/>
          <w:szCs w:val="20"/>
          <w:color w:val="auto"/>
        </w:rPr>
      </w:pPr>
      <w:r>
        <w:rPr>
          <w:rFonts w:ascii="Arial" w:cs="Arial" w:eastAsia="Arial" w:hAnsi="Arial"/>
          <w:sz w:val="14"/>
          <w:szCs w:val="14"/>
          <w:color w:val="auto"/>
        </w:rPr>
        <w:t>The amount of compensation and benefits payable to each named executive officer in various termination and change in control situations, as described above under “—Narrative Disclosure to Summary Compensation Table—Involuntary Termination of Employment” and “—Narrative Disclosure to Summary Compensation Table—Covered Transaction, has been estimated in the tables below. The tables below do not include the values of any amounts that a named executive officer may receive under the Deferred Plan as a result of a termination of employment or a change in control, as all amounts under the Deferred Plan are fully vested benefits.</w:t>
      </w:r>
    </w:p>
    <w:p>
      <w:pPr>
        <w:spacing w:after="0" w:line="132" w:lineRule="exact"/>
        <w:rPr>
          <w:sz w:val="20"/>
          <w:szCs w:val="20"/>
          <w:color w:val="auto"/>
        </w:rPr>
      </w:pPr>
    </w:p>
    <w:p>
      <w:pPr>
        <w:jc w:val="both"/>
        <w:ind w:left="7"/>
        <w:spacing w:after="0" w:line="247" w:lineRule="auto"/>
        <w:rPr>
          <w:sz w:val="20"/>
          <w:szCs w:val="20"/>
          <w:color w:val="auto"/>
        </w:rPr>
      </w:pPr>
      <w:r>
        <w:rPr>
          <w:rFonts w:ascii="Arial" w:cs="Arial" w:eastAsia="Arial" w:hAnsi="Arial"/>
          <w:sz w:val="14"/>
          <w:szCs w:val="14"/>
          <w:color w:val="auto"/>
        </w:rPr>
        <w:t>The value of the option, RSU, and PSU vesting acceleration was calculated for each of the tables below based on the assumption that the change in control and executive’s employment termination occurred on December 31, 2024. The closing price of our common stock on The Nasdaq Global Select Market as of December 31, 2024 was $42.07, which was used as the value of our common stock for purposes of the following tables. The value of the option vesting acceleration was calculated by multiplying the number of unvested option shares subject to vesting acceleration as of December 31, 2024 by the difference between the closing price of our common stock as of December 31, 2024 and the exercise price for such unvested option shares. No value is attributed to unvested options subject to acceleration which have exercise prices above the closing market price of our common stock as of December 31, 2024. The value of the RSU and PSU vesting acceleration was calculated by multiplying the number of unvested RSUs, earned but unvested PSUs and unearned PSUs (based on an assumed target level of performance) subject to vesting acceleration as of December 31, 2024 by the closing price of our common stock as of the last trading day of 2023. The value of COBRA reimbursements was calculated for each of the tables below based on the elections for each named executive officer in effect in December 2024 and the applicable COBRA premiums for December 2024.</w:t>
      </w:r>
    </w:p>
    <w:p>
      <w:pPr>
        <w:spacing w:after="0" w:line="176" w:lineRule="exact"/>
        <w:rPr>
          <w:sz w:val="20"/>
          <w:szCs w:val="20"/>
          <w:color w:val="auto"/>
        </w:rPr>
      </w:pPr>
    </w:p>
    <w:p>
      <w:pPr>
        <w:ind w:left="7"/>
        <w:spacing w:after="0"/>
        <w:rPr>
          <w:sz w:val="20"/>
          <w:szCs w:val="20"/>
          <w:color w:val="auto"/>
        </w:rPr>
      </w:pPr>
      <w:r>
        <w:rPr>
          <w:rFonts w:ascii="Arial" w:cs="Arial" w:eastAsia="Arial" w:hAnsi="Arial"/>
          <w:sz w:val="19"/>
          <w:szCs w:val="19"/>
          <w:b w:val="1"/>
          <w:bCs w:val="1"/>
          <w:color w:val="7CBD3F"/>
        </w:rPr>
        <w:t>Dr. Emil Kakkis</w:t>
      </w:r>
    </w:p>
    <w:p>
      <w:pPr>
        <w:spacing w:after="0" w:line="166" w:lineRule="exact"/>
        <w:rPr>
          <w:sz w:val="20"/>
          <w:szCs w:val="20"/>
          <w:color w:val="auto"/>
        </w:rPr>
      </w:pPr>
    </w:p>
    <w:p>
      <w:pPr>
        <w:jc w:val="both"/>
        <w:ind w:left="7" w:right="20"/>
        <w:spacing w:after="0" w:line="260" w:lineRule="auto"/>
        <w:rPr>
          <w:sz w:val="20"/>
          <w:szCs w:val="20"/>
          <w:color w:val="auto"/>
        </w:rPr>
      </w:pPr>
      <w:r>
        <w:rPr>
          <w:rFonts w:ascii="Arial" w:cs="Arial" w:eastAsia="Arial" w:hAnsi="Arial"/>
          <w:sz w:val="14"/>
          <w:szCs w:val="14"/>
          <w:color w:val="auto"/>
        </w:rPr>
        <w:t>The following table describes the potential payments upon employment termination for Emil Kakkis, our President and Chief Executive Officer, as if his employment terminated as of December 31, 2024, the last business day of the fiscal year. Qualifying termination includes a termination by the Company without cause or a resignation by Dr. Kakkis for good reason.</w:t>
      </w:r>
    </w:p>
    <w:p>
      <w:pPr>
        <w:spacing w:after="0" w:line="141" w:lineRule="exact"/>
        <w:rPr>
          <w:sz w:val="20"/>
          <w:szCs w:val="20"/>
          <w:color w:val="auto"/>
        </w:rPr>
      </w:pPr>
    </w:p>
    <w:tbl>
      <w:tblPr>
        <w:tblLayout w:type="fixed"/>
        <w:tblInd w:w="7" w:type="dxa"/>
        <w:tblCellMar>
          <w:top w:w="0" w:type="dxa"/>
          <w:left w:w="0" w:type="dxa"/>
          <w:bottom w:w="0" w:type="dxa"/>
          <w:right w:w="0" w:type="dxa"/>
        </w:tblCellMar>
      </w:tblPr>
      <w:tr>
        <w:trPr>
          <w:trHeight w:val="163"/>
        </w:trPr>
        <w:tc>
          <w:tcPr>
            <w:tcW w:w="546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88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Qualifying Termination</w:t>
            </w:r>
          </w:p>
        </w:tc>
      </w:tr>
      <w:tr>
        <w:trPr>
          <w:trHeight w:val="163"/>
        </w:trPr>
        <w:tc>
          <w:tcPr>
            <w:tcW w:w="5460" w:type="dxa"/>
            <w:vAlign w:val="bottom"/>
          </w:tcPr>
          <w:p>
            <w:pPr>
              <w:ind w:left="40"/>
              <w:spacing w:after="0"/>
              <w:rPr>
                <w:sz w:val="20"/>
                <w:szCs w:val="20"/>
                <w:color w:val="auto"/>
              </w:rPr>
            </w:pPr>
            <w:r>
              <w:rPr>
                <w:rFonts w:ascii="Arial" w:cs="Arial" w:eastAsia="Arial" w:hAnsi="Arial"/>
                <w:sz w:val="14"/>
                <w:szCs w:val="14"/>
                <w:b w:val="1"/>
                <w:bCs w:val="1"/>
                <w:color w:val="auto"/>
              </w:rPr>
              <w:t>Potential Payments Upon Termination</w:t>
            </w:r>
          </w:p>
        </w:tc>
        <w:tc>
          <w:tcPr>
            <w:tcW w:w="3920" w:type="dxa"/>
            <w:vAlign w:val="bottom"/>
          </w:tcPr>
          <w:p>
            <w:pPr>
              <w:jc w:val="right"/>
              <w:ind w:right="190"/>
              <w:spacing w:after="0"/>
              <w:rPr>
                <w:sz w:val="20"/>
                <w:szCs w:val="20"/>
                <w:color w:val="auto"/>
              </w:rPr>
            </w:pPr>
            <w:r>
              <w:rPr>
                <w:rFonts w:ascii="Arial" w:cs="Arial" w:eastAsia="Arial" w:hAnsi="Arial"/>
                <w:sz w:val="14"/>
                <w:szCs w:val="14"/>
                <w:b w:val="1"/>
                <w:bCs w:val="1"/>
                <w:color w:val="auto"/>
              </w:rPr>
              <w:t>Qualifying</w:t>
            </w:r>
          </w:p>
        </w:tc>
        <w:tc>
          <w:tcPr>
            <w:tcW w:w="188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following a Covered</w:t>
            </w:r>
          </w:p>
        </w:tc>
      </w:tr>
      <w:tr>
        <w:trPr>
          <w:trHeight w:val="191"/>
        </w:trPr>
        <w:tc>
          <w:tcPr>
            <w:tcW w:w="5460" w:type="dxa"/>
            <w:vAlign w:val="bottom"/>
            <w:tcBorders>
              <w:bottom w:val="single" w:sz="8" w:color="7CBD3F"/>
            </w:tcBorders>
          </w:tcPr>
          <w:p>
            <w:pPr>
              <w:ind w:left="40"/>
              <w:spacing w:after="0"/>
              <w:rPr>
                <w:sz w:val="20"/>
                <w:szCs w:val="20"/>
                <w:color w:val="auto"/>
              </w:rPr>
            </w:pPr>
            <w:r>
              <w:rPr>
                <w:rFonts w:ascii="Arial" w:cs="Arial" w:eastAsia="Arial" w:hAnsi="Arial"/>
                <w:sz w:val="14"/>
                <w:szCs w:val="14"/>
                <w:b w:val="1"/>
                <w:bCs w:val="1"/>
                <w:color w:val="auto"/>
              </w:rPr>
              <w:t>or Change of Control</w:t>
            </w:r>
          </w:p>
        </w:tc>
        <w:tc>
          <w:tcPr>
            <w:tcW w:w="3920" w:type="dxa"/>
            <w:vAlign w:val="bottom"/>
            <w:tcBorders>
              <w:bottom w:val="single" w:sz="8" w:color="7CBD3F"/>
            </w:tcBorders>
          </w:tcPr>
          <w:p>
            <w:pPr>
              <w:jc w:val="right"/>
              <w:ind w:right="150"/>
              <w:spacing w:after="0"/>
              <w:rPr>
                <w:sz w:val="20"/>
                <w:szCs w:val="20"/>
                <w:color w:val="auto"/>
              </w:rPr>
            </w:pPr>
            <w:r>
              <w:rPr>
                <w:rFonts w:ascii="Arial" w:cs="Arial" w:eastAsia="Arial" w:hAnsi="Arial"/>
                <w:sz w:val="14"/>
                <w:szCs w:val="14"/>
                <w:b w:val="1"/>
                <w:bCs w:val="1"/>
                <w:color w:val="auto"/>
              </w:rPr>
              <w:t>Termination</w:t>
            </w:r>
          </w:p>
        </w:tc>
        <w:tc>
          <w:tcPr>
            <w:tcW w:w="1880" w:type="dxa"/>
            <w:vAlign w:val="bottom"/>
            <w:tcBorders>
              <w:bottom w:val="single" w:sz="8" w:color="7CBD3F"/>
            </w:tcBorders>
            <w:gridSpan w:val="2"/>
          </w:tcPr>
          <w:p>
            <w:pPr>
              <w:ind w:left="980"/>
              <w:spacing w:after="0"/>
              <w:rPr>
                <w:sz w:val="20"/>
                <w:szCs w:val="20"/>
                <w:color w:val="auto"/>
              </w:rPr>
            </w:pPr>
            <w:r>
              <w:rPr>
                <w:rFonts w:ascii="Arial" w:cs="Arial" w:eastAsia="Arial" w:hAnsi="Arial"/>
                <w:sz w:val="14"/>
                <w:szCs w:val="14"/>
                <w:b w:val="1"/>
                <w:bCs w:val="1"/>
                <w:color w:val="auto"/>
              </w:rPr>
              <w:t>Transaction</w:t>
            </w:r>
          </w:p>
        </w:tc>
      </w:tr>
      <w:tr>
        <w:trPr>
          <w:trHeight w:val="186"/>
        </w:trPr>
        <w:tc>
          <w:tcPr>
            <w:tcW w:w="5460" w:type="dxa"/>
            <w:vAlign w:val="bottom"/>
          </w:tcPr>
          <w:p>
            <w:pPr>
              <w:ind w:left="40"/>
              <w:spacing w:after="0"/>
              <w:rPr>
                <w:sz w:val="20"/>
                <w:szCs w:val="20"/>
                <w:color w:val="auto"/>
              </w:rPr>
            </w:pPr>
            <w:r>
              <w:rPr>
                <w:rFonts w:ascii="Arial" w:cs="Arial" w:eastAsia="Arial" w:hAnsi="Arial"/>
                <w:sz w:val="14"/>
                <w:szCs w:val="14"/>
                <w:color w:val="auto"/>
              </w:rPr>
              <w:t>Base Salary</w:t>
            </w:r>
          </w:p>
        </w:tc>
        <w:tc>
          <w:tcPr>
            <w:tcW w:w="3920" w:type="dxa"/>
            <w:vAlign w:val="bottom"/>
          </w:tcPr>
          <w:p>
            <w:pPr>
              <w:jc w:val="right"/>
              <w:ind w:right="150"/>
              <w:spacing w:after="0"/>
              <w:rPr>
                <w:sz w:val="20"/>
                <w:szCs w:val="20"/>
                <w:color w:val="auto"/>
              </w:rPr>
            </w:pPr>
            <w:r>
              <w:rPr>
                <w:rFonts w:ascii="Arial" w:cs="Arial" w:eastAsia="Arial" w:hAnsi="Arial"/>
                <w:sz w:val="14"/>
                <w:szCs w:val="14"/>
                <w:color w:val="auto"/>
              </w:rPr>
              <w:t>$1,722,000</w:t>
            </w:r>
          </w:p>
        </w:tc>
        <w:tc>
          <w:tcPr>
            <w:tcW w:w="1060" w:type="dxa"/>
            <w:vAlign w:val="bottom"/>
          </w:tcPr>
          <w:p>
            <w:pPr>
              <w:ind w:left="980"/>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ind w:right="50"/>
              <w:spacing w:after="0"/>
              <w:rPr>
                <w:sz w:val="20"/>
                <w:szCs w:val="20"/>
                <w:color w:val="auto"/>
              </w:rPr>
            </w:pPr>
            <w:r>
              <w:rPr>
                <w:rFonts w:ascii="Arial" w:cs="Arial" w:eastAsia="Arial" w:hAnsi="Arial"/>
                <w:sz w:val="14"/>
                <w:szCs w:val="14"/>
                <w:color w:val="auto"/>
              </w:rPr>
              <w:t>1,722,000</w:t>
            </w:r>
          </w:p>
        </w:tc>
      </w:tr>
      <w:tr>
        <w:trPr>
          <w:trHeight w:val="187"/>
        </w:trPr>
        <w:tc>
          <w:tcPr>
            <w:tcW w:w="5460" w:type="dxa"/>
            <w:vAlign w:val="bottom"/>
            <w:shd w:val="clear" w:color="auto" w:fill="F0F7E7"/>
          </w:tcPr>
          <w:p>
            <w:pPr>
              <w:ind w:left="40"/>
              <w:spacing w:after="0"/>
              <w:rPr>
                <w:sz w:val="20"/>
                <w:szCs w:val="20"/>
                <w:color w:val="auto"/>
              </w:rPr>
            </w:pPr>
            <w:r>
              <w:rPr>
                <w:rFonts w:ascii="Arial" w:cs="Arial" w:eastAsia="Arial" w:hAnsi="Arial"/>
                <w:sz w:val="14"/>
                <w:szCs w:val="14"/>
                <w:color w:val="auto"/>
              </w:rPr>
              <w:t>Bonus</w:t>
            </w:r>
          </w:p>
        </w:tc>
        <w:tc>
          <w:tcPr>
            <w:tcW w:w="3920" w:type="dxa"/>
            <w:vAlign w:val="bottom"/>
            <w:shd w:val="clear" w:color="auto" w:fill="F0F7E7"/>
          </w:tcPr>
          <w:p>
            <w:pPr>
              <w:jc w:val="right"/>
              <w:ind w:right="150"/>
              <w:spacing w:after="0"/>
              <w:rPr>
                <w:sz w:val="20"/>
                <w:szCs w:val="20"/>
                <w:color w:val="auto"/>
              </w:rPr>
            </w:pPr>
            <w:r>
              <w:rPr>
                <w:rFonts w:ascii="Arial" w:cs="Arial" w:eastAsia="Arial" w:hAnsi="Arial"/>
                <w:sz w:val="14"/>
                <w:szCs w:val="14"/>
                <w:color w:val="auto"/>
              </w:rPr>
              <w:t>688,800</w:t>
            </w:r>
          </w:p>
        </w:tc>
        <w:tc>
          <w:tcPr>
            <w:tcW w:w="1060" w:type="dxa"/>
            <w:vAlign w:val="bottom"/>
            <w:shd w:val="clear" w:color="auto" w:fill="F0F7E7"/>
          </w:tcPr>
          <w:p>
            <w:pPr>
              <w:spacing w:after="0"/>
              <w:rPr>
                <w:sz w:val="16"/>
                <w:szCs w:val="16"/>
                <w:color w:val="auto"/>
              </w:rPr>
            </w:pPr>
          </w:p>
        </w:tc>
        <w:tc>
          <w:tcPr>
            <w:tcW w:w="820" w:type="dxa"/>
            <w:vAlign w:val="bottom"/>
            <w:shd w:val="clear" w:color="auto" w:fill="F0F7E7"/>
          </w:tcPr>
          <w:p>
            <w:pPr>
              <w:jc w:val="right"/>
              <w:ind w:right="50"/>
              <w:spacing w:after="0"/>
              <w:rPr>
                <w:sz w:val="20"/>
                <w:szCs w:val="20"/>
                <w:color w:val="auto"/>
              </w:rPr>
            </w:pPr>
            <w:r>
              <w:rPr>
                <w:rFonts w:ascii="Arial" w:cs="Arial" w:eastAsia="Arial" w:hAnsi="Arial"/>
                <w:sz w:val="14"/>
                <w:szCs w:val="14"/>
                <w:color w:val="auto"/>
              </w:rPr>
              <w:t>1,377,600</w:t>
            </w:r>
          </w:p>
        </w:tc>
      </w:tr>
      <w:tr>
        <w:trPr>
          <w:trHeight w:val="186"/>
        </w:trPr>
        <w:tc>
          <w:tcPr>
            <w:tcW w:w="5460" w:type="dxa"/>
            <w:vAlign w:val="bottom"/>
          </w:tcPr>
          <w:p>
            <w:pPr>
              <w:ind w:left="40"/>
              <w:spacing w:after="0"/>
              <w:rPr>
                <w:sz w:val="20"/>
                <w:szCs w:val="20"/>
                <w:color w:val="auto"/>
              </w:rPr>
            </w:pPr>
            <w:r>
              <w:rPr>
                <w:rFonts w:ascii="Arial" w:cs="Arial" w:eastAsia="Arial" w:hAnsi="Arial"/>
                <w:sz w:val="14"/>
                <w:szCs w:val="14"/>
                <w:color w:val="auto"/>
              </w:rPr>
              <w:t>Acceleration of equity awards</w:t>
            </w:r>
          </w:p>
        </w:tc>
        <w:tc>
          <w:tcPr>
            <w:tcW w:w="392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060" w:type="dxa"/>
            <w:vAlign w:val="bottom"/>
          </w:tcPr>
          <w:p>
            <w:pPr>
              <w:spacing w:after="0"/>
              <w:rPr>
                <w:sz w:val="16"/>
                <w:szCs w:val="16"/>
                <w:color w:val="auto"/>
              </w:rPr>
            </w:pPr>
          </w:p>
        </w:tc>
        <w:tc>
          <w:tcPr>
            <w:tcW w:w="820" w:type="dxa"/>
            <w:vAlign w:val="bottom"/>
          </w:tcPr>
          <w:p>
            <w:pPr>
              <w:jc w:val="right"/>
              <w:ind w:right="50"/>
              <w:spacing w:after="0"/>
              <w:rPr>
                <w:sz w:val="20"/>
                <w:szCs w:val="20"/>
                <w:color w:val="auto"/>
              </w:rPr>
            </w:pPr>
            <w:r>
              <w:rPr>
                <w:rFonts w:ascii="Arial" w:cs="Arial" w:eastAsia="Arial" w:hAnsi="Arial"/>
                <w:sz w:val="14"/>
                <w:szCs w:val="14"/>
                <w:color w:val="auto"/>
                <w:w w:val="96"/>
              </w:rPr>
              <w:t>15,586,430</w:t>
            </w:r>
          </w:p>
        </w:tc>
      </w:tr>
      <w:tr>
        <w:trPr>
          <w:trHeight w:val="187"/>
        </w:trPr>
        <w:tc>
          <w:tcPr>
            <w:tcW w:w="5460" w:type="dxa"/>
            <w:vAlign w:val="bottom"/>
            <w:tcBorders>
              <w:bottom w:val="single" w:sz="8" w:color="7CBD3F"/>
            </w:tcBorders>
            <w:shd w:val="clear" w:color="auto" w:fill="F0F7E7"/>
          </w:tcPr>
          <w:p>
            <w:pPr>
              <w:ind w:left="40"/>
              <w:spacing w:after="0"/>
              <w:rPr>
                <w:sz w:val="20"/>
                <w:szCs w:val="20"/>
                <w:color w:val="auto"/>
              </w:rPr>
            </w:pPr>
            <w:r>
              <w:rPr>
                <w:rFonts w:ascii="Arial" w:cs="Arial" w:eastAsia="Arial" w:hAnsi="Arial"/>
                <w:sz w:val="14"/>
                <w:szCs w:val="14"/>
                <w:color w:val="auto"/>
              </w:rPr>
              <w:t>COBRA reimbursements</w:t>
            </w:r>
          </w:p>
        </w:tc>
        <w:tc>
          <w:tcPr>
            <w:tcW w:w="3920" w:type="dxa"/>
            <w:vAlign w:val="bottom"/>
            <w:tcBorders>
              <w:bottom w:val="single" w:sz="8" w:color="7CBD3F"/>
            </w:tcBorders>
            <w:shd w:val="clear" w:color="auto" w:fill="F0F7E7"/>
          </w:tcPr>
          <w:p>
            <w:pPr>
              <w:jc w:val="right"/>
              <w:ind w:right="150"/>
              <w:spacing w:after="0"/>
              <w:rPr>
                <w:sz w:val="20"/>
                <w:szCs w:val="20"/>
                <w:color w:val="auto"/>
              </w:rPr>
            </w:pPr>
            <w:r>
              <w:rPr>
                <w:rFonts w:ascii="Arial" w:cs="Arial" w:eastAsia="Arial" w:hAnsi="Arial"/>
                <w:sz w:val="14"/>
                <w:szCs w:val="14"/>
                <w:color w:val="auto"/>
              </w:rPr>
              <w:t>40,086</w:t>
            </w:r>
          </w:p>
        </w:tc>
        <w:tc>
          <w:tcPr>
            <w:tcW w:w="1060" w:type="dxa"/>
            <w:vAlign w:val="bottom"/>
            <w:tcBorders>
              <w:bottom w:val="single" w:sz="8" w:color="7CBD3F"/>
            </w:tcBorders>
            <w:shd w:val="clear" w:color="auto" w:fill="F0F7E7"/>
          </w:tcPr>
          <w:p>
            <w:pPr>
              <w:spacing w:after="0"/>
              <w:rPr>
                <w:sz w:val="16"/>
                <w:szCs w:val="16"/>
                <w:color w:val="auto"/>
              </w:rPr>
            </w:pPr>
          </w:p>
        </w:tc>
        <w:tc>
          <w:tcPr>
            <w:tcW w:w="820" w:type="dxa"/>
            <w:vAlign w:val="bottom"/>
            <w:tcBorders>
              <w:bottom w:val="single" w:sz="8" w:color="7CBD3F"/>
            </w:tcBorders>
            <w:shd w:val="clear" w:color="auto" w:fill="F0F7E7"/>
          </w:tcPr>
          <w:p>
            <w:pPr>
              <w:jc w:val="right"/>
              <w:ind w:right="50"/>
              <w:spacing w:after="0"/>
              <w:rPr>
                <w:sz w:val="20"/>
                <w:szCs w:val="20"/>
                <w:color w:val="auto"/>
              </w:rPr>
            </w:pPr>
            <w:r>
              <w:rPr>
                <w:rFonts w:ascii="Arial" w:cs="Arial" w:eastAsia="Arial" w:hAnsi="Arial"/>
                <w:sz w:val="14"/>
                <w:szCs w:val="14"/>
                <w:color w:val="auto"/>
              </w:rPr>
              <w:t>40,086</w:t>
            </w:r>
          </w:p>
        </w:tc>
      </w:tr>
      <w:tr>
        <w:trPr>
          <w:trHeight w:val="182"/>
        </w:trPr>
        <w:tc>
          <w:tcPr>
            <w:tcW w:w="5460" w:type="dxa"/>
            <w:vAlign w:val="bottom"/>
            <w:tcBorders>
              <w:bottom w:val="single" w:sz="8" w:color="7CBD3F"/>
            </w:tcBorders>
          </w:tcPr>
          <w:p>
            <w:pPr>
              <w:ind w:left="40"/>
              <w:spacing w:after="0"/>
              <w:rPr>
                <w:sz w:val="20"/>
                <w:szCs w:val="20"/>
                <w:color w:val="auto"/>
              </w:rPr>
            </w:pPr>
            <w:r>
              <w:rPr>
                <w:rFonts w:ascii="Arial" w:cs="Arial" w:eastAsia="Arial" w:hAnsi="Arial"/>
                <w:sz w:val="14"/>
                <w:szCs w:val="14"/>
                <w:b w:val="1"/>
                <w:bCs w:val="1"/>
                <w:color w:val="7CBD3F"/>
              </w:rPr>
              <w:t>TOTAL</w:t>
            </w:r>
          </w:p>
        </w:tc>
        <w:tc>
          <w:tcPr>
            <w:tcW w:w="3920" w:type="dxa"/>
            <w:vAlign w:val="bottom"/>
            <w:tcBorders>
              <w:bottom w:val="single" w:sz="8" w:color="7CBD3F"/>
            </w:tcBorders>
          </w:tcPr>
          <w:p>
            <w:pPr>
              <w:jc w:val="right"/>
              <w:ind w:right="150"/>
              <w:spacing w:after="0"/>
              <w:rPr>
                <w:sz w:val="20"/>
                <w:szCs w:val="20"/>
                <w:color w:val="auto"/>
              </w:rPr>
            </w:pPr>
            <w:r>
              <w:rPr>
                <w:rFonts w:ascii="Arial" w:cs="Arial" w:eastAsia="Arial" w:hAnsi="Arial"/>
                <w:sz w:val="14"/>
                <w:szCs w:val="14"/>
                <w:b w:val="1"/>
                <w:bCs w:val="1"/>
                <w:color w:val="7CBD3F"/>
              </w:rPr>
              <w:t>$2,450,886</w:t>
            </w:r>
          </w:p>
        </w:tc>
        <w:tc>
          <w:tcPr>
            <w:tcW w:w="1060" w:type="dxa"/>
            <w:vAlign w:val="bottom"/>
            <w:tcBorders>
              <w:bottom w:val="single" w:sz="8" w:color="7CBD3F"/>
            </w:tcBorders>
          </w:tcPr>
          <w:p>
            <w:pPr>
              <w:ind w:left="980"/>
              <w:spacing w:after="0"/>
              <w:rPr>
                <w:sz w:val="20"/>
                <w:szCs w:val="20"/>
                <w:color w:val="auto"/>
              </w:rPr>
            </w:pPr>
            <w:r>
              <w:rPr>
                <w:rFonts w:ascii="Arial" w:cs="Arial" w:eastAsia="Arial" w:hAnsi="Arial"/>
                <w:sz w:val="14"/>
                <w:szCs w:val="14"/>
                <w:b w:val="1"/>
                <w:bCs w:val="1"/>
                <w:color w:val="7CBD3F"/>
                <w:w w:val="76"/>
              </w:rPr>
              <w:t>$</w:t>
            </w:r>
          </w:p>
        </w:tc>
        <w:tc>
          <w:tcPr>
            <w:tcW w:w="820" w:type="dxa"/>
            <w:vAlign w:val="bottom"/>
            <w:tcBorders>
              <w:bottom w:val="single" w:sz="8" w:color="7CBD3F"/>
            </w:tcBorders>
          </w:tcPr>
          <w:p>
            <w:pPr>
              <w:jc w:val="right"/>
              <w:ind w:right="50"/>
              <w:spacing w:after="0"/>
              <w:rPr>
                <w:sz w:val="20"/>
                <w:szCs w:val="20"/>
                <w:color w:val="auto"/>
              </w:rPr>
            </w:pPr>
            <w:r>
              <w:rPr>
                <w:rFonts w:ascii="Arial" w:cs="Arial" w:eastAsia="Arial" w:hAnsi="Arial"/>
                <w:sz w:val="14"/>
                <w:szCs w:val="14"/>
                <w:b w:val="1"/>
                <w:bCs w:val="1"/>
                <w:color w:val="7CBD3F"/>
                <w:w w:val="96"/>
              </w:rPr>
              <w:t>18,726,116</w:t>
            </w:r>
          </w:p>
        </w:tc>
      </w:tr>
    </w:tbl>
    <w:p>
      <w:pPr>
        <w:spacing w:after="0" w:line="116"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221E1F"/>
        </w:rPr>
        <w:t xml:space="preserve">ULTRAGENYX PHARMACEUTICAL INC. </w:t>
      </w:r>
      <w:r>
        <w:rPr>
          <w:rFonts w:ascii="Arial" w:cs="Arial" w:eastAsia="Arial" w:hAnsi="Arial"/>
          <w:sz w:val="14"/>
          <w:szCs w:val="14"/>
          <w:color w:val="7BBD3E"/>
        </w:rPr>
        <w:t>•</w:t>
      </w:r>
      <w:r>
        <w:rPr>
          <w:rFonts w:ascii="Arial" w:cs="Arial" w:eastAsia="Arial" w:hAnsi="Arial"/>
          <w:sz w:val="14"/>
          <w:szCs w:val="14"/>
          <w:b w:val="1"/>
          <w:bCs w:val="1"/>
          <w:color w:val="221E1F"/>
        </w:rPr>
        <w:t xml:space="preserve"> </w:t>
      </w:r>
      <w:r>
        <w:rPr>
          <w:rFonts w:ascii="Arial" w:cs="Arial" w:eastAsia="Arial" w:hAnsi="Arial"/>
          <w:sz w:val="14"/>
          <w:szCs w:val="14"/>
          <w:color w:val="221E1F"/>
        </w:rPr>
        <w:t>2025 Proxy Statement</w:t>
      </w:r>
      <w:r>
        <w:rPr>
          <w:rFonts w:ascii="Arial" w:cs="Arial" w:eastAsia="Arial" w:hAnsi="Arial"/>
          <w:sz w:val="14"/>
          <w:szCs w:val="14"/>
          <w:b w:val="1"/>
          <w:bCs w:val="1"/>
          <w:color w:val="221E1F"/>
        </w:rPr>
        <w:tab/>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150735"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0735" cy="29845"/>
                    </a:xfrm>
                    <a:prstGeom prst="rect">
                      <a:avLst/>
                    </a:prstGeom>
                    <a:noFill/>
                  </pic:spPr>
                </pic:pic>
              </a:graphicData>
            </a:graphic>
          </wp:anchor>
        </w:drawing>
      </w:r>
    </w:p>
    <w:p>
      <w:pPr>
        <w:sectPr>
          <w:pgSz w:w="11900" w:h="16838" w:orient="portrait"/>
          <w:cols w:equalWidth="0" w:num="1">
            <w:col w:w="11267"/>
          </w:cols>
          <w:pgMar w:left="313" w:top="223" w:right="319" w:bottom="1440" w:gutter="0" w:footer="0" w:header="0"/>
        </w:sectPr>
      </w:pPr>
    </w:p>
    <w:bookmarkStart w:id="61" w:name="page62"/>
    <w:bookmarkEnd w:id="61"/>
    <w:p>
      <w:pPr>
        <w:spacing w:after="0"/>
        <w:rPr>
          <w:sz w:val="20"/>
          <w:szCs w:val="20"/>
          <w:color w:val="auto"/>
        </w:rPr>
      </w:pPr>
      <w:r>
        <w:rPr>
          <w:rFonts w:ascii="Arial" w:cs="Arial" w:eastAsia="Arial" w:hAnsi="Arial"/>
          <w:sz w:val="12"/>
          <w:szCs w:val="12"/>
          <w:b w:val="1"/>
          <w:bCs w:val="1"/>
          <w:u w:val="single" w:color="auto"/>
          <w:color w:val="0000EE"/>
        </w:rPr>
        <w:t>Back to Contents</w:t>
      </w:r>
    </w:p>
    <w:p>
      <w:pPr>
        <w:spacing w:after="0" w:line="138" w:lineRule="exact"/>
        <w:rPr>
          <w:sz w:val="20"/>
          <w:szCs w:val="20"/>
          <w:color w:val="auto"/>
        </w:rPr>
      </w:pPr>
    </w:p>
    <w:p>
      <w:pPr>
        <w:spacing w:after="0"/>
        <w:rPr>
          <w:sz w:val="20"/>
          <w:szCs w:val="20"/>
          <w:color w:val="auto"/>
        </w:rPr>
      </w:pPr>
      <w:r>
        <w:rPr>
          <w:rFonts w:ascii="Arial" w:cs="Arial" w:eastAsia="Arial" w:hAnsi="Arial"/>
          <w:sz w:val="19"/>
          <w:szCs w:val="19"/>
          <w:b w:val="1"/>
          <w:bCs w:val="1"/>
          <w:color w:val="7CBD3F"/>
        </w:rPr>
        <w:t>Howard Horn</w:t>
      </w:r>
    </w:p>
    <w:p>
      <w:pPr>
        <w:spacing w:after="0" w:line="212"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The following table describes the potential payments upon employment termination for Howard Horn, our Chief Financial Officer, Corporate Strategy and Executive Vice President, as if his employment terminated as of December 31, 2024, the last business day of the fiscal year. Qualifying termination includes a termination by the Company without cause or a resignation by Mr. Horn due to a constructive termination.</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564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660" w:type="dxa"/>
            <w:vAlign w:val="bottom"/>
            <w:gridSpan w:val="2"/>
          </w:tcPr>
          <w:p>
            <w:pPr>
              <w:jc w:val="right"/>
              <w:spacing w:after="0"/>
              <w:rPr>
                <w:sz w:val="20"/>
                <w:szCs w:val="20"/>
                <w:color w:val="auto"/>
              </w:rPr>
            </w:pPr>
            <w:r>
              <w:rPr>
                <w:rFonts w:ascii="Arial" w:cs="Arial" w:eastAsia="Arial" w:hAnsi="Arial"/>
                <w:sz w:val="14"/>
                <w:szCs w:val="14"/>
                <w:b w:val="1"/>
                <w:bCs w:val="1"/>
                <w:color w:val="auto"/>
              </w:rPr>
              <w:t>Qualifying Termination</w:t>
            </w:r>
          </w:p>
        </w:tc>
      </w:tr>
      <w:tr>
        <w:trPr>
          <w:trHeight w:val="163"/>
        </w:trPr>
        <w:tc>
          <w:tcPr>
            <w:tcW w:w="5640" w:type="dxa"/>
            <w:vAlign w:val="bottom"/>
          </w:tcPr>
          <w:p>
            <w:pPr>
              <w:ind w:left="40"/>
              <w:spacing w:after="0"/>
              <w:rPr>
                <w:sz w:val="20"/>
                <w:szCs w:val="20"/>
                <w:color w:val="auto"/>
              </w:rPr>
            </w:pPr>
            <w:r>
              <w:rPr>
                <w:rFonts w:ascii="Arial" w:cs="Arial" w:eastAsia="Arial" w:hAnsi="Arial"/>
                <w:sz w:val="14"/>
                <w:szCs w:val="14"/>
                <w:b w:val="1"/>
                <w:bCs w:val="1"/>
                <w:color w:val="auto"/>
              </w:rPr>
              <w:t>Potential Payments Upon Termination</w:t>
            </w:r>
          </w:p>
        </w:tc>
        <w:tc>
          <w:tcPr>
            <w:tcW w:w="3960" w:type="dxa"/>
            <w:vAlign w:val="bottom"/>
          </w:tcPr>
          <w:p>
            <w:pPr>
              <w:jc w:val="right"/>
              <w:ind w:right="30"/>
              <w:spacing w:after="0"/>
              <w:rPr>
                <w:sz w:val="20"/>
                <w:szCs w:val="20"/>
                <w:color w:val="auto"/>
              </w:rPr>
            </w:pPr>
            <w:r>
              <w:rPr>
                <w:rFonts w:ascii="Arial" w:cs="Arial" w:eastAsia="Arial" w:hAnsi="Arial"/>
                <w:sz w:val="14"/>
                <w:szCs w:val="14"/>
                <w:b w:val="1"/>
                <w:bCs w:val="1"/>
                <w:color w:val="auto"/>
              </w:rPr>
              <w:t>Qualifying</w:t>
            </w:r>
          </w:p>
        </w:tc>
        <w:tc>
          <w:tcPr>
            <w:tcW w:w="1660" w:type="dxa"/>
            <w:vAlign w:val="bottom"/>
            <w:gridSpan w:val="2"/>
          </w:tcPr>
          <w:p>
            <w:pPr>
              <w:jc w:val="right"/>
              <w:spacing w:after="0"/>
              <w:rPr>
                <w:sz w:val="20"/>
                <w:szCs w:val="20"/>
                <w:color w:val="auto"/>
              </w:rPr>
            </w:pPr>
            <w:r>
              <w:rPr>
                <w:rFonts w:ascii="Arial" w:cs="Arial" w:eastAsia="Arial" w:hAnsi="Arial"/>
                <w:sz w:val="14"/>
                <w:szCs w:val="14"/>
                <w:b w:val="1"/>
                <w:bCs w:val="1"/>
                <w:color w:val="auto"/>
              </w:rPr>
              <w:t>following a Covered</w:t>
            </w:r>
          </w:p>
        </w:tc>
      </w:tr>
      <w:tr>
        <w:trPr>
          <w:trHeight w:val="179"/>
        </w:trPr>
        <w:tc>
          <w:tcPr>
            <w:tcW w:w="5640" w:type="dxa"/>
            <w:vAlign w:val="bottom"/>
            <w:tcBorders>
              <w:bottom w:val="single" w:sz="8" w:color="7CBD3F"/>
            </w:tcBorders>
          </w:tcPr>
          <w:p>
            <w:pPr>
              <w:ind w:left="40"/>
              <w:spacing w:after="0"/>
              <w:rPr>
                <w:sz w:val="20"/>
                <w:szCs w:val="20"/>
                <w:color w:val="auto"/>
              </w:rPr>
            </w:pPr>
            <w:r>
              <w:rPr>
                <w:rFonts w:ascii="Arial" w:cs="Arial" w:eastAsia="Arial" w:hAnsi="Arial"/>
                <w:sz w:val="14"/>
                <w:szCs w:val="14"/>
                <w:b w:val="1"/>
                <w:bCs w:val="1"/>
                <w:color w:val="auto"/>
              </w:rPr>
              <w:t>or Change of Control</w:t>
            </w:r>
          </w:p>
        </w:tc>
        <w:tc>
          <w:tcPr>
            <w:tcW w:w="3960" w:type="dxa"/>
            <w:vAlign w:val="bottom"/>
            <w:tcBorders>
              <w:bottom w:val="single" w:sz="8" w:color="7CBD3F"/>
            </w:tcBorders>
          </w:tcPr>
          <w:p>
            <w:pPr>
              <w:jc w:val="right"/>
              <w:ind w:right="30"/>
              <w:spacing w:after="0"/>
              <w:rPr>
                <w:sz w:val="20"/>
                <w:szCs w:val="20"/>
                <w:color w:val="auto"/>
              </w:rPr>
            </w:pPr>
            <w:r>
              <w:rPr>
                <w:rFonts w:ascii="Arial" w:cs="Arial" w:eastAsia="Arial" w:hAnsi="Arial"/>
                <w:sz w:val="14"/>
                <w:szCs w:val="14"/>
                <w:b w:val="1"/>
                <w:bCs w:val="1"/>
                <w:color w:val="auto"/>
              </w:rPr>
              <w:t>Termination</w:t>
            </w:r>
          </w:p>
        </w:tc>
        <w:tc>
          <w:tcPr>
            <w:tcW w:w="820" w:type="dxa"/>
            <w:vAlign w:val="bottom"/>
            <w:tcBorders>
              <w:bottom w:val="single" w:sz="8" w:color="7CBD3F"/>
            </w:tcBorders>
          </w:tcPr>
          <w:p>
            <w:pPr>
              <w:spacing w:after="0"/>
              <w:rPr>
                <w:sz w:val="15"/>
                <w:szCs w:val="15"/>
                <w:color w:val="auto"/>
              </w:rPr>
            </w:pPr>
          </w:p>
        </w:tc>
        <w:tc>
          <w:tcPr>
            <w:tcW w:w="840" w:type="dxa"/>
            <w:vAlign w:val="bottom"/>
            <w:tcBorders>
              <w:bottom w:val="single" w:sz="8" w:color="7CBD3F"/>
            </w:tcBorders>
          </w:tcPr>
          <w:p>
            <w:pPr>
              <w:jc w:val="right"/>
              <w:spacing w:after="0"/>
              <w:rPr>
                <w:sz w:val="20"/>
                <w:szCs w:val="20"/>
                <w:color w:val="auto"/>
              </w:rPr>
            </w:pPr>
            <w:r>
              <w:rPr>
                <w:rFonts w:ascii="Arial" w:cs="Arial" w:eastAsia="Arial" w:hAnsi="Arial"/>
                <w:sz w:val="14"/>
                <w:szCs w:val="14"/>
                <w:b w:val="1"/>
                <w:bCs w:val="1"/>
                <w:color w:val="auto"/>
                <w:w w:val="95"/>
              </w:rPr>
              <w:t>Transaction</w:t>
            </w:r>
          </w:p>
        </w:tc>
      </w:tr>
      <w:tr>
        <w:trPr>
          <w:trHeight w:val="163"/>
        </w:trPr>
        <w:tc>
          <w:tcPr>
            <w:tcW w:w="5640" w:type="dxa"/>
            <w:vAlign w:val="bottom"/>
          </w:tcPr>
          <w:p>
            <w:pPr>
              <w:ind w:left="40"/>
              <w:spacing w:after="0"/>
              <w:rPr>
                <w:sz w:val="20"/>
                <w:szCs w:val="20"/>
                <w:color w:val="auto"/>
              </w:rPr>
            </w:pPr>
            <w:r>
              <w:rPr>
                <w:rFonts w:ascii="Arial" w:cs="Arial" w:eastAsia="Arial" w:hAnsi="Arial"/>
                <w:sz w:val="14"/>
                <w:szCs w:val="14"/>
                <w:color w:val="auto"/>
              </w:rPr>
              <w:t>Base Salary</w:t>
            </w:r>
          </w:p>
        </w:tc>
        <w:tc>
          <w:tcPr>
            <w:tcW w:w="3960" w:type="dxa"/>
            <w:vAlign w:val="bottom"/>
          </w:tcPr>
          <w:p>
            <w:pPr>
              <w:jc w:val="right"/>
              <w:ind w:right="30"/>
              <w:spacing w:after="0"/>
              <w:rPr>
                <w:sz w:val="20"/>
                <w:szCs w:val="20"/>
                <w:color w:val="auto"/>
              </w:rPr>
            </w:pPr>
            <w:r>
              <w:rPr>
                <w:rFonts w:ascii="Arial" w:cs="Arial" w:eastAsia="Arial" w:hAnsi="Arial"/>
                <w:sz w:val="14"/>
                <w:szCs w:val="14"/>
                <w:color w:val="auto"/>
              </w:rPr>
              <w:t>$590,000</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885,000</w:t>
            </w:r>
          </w:p>
        </w:tc>
      </w:tr>
      <w:tr>
        <w:trPr>
          <w:trHeight w:val="163"/>
        </w:trPr>
        <w:tc>
          <w:tcPr>
            <w:tcW w:w="5640" w:type="dxa"/>
            <w:vAlign w:val="bottom"/>
            <w:shd w:val="clear" w:color="auto" w:fill="F0F7E7"/>
          </w:tcPr>
          <w:p>
            <w:pPr>
              <w:ind w:left="40"/>
              <w:spacing w:after="0"/>
              <w:rPr>
                <w:sz w:val="20"/>
                <w:szCs w:val="20"/>
                <w:color w:val="auto"/>
              </w:rPr>
            </w:pPr>
            <w:r>
              <w:rPr>
                <w:rFonts w:ascii="Arial" w:cs="Arial" w:eastAsia="Arial" w:hAnsi="Arial"/>
                <w:sz w:val="14"/>
                <w:szCs w:val="14"/>
                <w:color w:val="auto"/>
              </w:rPr>
              <w:t>Bonus</w:t>
            </w:r>
          </w:p>
        </w:tc>
        <w:tc>
          <w:tcPr>
            <w:tcW w:w="3960" w:type="dxa"/>
            <w:vAlign w:val="bottom"/>
            <w:shd w:val="clear" w:color="auto" w:fill="F0F7E7"/>
          </w:tcPr>
          <w:p>
            <w:pPr>
              <w:jc w:val="right"/>
              <w:ind w:right="30"/>
              <w:spacing w:after="0"/>
              <w:rPr>
                <w:sz w:val="20"/>
                <w:szCs w:val="20"/>
                <w:color w:val="auto"/>
              </w:rPr>
            </w:pPr>
            <w:r>
              <w:rPr>
                <w:rFonts w:ascii="Arial" w:cs="Arial" w:eastAsia="Arial" w:hAnsi="Arial"/>
                <w:sz w:val="14"/>
                <w:szCs w:val="14"/>
                <w:color w:val="auto"/>
              </w:rPr>
              <w:t>295,000</w:t>
            </w:r>
          </w:p>
        </w:tc>
        <w:tc>
          <w:tcPr>
            <w:tcW w:w="820" w:type="dxa"/>
            <w:vAlign w:val="bottom"/>
            <w:shd w:val="clear" w:color="auto" w:fill="F0F7E7"/>
          </w:tcPr>
          <w:p>
            <w:pPr>
              <w:spacing w:after="0"/>
              <w:rPr>
                <w:sz w:val="14"/>
                <w:szCs w:val="14"/>
                <w:color w:val="auto"/>
              </w:rPr>
            </w:pPr>
          </w:p>
        </w:tc>
        <w:tc>
          <w:tcPr>
            <w:tcW w:w="840" w:type="dxa"/>
            <w:vAlign w:val="bottom"/>
            <w:shd w:val="clear" w:color="auto" w:fill="F0F7E7"/>
          </w:tcPr>
          <w:p>
            <w:pPr>
              <w:jc w:val="right"/>
              <w:spacing w:after="0"/>
              <w:rPr>
                <w:sz w:val="20"/>
                <w:szCs w:val="20"/>
                <w:color w:val="auto"/>
              </w:rPr>
            </w:pPr>
            <w:r>
              <w:rPr>
                <w:rFonts w:ascii="Arial" w:cs="Arial" w:eastAsia="Arial" w:hAnsi="Arial"/>
                <w:sz w:val="14"/>
                <w:szCs w:val="14"/>
                <w:color w:val="auto"/>
              </w:rPr>
              <w:t>442,500</w:t>
            </w:r>
          </w:p>
        </w:tc>
      </w:tr>
      <w:tr>
        <w:trPr>
          <w:trHeight w:val="163"/>
        </w:trPr>
        <w:tc>
          <w:tcPr>
            <w:tcW w:w="5640" w:type="dxa"/>
            <w:vAlign w:val="bottom"/>
          </w:tcPr>
          <w:p>
            <w:pPr>
              <w:ind w:left="40"/>
              <w:spacing w:after="0"/>
              <w:rPr>
                <w:sz w:val="20"/>
                <w:szCs w:val="20"/>
                <w:color w:val="auto"/>
              </w:rPr>
            </w:pPr>
            <w:r>
              <w:rPr>
                <w:rFonts w:ascii="Arial" w:cs="Arial" w:eastAsia="Arial" w:hAnsi="Arial"/>
                <w:sz w:val="14"/>
                <w:szCs w:val="14"/>
                <w:color w:val="auto"/>
              </w:rPr>
              <w:t>Acceleration of equity awards</w:t>
            </w:r>
          </w:p>
        </w:tc>
        <w:tc>
          <w:tcPr>
            <w:tcW w:w="396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8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4,803,835</w:t>
            </w:r>
          </w:p>
        </w:tc>
      </w:tr>
      <w:tr>
        <w:trPr>
          <w:trHeight w:val="163"/>
        </w:trPr>
        <w:tc>
          <w:tcPr>
            <w:tcW w:w="5640" w:type="dxa"/>
            <w:vAlign w:val="bottom"/>
            <w:tcBorders>
              <w:bottom w:val="single" w:sz="8" w:color="7CBD3F"/>
            </w:tcBorders>
            <w:shd w:val="clear" w:color="auto" w:fill="F0F7E7"/>
          </w:tcPr>
          <w:p>
            <w:pPr>
              <w:ind w:left="40"/>
              <w:spacing w:after="0"/>
              <w:rPr>
                <w:sz w:val="20"/>
                <w:szCs w:val="20"/>
                <w:color w:val="auto"/>
              </w:rPr>
            </w:pPr>
            <w:r>
              <w:rPr>
                <w:rFonts w:ascii="Arial" w:cs="Arial" w:eastAsia="Arial" w:hAnsi="Arial"/>
                <w:sz w:val="14"/>
                <w:szCs w:val="14"/>
                <w:color w:val="auto"/>
              </w:rPr>
              <w:t>COBRA reimbursements</w:t>
            </w:r>
          </w:p>
        </w:tc>
        <w:tc>
          <w:tcPr>
            <w:tcW w:w="3960" w:type="dxa"/>
            <w:vAlign w:val="bottom"/>
            <w:tcBorders>
              <w:bottom w:val="single" w:sz="8" w:color="7CBD3F"/>
            </w:tcBorders>
            <w:shd w:val="clear" w:color="auto" w:fill="F0F7E7"/>
          </w:tcPr>
          <w:p>
            <w:pPr>
              <w:jc w:val="right"/>
              <w:ind w:right="30"/>
              <w:spacing w:after="0"/>
              <w:rPr>
                <w:sz w:val="20"/>
                <w:szCs w:val="20"/>
                <w:color w:val="auto"/>
              </w:rPr>
            </w:pPr>
            <w:r>
              <w:rPr>
                <w:rFonts w:ascii="Arial" w:cs="Arial" w:eastAsia="Arial" w:hAnsi="Arial"/>
                <w:sz w:val="14"/>
                <w:szCs w:val="14"/>
                <w:color w:val="auto"/>
              </w:rPr>
              <w:t>26,378</w:t>
            </w:r>
          </w:p>
        </w:tc>
        <w:tc>
          <w:tcPr>
            <w:tcW w:w="820" w:type="dxa"/>
            <w:vAlign w:val="bottom"/>
            <w:tcBorders>
              <w:bottom w:val="single" w:sz="8" w:color="7CBD3F"/>
            </w:tcBorders>
            <w:shd w:val="clear" w:color="auto" w:fill="F0F7E7"/>
          </w:tcPr>
          <w:p>
            <w:pPr>
              <w:spacing w:after="0"/>
              <w:rPr>
                <w:sz w:val="14"/>
                <w:szCs w:val="14"/>
                <w:color w:val="auto"/>
              </w:rPr>
            </w:pPr>
          </w:p>
        </w:tc>
        <w:tc>
          <w:tcPr>
            <w:tcW w:w="840" w:type="dxa"/>
            <w:vAlign w:val="bottom"/>
            <w:tcBorders>
              <w:bottom w:val="single" w:sz="8" w:color="7CBD3F"/>
            </w:tcBorders>
            <w:shd w:val="clear" w:color="auto" w:fill="F0F7E7"/>
          </w:tcPr>
          <w:p>
            <w:pPr>
              <w:jc w:val="right"/>
              <w:spacing w:after="0"/>
              <w:rPr>
                <w:sz w:val="20"/>
                <w:szCs w:val="20"/>
                <w:color w:val="auto"/>
              </w:rPr>
            </w:pPr>
            <w:r>
              <w:rPr>
                <w:rFonts w:ascii="Arial" w:cs="Arial" w:eastAsia="Arial" w:hAnsi="Arial"/>
                <w:sz w:val="14"/>
                <w:szCs w:val="14"/>
                <w:color w:val="auto"/>
              </w:rPr>
              <w:t>39,567</w:t>
            </w:r>
          </w:p>
        </w:tc>
      </w:tr>
      <w:tr>
        <w:trPr>
          <w:trHeight w:val="158"/>
        </w:trPr>
        <w:tc>
          <w:tcPr>
            <w:tcW w:w="5640" w:type="dxa"/>
            <w:vAlign w:val="bottom"/>
            <w:tcBorders>
              <w:bottom w:val="single" w:sz="8" w:color="7CBD3F"/>
            </w:tcBorders>
          </w:tcPr>
          <w:p>
            <w:pPr>
              <w:ind w:left="40"/>
              <w:spacing w:after="0" w:line="155" w:lineRule="exact"/>
              <w:rPr>
                <w:sz w:val="20"/>
                <w:szCs w:val="20"/>
                <w:color w:val="auto"/>
              </w:rPr>
            </w:pPr>
            <w:r>
              <w:rPr>
                <w:rFonts w:ascii="Arial" w:cs="Arial" w:eastAsia="Arial" w:hAnsi="Arial"/>
                <w:sz w:val="14"/>
                <w:szCs w:val="14"/>
                <w:b w:val="1"/>
                <w:bCs w:val="1"/>
                <w:color w:val="7CBD3F"/>
              </w:rPr>
              <w:t>TOTAL</w:t>
            </w:r>
          </w:p>
        </w:tc>
        <w:tc>
          <w:tcPr>
            <w:tcW w:w="3960" w:type="dxa"/>
            <w:vAlign w:val="bottom"/>
            <w:tcBorders>
              <w:bottom w:val="single" w:sz="8" w:color="7CBD3F"/>
            </w:tcBorders>
          </w:tcPr>
          <w:p>
            <w:pPr>
              <w:jc w:val="right"/>
              <w:ind w:right="30"/>
              <w:spacing w:after="0" w:line="155" w:lineRule="exact"/>
              <w:rPr>
                <w:sz w:val="20"/>
                <w:szCs w:val="20"/>
                <w:color w:val="auto"/>
              </w:rPr>
            </w:pPr>
            <w:r>
              <w:rPr>
                <w:rFonts w:ascii="Arial" w:cs="Arial" w:eastAsia="Arial" w:hAnsi="Arial"/>
                <w:sz w:val="14"/>
                <w:szCs w:val="14"/>
                <w:b w:val="1"/>
                <w:bCs w:val="1"/>
                <w:color w:val="7CBD3F"/>
              </w:rPr>
              <w:t>$911,378</w:t>
            </w:r>
          </w:p>
        </w:tc>
        <w:tc>
          <w:tcPr>
            <w:tcW w:w="820" w:type="dxa"/>
            <w:vAlign w:val="bottom"/>
            <w:tcBorders>
              <w:bottom w:val="single" w:sz="8" w:color="7CBD3F"/>
            </w:tcBorders>
          </w:tcPr>
          <w:p>
            <w:pPr>
              <w:jc w:val="right"/>
              <w:spacing w:after="0" w:line="155" w:lineRule="exact"/>
              <w:rPr>
                <w:sz w:val="20"/>
                <w:szCs w:val="20"/>
                <w:color w:val="auto"/>
              </w:rPr>
            </w:pPr>
            <w:r>
              <w:rPr>
                <w:rFonts w:ascii="Arial" w:cs="Arial" w:eastAsia="Arial" w:hAnsi="Arial"/>
                <w:sz w:val="14"/>
                <w:szCs w:val="14"/>
                <w:b w:val="1"/>
                <w:bCs w:val="1"/>
                <w:color w:val="7CBD3F"/>
              </w:rPr>
              <w:t>$</w:t>
            </w:r>
          </w:p>
        </w:tc>
        <w:tc>
          <w:tcPr>
            <w:tcW w:w="840" w:type="dxa"/>
            <w:vAlign w:val="bottom"/>
            <w:tcBorders>
              <w:bottom w:val="single" w:sz="8" w:color="7CBD3F"/>
            </w:tcBorders>
          </w:tcPr>
          <w:p>
            <w:pPr>
              <w:jc w:val="right"/>
              <w:spacing w:after="0" w:line="155" w:lineRule="exact"/>
              <w:rPr>
                <w:sz w:val="20"/>
                <w:szCs w:val="20"/>
                <w:color w:val="auto"/>
              </w:rPr>
            </w:pPr>
            <w:r>
              <w:rPr>
                <w:rFonts w:ascii="Arial" w:cs="Arial" w:eastAsia="Arial" w:hAnsi="Arial"/>
                <w:sz w:val="14"/>
                <w:szCs w:val="14"/>
                <w:b w:val="1"/>
                <w:bCs w:val="1"/>
                <w:color w:val="7CBD3F"/>
              </w:rPr>
              <w:t>6,170,902</w:t>
            </w:r>
          </w:p>
        </w:tc>
      </w:tr>
    </w:tbl>
    <w:p>
      <w:pPr>
        <w:spacing w:after="0" w:line="233" w:lineRule="exact"/>
        <w:rPr>
          <w:sz w:val="20"/>
          <w:szCs w:val="20"/>
          <w:color w:val="auto"/>
        </w:rPr>
      </w:pPr>
    </w:p>
    <w:p>
      <w:pPr>
        <w:spacing w:after="0"/>
        <w:rPr>
          <w:sz w:val="20"/>
          <w:szCs w:val="20"/>
          <w:color w:val="auto"/>
        </w:rPr>
      </w:pPr>
      <w:r>
        <w:rPr>
          <w:rFonts w:ascii="Arial" w:cs="Arial" w:eastAsia="Arial" w:hAnsi="Arial"/>
          <w:sz w:val="19"/>
          <w:szCs w:val="19"/>
          <w:b w:val="1"/>
          <w:bCs w:val="1"/>
          <w:color w:val="7CBD3F"/>
        </w:rPr>
        <w:t>Erik Harris</w:t>
      </w:r>
    </w:p>
    <w:p>
      <w:pPr>
        <w:spacing w:after="0" w:line="212"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The following table describes the potential payments upon employment termination for Erik Harris, our Chief Commercial Officer and Executive Vice President as if his employment terminated as of December 31, 2024, the last business day of the fiscal year. Qualifying termination includes a termination by the Company without cause or a resignation by Mr. Harris due to a constructive termination.</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564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660" w:type="dxa"/>
            <w:vAlign w:val="bottom"/>
            <w:gridSpan w:val="2"/>
          </w:tcPr>
          <w:p>
            <w:pPr>
              <w:jc w:val="right"/>
              <w:spacing w:after="0"/>
              <w:rPr>
                <w:sz w:val="20"/>
                <w:szCs w:val="20"/>
                <w:color w:val="auto"/>
              </w:rPr>
            </w:pPr>
            <w:r>
              <w:rPr>
                <w:rFonts w:ascii="Arial" w:cs="Arial" w:eastAsia="Arial" w:hAnsi="Arial"/>
                <w:sz w:val="14"/>
                <w:szCs w:val="14"/>
                <w:b w:val="1"/>
                <w:bCs w:val="1"/>
                <w:color w:val="auto"/>
              </w:rPr>
              <w:t>Qualifying Termination</w:t>
            </w:r>
          </w:p>
        </w:tc>
      </w:tr>
      <w:tr>
        <w:trPr>
          <w:trHeight w:val="163"/>
        </w:trPr>
        <w:tc>
          <w:tcPr>
            <w:tcW w:w="5640" w:type="dxa"/>
            <w:vAlign w:val="bottom"/>
          </w:tcPr>
          <w:p>
            <w:pPr>
              <w:ind w:left="40"/>
              <w:spacing w:after="0"/>
              <w:rPr>
                <w:sz w:val="20"/>
                <w:szCs w:val="20"/>
                <w:color w:val="auto"/>
              </w:rPr>
            </w:pPr>
            <w:r>
              <w:rPr>
                <w:rFonts w:ascii="Arial" w:cs="Arial" w:eastAsia="Arial" w:hAnsi="Arial"/>
                <w:sz w:val="14"/>
                <w:szCs w:val="14"/>
                <w:b w:val="1"/>
                <w:bCs w:val="1"/>
                <w:color w:val="auto"/>
              </w:rPr>
              <w:t>Potential Payments Upon Termination</w:t>
            </w:r>
          </w:p>
        </w:tc>
        <w:tc>
          <w:tcPr>
            <w:tcW w:w="3960" w:type="dxa"/>
            <w:vAlign w:val="bottom"/>
          </w:tcPr>
          <w:p>
            <w:pPr>
              <w:jc w:val="right"/>
              <w:ind w:right="30"/>
              <w:spacing w:after="0"/>
              <w:rPr>
                <w:sz w:val="20"/>
                <w:szCs w:val="20"/>
                <w:color w:val="auto"/>
              </w:rPr>
            </w:pPr>
            <w:r>
              <w:rPr>
                <w:rFonts w:ascii="Arial" w:cs="Arial" w:eastAsia="Arial" w:hAnsi="Arial"/>
                <w:sz w:val="14"/>
                <w:szCs w:val="14"/>
                <w:b w:val="1"/>
                <w:bCs w:val="1"/>
                <w:color w:val="auto"/>
              </w:rPr>
              <w:t>Qualifying</w:t>
            </w:r>
          </w:p>
        </w:tc>
        <w:tc>
          <w:tcPr>
            <w:tcW w:w="1660" w:type="dxa"/>
            <w:vAlign w:val="bottom"/>
            <w:gridSpan w:val="2"/>
          </w:tcPr>
          <w:p>
            <w:pPr>
              <w:jc w:val="right"/>
              <w:spacing w:after="0"/>
              <w:rPr>
                <w:sz w:val="20"/>
                <w:szCs w:val="20"/>
                <w:color w:val="auto"/>
              </w:rPr>
            </w:pPr>
            <w:r>
              <w:rPr>
                <w:rFonts w:ascii="Arial" w:cs="Arial" w:eastAsia="Arial" w:hAnsi="Arial"/>
                <w:sz w:val="14"/>
                <w:szCs w:val="14"/>
                <w:b w:val="1"/>
                <w:bCs w:val="1"/>
                <w:color w:val="auto"/>
              </w:rPr>
              <w:t>following a Covered</w:t>
            </w:r>
          </w:p>
        </w:tc>
      </w:tr>
      <w:tr>
        <w:trPr>
          <w:trHeight w:val="179"/>
        </w:trPr>
        <w:tc>
          <w:tcPr>
            <w:tcW w:w="5640" w:type="dxa"/>
            <w:vAlign w:val="bottom"/>
            <w:tcBorders>
              <w:bottom w:val="single" w:sz="8" w:color="7CBD3F"/>
            </w:tcBorders>
          </w:tcPr>
          <w:p>
            <w:pPr>
              <w:ind w:left="40"/>
              <w:spacing w:after="0"/>
              <w:rPr>
                <w:sz w:val="20"/>
                <w:szCs w:val="20"/>
                <w:color w:val="auto"/>
              </w:rPr>
            </w:pPr>
            <w:r>
              <w:rPr>
                <w:rFonts w:ascii="Arial" w:cs="Arial" w:eastAsia="Arial" w:hAnsi="Arial"/>
                <w:sz w:val="14"/>
                <w:szCs w:val="14"/>
                <w:b w:val="1"/>
                <w:bCs w:val="1"/>
                <w:color w:val="auto"/>
              </w:rPr>
              <w:t>or Change of Control</w:t>
            </w:r>
          </w:p>
        </w:tc>
        <w:tc>
          <w:tcPr>
            <w:tcW w:w="3960" w:type="dxa"/>
            <w:vAlign w:val="bottom"/>
            <w:tcBorders>
              <w:bottom w:val="single" w:sz="8" w:color="7CBD3F"/>
            </w:tcBorders>
          </w:tcPr>
          <w:p>
            <w:pPr>
              <w:jc w:val="right"/>
              <w:ind w:right="30"/>
              <w:spacing w:after="0"/>
              <w:rPr>
                <w:sz w:val="20"/>
                <w:szCs w:val="20"/>
                <w:color w:val="auto"/>
              </w:rPr>
            </w:pPr>
            <w:r>
              <w:rPr>
                <w:rFonts w:ascii="Arial" w:cs="Arial" w:eastAsia="Arial" w:hAnsi="Arial"/>
                <w:sz w:val="14"/>
                <w:szCs w:val="14"/>
                <w:b w:val="1"/>
                <w:bCs w:val="1"/>
                <w:color w:val="auto"/>
              </w:rPr>
              <w:t>Termination</w:t>
            </w:r>
          </w:p>
        </w:tc>
        <w:tc>
          <w:tcPr>
            <w:tcW w:w="820" w:type="dxa"/>
            <w:vAlign w:val="bottom"/>
            <w:tcBorders>
              <w:bottom w:val="single" w:sz="8" w:color="7CBD3F"/>
            </w:tcBorders>
          </w:tcPr>
          <w:p>
            <w:pPr>
              <w:spacing w:after="0"/>
              <w:rPr>
                <w:sz w:val="15"/>
                <w:szCs w:val="15"/>
                <w:color w:val="auto"/>
              </w:rPr>
            </w:pPr>
          </w:p>
        </w:tc>
        <w:tc>
          <w:tcPr>
            <w:tcW w:w="840" w:type="dxa"/>
            <w:vAlign w:val="bottom"/>
            <w:tcBorders>
              <w:bottom w:val="single" w:sz="8" w:color="7CBD3F"/>
            </w:tcBorders>
          </w:tcPr>
          <w:p>
            <w:pPr>
              <w:jc w:val="right"/>
              <w:spacing w:after="0"/>
              <w:rPr>
                <w:sz w:val="20"/>
                <w:szCs w:val="20"/>
                <w:color w:val="auto"/>
              </w:rPr>
            </w:pPr>
            <w:r>
              <w:rPr>
                <w:rFonts w:ascii="Arial" w:cs="Arial" w:eastAsia="Arial" w:hAnsi="Arial"/>
                <w:sz w:val="14"/>
                <w:szCs w:val="14"/>
                <w:b w:val="1"/>
                <w:bCs w:val="1"/>
                <w:color w:val="auto"/>
                <w:w w:val="95"/>
              </w:rPr>
              <w:t>Transaction</w:t>
            </w:r>
          </w:p>
        </w:tc>
      </w:tr>
      <w:tr>
        <w:trPr>
          <w:trHeight w:val="163"/>
        </w:trPr>
        <w:tc>
          <w:tcPr>
            <w:tcW w:w="5640" w:type="dxa"/>
            <w:vAlign w:val="bottom"/>
          </w:tcPr>
          <w:p>
            <w:pPr>
              <w:ind w:left="40"/>
              <w:spacing w:after="0"/>
              <w:rPr>
                <w:sz w:val="20"/>
                <w:szCs w:val="20"/>
                <w:color w:val="auto"/>
              </w:rPr>
            </w:pPr>
            <w:r>
              <w:rPr>
                <w:rFonts w:ascii="Arial" w:cs="Arial" w:eastAsia="Arial" w:hAnsi="Arial"/>
                <w:sz w:val="14"/>
                <w:szCs w:val="14"/>
                <w:color w:val="auto"/>
              </w:rPr>
              <w:t>Base Salary</w:t>
            </w:r>
          </w:p>
        </w:tc>
        <w:tc>
          <w:tcPr>
            <w:tcW w:w="3960" w:type="dxa"/>
            <w:vAlign w:val="bottom"/>
          </w:tcPr>
          <w:p>
            <w:pPr>
              <w:jc w:val="right"/>
              <w:ind w:right="30"/>
              <w:spacing w:after="0"/>
              <w:rPr>
                <w:sz w:val="20"/>
                <w:szCs w:val="20"/>
                <w:color w:val="auto"/>
              </w:rPr>
            </w:pPr>
            <w:r>
              <w:rPr>
                <w:rFonts w:ascii="Arial" w:cs="Arial" w:eastAsia="Arial" w:hAnsi="Arial"/>
                <w:sz w:val="14"/>
                <w:szCs w:val="14"/>
                <w:color w:val="auto"/>
              </w:rPr>
              <w:t>$607,000</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910,500</w:t>
            </w:r>
          </w:p>
        </w:tc>
      </w:tr>
      <w:tr>
        <w:trPr>
          <w:trHeight w:val="163"/>
        </w:trPr>
        <w:tc>
          <w:tcPr>
            <w:tcW w:w="5640" w:type="dxa"/>
            <w:vAlign w:val="bottom"/>
            <w:shd w:val="clear" w:color="auto" w:fill="F0F7E7"/>
          </w:tcPr>
          <w:p>
            <w:pPr>
              <w:ind w:left="40"/>
              <w:spacing w:after="0"/>
              <w:rPr>
                <w:sz w:val="20"/>
                <w:szCs w:val="20"/>
                <w:color w:val="auto"/>
              </w:rPr>
            </w:pPr>
            <w:r>
              <w:rPr>
                <w:rFonts w:ascii="Arial" w:cs="Arial" w:eastAsia="Arial" w:hAnsi="Arial"/>
                <w:sz w:val="14"/>
                <w:szCs w:val="14"/>
                <w:color w:val="auto"/>
              </w:rPr>
              <w:t>Bonus</w:t>
            </w:r>
          </w:p>
        </w:tc>
        <w:tc>
          <w:tcPr>
            <w:tcW w:w="3960" w:type="dxa"/>
            <w:vAlign w:val="bottom"/>
            <w:shd w:val="clear" w:color="auto" w:fill="F0F7E7"/>
          </w:tcPr>
          <w:p>
            <w:pPr>
              <w:jc w:val="right"/>
              <w:ind w:right="30"/>
              <w:spacing w:after="0"/>
              <w:rPr>
                <w:sz w:val="20"/>
                <w:szCs w:val="20"/>
                <w:color w:val="auto"/>
              </w:rPr>
            </w:pPr>
            <w:r>
              <w:rPr>
                <w:rFonts w:ascii="Arial" w:cs="Arial" w:eastAsia="Arial" w:hAnsi="Arial"/>
                <w:sz w:val="14"/>
                <w:szCs w:val="14"/>
                <w:color w:val="auto"/>
              </w:rPr>
              <w:t>303,500</w:t>
            </w:r>
          </w:p>
        </w:tc>
        <w:tc>
          <w:tcPr>
            <w:tcW w:w="820" w:type="dxa"/>
            <w:vAlign w:val="bottom"/>
            <w:shd w:val="clear" w:color="auto" w:fill="F0F7E7"/>
          </w:tcPr>
          <w:p>
            <w:pPr>
              <w:spacing w:after="0"/>
              <w:rPr>
                <w:sz w:val="14"/>
                <w:szCs w:val="14"/>
                <w:color w:val="auto"/>
              </w:rPr>
            </w:pPr>
          </w:p>
        </w:tc>
        <w:tc>
          <w:tcPr>
            <w:tcW w:w="840" w:type="dxa"/>
            <w:vAlign w:val="bottom"/>
            <w:shd w:val="clear" w:color="auto" w:fill="F0F7E7"/>
          </w:tcPr>
          <w:p>
            <w:pPr>
              <w:jc w:val="right"/>
              <w:spacing w:after="0"/>
              <w:rPr>
                <w:sz w:val="20"/>
                <w:szCs w:val="20"/>
                <w:color w:val="auto"/>
              </w:rPr>
            </w:pPr>
            <w:r>
              <w:rPr>
                <w:rFonts w:ascii="Arial" w:cs="Arial" w:eastAsia="Arial" w:hAnsi="Arial"/>
                <w:sz w:val="14"/>
                <w:szCs w:val="14"/>
                <w:color w:val="auto"/>
              </w:rPr>
              <w:t>455,250</w:t>
            </w:r>
          </w:p>
        </w:tc>
      </w:tr>
      <w:tr>
        <w:trPr>
          <w:trHeight w:val="163"/>
        </w:trPr>
        <w:tc>
          <w:tcPr>
            <w:tcW w:w="5640" w:type="dxa"/>
            <w:vAlign w:val="bottom"/>
          </w:tcPr>
          <w:p>
            <w:pPr>
              <w:ind w:left="40"/>
              <w:spacing w:after="0"/>
              <w:rPr>
                <w:sz w:val="20"/>
                <w:szCs w:val="20"/>
                <w:color w:val="auto"/>
              </w:rPr>
            </w:pPr>
            <w:r>
              <w:rPr>
                <w:rFonts w:ascii="Arial" w:cs="Arial" w:eastAsia="Arial" w:hAnsi="Arial"/>
                <w:sz w:val="14"/>
                <w:szCs w:val="14"/>
                <w:color w:val="auto"/>
              </w:rPr>
              <w:t>Acceleration of equity awards</w:t>
            </w:r>
          </w:p>
        </w:tc>
        <w:tc>
          <w:tcPr>
            <w:tcW w:w="396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8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3,750,414</w:t>
            </w:r>
          </w:p>
        </w:tc>
      </w:tr>
      <w:tr>
        <w:trPr>
          <w:trHeight w:val="163"/>
        </w:trPr>
        <w:tc>
          <w:tcPr>
            <w:tcW w:w="5640" w:type="dxa"/>
            <w:vAlign w:val="bottom"/>
            <w:tcBorders>
              <w:bottom w:val="single" w:sz="8" w:color="7CBD3F"/>
            </w:tcBorders>
            <w:shd w:val="clear" w:color="auto" w:fill="F0F7E7"/>
          </w:tcPr>
          <w:p>
            <w:pPr>
              <w:ind w:left="40"/>
              <w:spacing w:after="0"/>
              <w:rPr>
                <w:sz w:val="20"/>
                <w:szCs w:val="20"/>
                <w:color w:val="auto"/>
              </w:rPr>
            </w:pPr>
            <w:r>
              <w:rPr>
                <w:rFonts w:ascii="Arial" w:cs="Arial" w:eastAsia="Arial" w:hAnsi="Arial"/>
                <w:sz w:val="14"/>
                <w:szCs w:val="14"/>
                <w:color w:val="auto"/>
              </w:rPr>
              <w:t>COBRA reimbursements</w:t>
            </w:r>
          </w:p>
        </w:tc>
        <w:tc>
          <w:tcPr>
            <w:tcW w:w="3960" w:type="dxa"/>
            <w:vAlign w:val="bottom"/>
            <w:tcBorders>
              <w:bottom w:val="single" w:sz="8" w:color="7CBD3F"/>
            </w:tcBorders>
            <w:shd w:val="clear" w:color="auto" w:fill="F0F7E7"/>
          </w:tcPr>
          <w:p>
            <w:pPr>
              <w:jc w:val="right"/>
              <w:ind w:right="30"/>
              <w:spacing w:after="0"/>
              <w:rPr>
                <w:sz w:val="20"/>
                <w:szCs w:val="20"/>
                <w:color w:val="auto"/>
              </w:rPr>
            </w:pPr>
            <w:r>
              <w:rPr>
                <w:rFonts w:ascii="Arial" w:cs="Arial" w:eastAsia="Arial" w:hAnsi="Arial"/>
                <w:sz w:val="14"/>
                <w:szCs w:val="14"/>
                <w:color w:val="auto"/>
              </w:rPr>
              <w:t>8,935</w:t>
            </w:r>
          </w:p>
        </w:tc>
        <w:tc>
          <w:tcPr>
            <w:tcW w:w="820" w:type="dxa"/>
            <w:vAlign w:val="bottom"/>
            <w:tcBorders>
              <w:bottom w:val="single" w:sz="8" w:color="7CBD3F"/>
            </w:tcBorders>
            <w:shd w:val="clear" w:color="auto" w:fill="F0F7E7"/>
          </w:tcPr>
          <w:p>
            <w:pPr>
              <w:spacing w:after="0"/>
              <w:rPr>
                <w:sz w:val="14"/>
                <w:szCs w:val="14"/>
                <w:color w:val="auto"/>
              </w:rPr>
            </w:pPr>
          </w:p>
        </w:tc>
        <w:tc>
          <w:tcPr>
            <w:tcW w:w="840" w:type="dxa"/>
            <w:vAlign w:val="bottom"/>
            <w:tcBorders>
              <w:bottom w:val="single" w:sz="8" w:color="7CBD3F"/>
            </w:tcBorders>
            <w:shd w:val="clear" w:color="auto" w:fill="F0F7E7"/>
          </w:tcPr>
          <w:p>
            <w:pPr>
              <w:jc w:val="right"/>
              <w:spacing w:after="0"/>
              <w:rPr>
                <w:sz w:val="20"/>
                <w:szCs w:val="20"/>
                <w:color w:val="auto"/>
              </w:rPr>
            </w:pPr>
            <w:r>
              <w:rPr>
                <w:rFonts w:ascii="Arial" w:cs="Arial" w:eastAsia="Arial" w:hAnsi="Arial"/>
                <w:sz w:val="14"/>
                <w:szCs w:val="14"/>
                <w:color w:val="auto"/>
              </w:rPr>
              <w:t>13,402</w:t>
            </w:r>
          </w:p>
        </w:tc>
      </w:tr>
      <w:tr>
        <w:trPr>
          <w:trHeight w:val="158"/>
        </w:trPr>
        <w:tc>
          <w:tcPr>
            <w:tcW w:w="5640" w:type="dxa"/>
            <w:vAlign w:val="bottom"/>
            <w:tcBorders>
              <w:bottom w:val="single" w:sz="8" w:color="7CBD3F"/>
            </w:tcBorders>
          </w:tcPr>
          <w:p>
            <w:pPr>
              <w:ind w:left="40"/>
              <w:spacing w:after="0" w:line="155" w:lineRule="exact"/>
              <w:rPr>
                <w:sz w:val="20"/>
                <w:szCs w:val="20"/>
                <w:color w:val="auto"/>
              </w:rPr>
            </w:pPr>
            <w:r>
              <w:rPr>
                <w:rFonts w:ascii="Arial" w:cs="Arial" w:eastAsia="Arial" w:hAnsi="Arial"/>
                <w:sz w:val="14"/>
                <w:szCs w:val="14"/>
                <w:b w:val="1"/>
                <w:bCs w:val="1"/>
                <w:color w:val="7CBD3F"/>
              </w:rPr>
              <w:t>TOTAL</w:t>
            </w:r>
          </w:p>
        </w:tc>
        <w:tc>
          <w:tcPr>
            <w:tcW w:w="3960" w:type="dxa"/>
            <w:vAlign w:val="bottom"/>
            <w:tcBorders>
              <w:bottom w:val="single" w:sz="8" w:color="7CBD3F"/>
            </w:tcBorders>
          </w:tcPr>
          <w:p>
            <w:pPr>
              <w:jc w:val="right"/>
              <w:ind w:right="30"/>
              <w:spacing w:after="0" w:line="155" w:lineRule="exact"/>
              <w:rPr>
                <w:sz w:val="20"/>
                <w:szCs w:val="20"/>
                <w:color w:val="auto"/>
              </w:rPr>
            </w:pPr>
            <w:r>
              <w:rPr>
                <w:rFonts w:ascii="Arial" w:cs="Arial" w:eastAsia="Arial" w:hAnsi="Arial"/>
                <w:sz w:val="14"/>
                <w:szCs w:val="14"/>
                <w:b w:val="1"/>
                <w:bCs w:val="1"/>
                <w:color w:val="7CBD3F"/>
              </w:rPr>
              <w:t>$919,435</w:t>
            </w:r>
          </w:p>
        </w:tc>
        <w:tc>
          <w:tcPr>
            <w:tcW w:w="820" w:type="dxa"/>
            <w:vAlign w:val="bottom"/>
            <w:tcBorders>
              <w:bottom w:val="single" w:sz="8" w:color="7CBD3F"/>
            </w:tcBorders>
          </w:tcPr>
          <w:p>
            <w:pPr>
              <w:jc w:val="right"/>
              <w:spacing w:after="0" w:line="155" w:lineRule="exact"/>
              <w:rPr>
                <w:sz w:val="20"/>
                <w:szCs w:val="20"/>
                <w:color w:val="auto"/>
              </w:rPr>
            </w:pPr>
            <w:r>
              <w:rPr>
                <w:rFonts w:ascii="Arial" w:cs="Arial" w:eastAsia="Arial" w:hAnsi="Arial"/>
                <w:sz w:val="14"/>
                <w:szCs w:val="14"/>
                <w:b w:val="1"/>
                <w:bCs w:val="1"/>
                <w:color w:val="7CBD3F"/>
              </w:rPr>
              <w:t>$</w:t>
            </w:r>
          </w:p>
        </w:tc>
        <w:tc>
          <w:tcPr>
            <w:tcW w:w="840" w:type="dxa"/>
            <w:vAlign w:val="bottom"/>
            <w:tcBorders>
              <w:bottom w:val="single" w:sz="8" w:color="7CBD3F"/>
            </w:tcBorders>
          </w:tcPr>
          <w:p>
            <w:pPr>
              <w:jc w:val="right"/>
              <w:spacing w:after="0" w:line="155" w:lineRule="exact"/>
              <w:rPr>
                <w:sz w:val="20"/>
                <w:szCs w:val="20"/>
                <w:color w:val="auto"/>
              </w:rPr>
            </w:pPr>
            <w:r>
              <w:rPr>
                <w:rFonts w:ascii="Arial" w:cs="Arial" w:eastAsia="Arial" w:hAnsi="Arial"/>
                <w:sz w:val="14"/>
                <w:szCs w:val="14"/>
                <w:b w:val="1"/>
                <w:bCs w:val="1"/>
                <w:color w:val="7CBD3F"/>
              </w:rPr>
              <w:t>5,129,566</w:t>
            </w:r>
          </w:p>
        </w:tc>
      </w:tr>
    </w:tbl>
    <w:p>
      <w:pPr>
        <w:spacing w:after="0" w:line="233" w:lineRule="exact"/>
        <w:rPr>
          <w:sz w:val="20"/>
          <w:szCs w:val="20"/>
          <w:color w:val="auto"/>
        </w:rPr>
      </w:pPr>
    </w:p>
    <w:p>
      <w:pPr>
        <w:spacing w:after="0"/>
        <w:rPr>
          <w:sz w:val="20"/>
          <w:szCs w:val="20"/>
          <w:color w:val="auto"/>
        </w:rPr>
      </w:pPr>
      <w:r>
        <w:rPr>
          <w:rFonts w:ascii="Arial" w:cs="Arial" w:eastAsia="Arial" w:hAnsi="Arial"/>
          <w:sz w:val="19"/>
          <w:szCs w:val="19"/>
          <w:b w:val="1"/>
          <w:bCs w:val="1"/>
          <w:color w:val="7CBD3F"/>
        </w:rPr>
        <w:t>Eric Crombez, M.D.</w:t>
      </w:r>
    </w:p>
    <w:p>
      <w:pPr>
        <w:spacing w:after="0" w:line="212"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The following table describes the potential payments upon employment termination for Eric Crombez, M.D., our Chief Medical Officer and Executive Vice President, as if his employment terminated as of December 31, 2024, the last business day of the fiscal year. Qualifying termination includes a termination by the Company without cause or a resignation by Mr. Pinion due to a constructive termination.</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564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660" w:type="dxa"/>
            <w:vAlign w:val="bottom"/>
            <w:gridSpan w:val="2"/>
          </w:tcPr>
          <w:p>
            <w:pPr>
              <w:jc w:val="right"/>
              <w:spacing w:after="0"/>
              <w:rPr>
                <w:sz w:val="20"/>
                <w:szCs w:val="20"/>
                <w:color w:val="auto"/>
              </w:rPr>
            </w:pPr>
            <w:r>
              <w:rPr>
                <w:rFonts w:ascii="Arial" w:cs="Arial" w:eastAsia="Arial" w:hAnsi="Arial"/>
                <w:sz w:val="14"/>
                <w:szCs w:val="14"/>
                <w:b w:val="1"/>
                <w:bCs w:val="1"/>
                <w:color w:val="auto"/>
              </w:rPr>
              <w:t>Qualifying Termination</w:t>
            </w:r>
          </w:p>
        </w:tc>
      </w:tr>
      <w:tr>
        <w:trPr>
          <w:trHeight w:val="163"/>
        </w:trPr>
        <w:tc>
          <w:tcPr>
            <w:tcW w:w="5640" w:type="dxa"/>
            <w:vAlign w:val="bottom"/>
          </w:tcPr>
          <w:p>
            <w:pPr>
              <w:ind w:left="40"/>
              <w:spacing w:after="0"/>
              <w:rPr>
                <w:sz w:val="20"/>
                <w:szCs w:val="20"/>
                <w:color w:val="auto"/>
              </w:rPr>
            </w:pPr>
            <w:r>
              <w:rPr>
                <w:rFonts w:ascii="Arial" w:cs="Arial" w:eastAsia="Arial" w:hAnsi="Arial"/>
                <w:sz w:val="14"/>
                <w:szCs w:val="14"/>
                <w:b w:val="1"/>
                <w:bCs w:val="1"/>
                <w:color w:val="auto"/>
              </w:rPr>
              <w:t>Potential Payments Upon Termination</w:t>
            </w:r>
          </w:p>
        </w:tc>
        <w:tc>
          <w:tcPr>
            <w:tcW w:w="3960" w:type="dxa"/>
            <w:vAlign w:val="bottom"/>
          </w:tcPr>
          <w:p>
            <w:pPr>
              <w:jc w:val="right"/>
              <w:ind w:right="30"/>
              <w:spacing w:after="0"/>
              <w:rPr>
                <w:sz w:val="20"/>
                <w:szCs w:val="20"/>
                <w:color w:val="auto"/>
              </w:rPr>
            </w:pPr>
            <w:r>
              <w:rPr>
                <w:rFonts w:ascii="Arial" w:cs="Arial" w:eastAsia="Arial" w:hAnsi="Arial"/>
                <w:sz w:val="14"/>
                <w:szCs w:val="14"/>
                <w:b w:val="1"/>
                <w:bCs w:val="1"/>
                <w:color w:val="auto"/>
              </w:rPr>
              <w:t>Qualifying</w:t>
            </w:r>
          </w:p>
        </w:tc>
        <w:tc>
          <w:tcPr>
            <w:tcW w:w="1660" w:type="dxa"/>
            <w:vAlign w:val="bottom"/>
            <w:gridSpan w:val="2"/>
          </w:tcPr>
          <w:p>
            <w:pPr>
              <w:jc w:val="right"/>
              <w:spacing w:after="0"/>
              <w:rPr>
                <w:sz w:val="20"/>
                <w:szCs w:val="20"/>
                <w:color w:val="auto"/>
              </w:rPr>
            </w:pPr>
            <w:r>
              <w:rPr>
                <w:rFonts w:ascii="Arial" w:cs="Arial" w:eastAsia="Arial" w:hAnsi="Arial"/>
                <w:sz w:val="14"/>
                <w:szCs w:val="14"/>
                <w:b w:val="1"/>
                <w:bCs w:val="1"/>
                <w:color w:val="auto"/>
              </w:rPr>
              <w:t>following a Covered</w:t>
            </w:r>
          </w:p>
        </w:tc>
      </w:tr>
      <w:tr>
        <w:trPr>
          <w:trHeight w:val="179"/>
        </w:trPr>
        <w:tc>
          <w:tcPr>
            <w:tcW w:w="5640" w:type="dxa"/>
            <w:vAlign w:val="bottom"/>
            <w:tcBorders>
              <w:bottom w:val="single" w:sz="8" w:color="7CBD3F"/>
            </w:tcBorders>
          </w:tcPr>
          <w:p>
            <w:pPr>
              <w:ind w:left="40"/>
              <w:spacing w:after="0"/>
              <w:rPr>
                <w:sz w:val="20"/>
                <w:szCs w:val="20"/>
                <w:color w:val="auto"/>
              </w:rPr>
            </w:pPr>
            <w:r>
              <w:rPr>
                <w:rFonts w:ascii="Arial" w:cs="Arial" w:eastAsia="Arial" w:hAnsi="Arial"/>
                <w:sz w:val="14"/>
                <w:szCs w:val="14"/>
                <w:b w:val="1"/>
                <w:bCs w:val="1"/>
                <w:color w:val="auto"/>
              </w:rPr>
              <w:t>or Change of Control</w:t>
            </w:r>
          </w:p>
        </w:tc>
        <w:tc>
          <w:tcPr>
            <w:tcW w:w="3960" w:type="dxa"/>
            <w:vAlign w:val="bottom"/>
            <w:tcBorders>
              <w:bottom w:val="single" w:sz="8" w:color="7CBD3F"/>
            </w:tcBorders>
          </w:tcPr>
          <w:p>
            <w:pPr>
              <w:jc w:val="right"/>
              <w:ind w:right="30"/>
              <w:spacing w:after="0"/>
              <w:rPr>
                <w:sz w:val="20"/>
                <w:szCs w:val="20"/>
                <w:color w:val="auto"/>
              </w:rPr>
            </w:pPr>
            <w:r>
              <w:rPr>
                <w:rFonts w:ascii="Arial" w:cs="Arial" w:eastAsia="Arial" w:hAnsi="Arial"/>
                <w:sz w:val="14"/>
                <w:szCs w:val="14"/>
                <w:b w:val="1"/>
                <w:bCs w:val="1"/>
                <w:color w:val="auto"/>
              </w:rPr>
              <w:t>Termination</w:t>
            </w:r>
          </w:p>
        </w:tc>
        <w:tc>
          <w:tcPr>
            <w:tcW w:w="820" w:type="dxa"/>
            <w:vAlign w:val="bottom"/>
            <w:tcBorders>
              <w:bottom w:val="single" w:sz="8" w:color="7CBD3F"/>
            </w:tcBorders>
          </w:tcPr>
          <w:p>
            <w:pPr>
              <w:spacing w:after="0"/>
              <w:rPr>
                <w:sz w:val="15"/>
                <w:szCs w:val="15"/>
                <w:color w:val="auto"/>
              </w:rPr>
            </w:pPr>
          </w:p>
        </w:tc>
        <w:tc>
          <w:tcPr>
            <w:tcW w:w="840" w:type="dxa"/>
            <w:vAlign w:val="bottom"/>
            <w:tcBorders>
              <w:bottom w:val="single" w:sz="8" w:color="7CBD3F"/>
            </w:tcBorders>
          </w:tcPr>
          <w:p>
            <w:pPr>
              <w:jc w:val="right"/>
              <w:spacing w:after="0"/>
              <w:rPr>
                <w:sz w:val="20"/>
                <w:szCs w:val="20"/>
                <w:color w:val="auto"/>
              </w:rPr>
            </w:pPr>
            <w:r>
              <w:rPr>
                <w:rFonts w:ascii="Arial" w:cs="Arial" w:eastAsia="Arial" w:hAnsi="Arial"/>
                <w:sz w:val="14"/>
                <w:szCs w:val="14"/>
                <w:b w:val="1"/>
                <w:bCs w:val="1"/>
                <w:color w:val="auto"/>
                <w:w w:val="95"/>
              </w:rPr>
              <w:t>Transaction</w:t>
            </w:r>
          </w:p>
        </w:tc>
      </w:tr>
      <w:tr>
        <w:trPr>
          <w:trHeight w:val="163"/>
        </w:trPr>
        <w:tc>
          <w:tcPr>
            <w:tcW w:w="5640" w:type="dxa"/>
            <w:vAlign w:val="bottom"/>
          </w:tcPr>
          <w:p>
            <w:pPr>
              <w:ind w:left="40"/>
              <w:spacing w:after="0"/>
              <w:rPr>
                <w:sz w:val="20"/>
                <w:szCs w:val="20"/>
                <w:color w:val="auto"/>
              </w:rPr>
            </w:pPr>
            <w:r>
              <w:rPr>
                <w:rFonts w:ascii="Arial" w:cs="Arial" w:eastAsia="Arial" w:hAnsi="Arial"/>
                <w:sz w:val="14"/>
                <w:szCs w:val="14"/>
                <w:color w:val="auto"/>
              </w:rPr>
              <w:t>Base Salary</w:t>
            </w:r>
          </w:p>
        </w:tc>
        <w:tc>
          <w:tcPr>
            <w:tcW w:w="3960" w:type="dxa"/>
            <w:vAlign w:val="bottom"/>
          </w:tcPr>
          <w:p>
            <w:pPr>
              <w:jc w:val="right"/>
              <w:ind w:right="30"/>
              <w:spacing w:after="0"/>
              <w:rPr>
                <w:sz w:val="20"/>
                <w:szCs w:val="20"/>
                <w:color w:val="auto"/>
              </w:rPr>
            </w:pPr>
            <w:r>
              <w:rPr>
                <w:rFonts w:ascii="Arial" w:cs="Arial" w:eastAsia="Arial" w:hAnsi="Arial"/>
                <w:sz w:val="14"/>
                <w:szCs w:val="14"/>
                <w:color w:val="auto"/>
              </w:rPr>
              <w:t>$604,000</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906,000</w:t>
            </w:r>
          </w:p>
        </w:tc>
      </w:tr>
      <w:tr>
        <w:trPr>
          <w:trHeight w:val="163"/>
        </w:trPr>
        <w:tc>
          <w:tcPr>
            <w:tcW w:w="5640" w:type="dxa"/>
            <w:vAlign w:val="bottom"/>
            <w:shd w:val="clear" w:color="auto" w:fill="F0F7E7"/>
          </w:tcPr>
          <w:p>
            <w:pPr>
              <w:ind w:left="40"/>
              <w:spacing w:after="0"/>
              <w:rPr>
                <w:sz w:val="20"/>
                <w:szCs w:val="20"/>
                <w:color w:val="auto"/>
              </w:rPr>
            </w:pPr>
            <w:r>
              <w:rPr>
                <w:rFonts w:ascii="Arial" w:cs="Arial" w:eastAsia="Arial" w:hAnsi="Arial"/>
                <w:sz w:val="14"/>
                <w:szCs w:val="14"/>
                <w:color w:val="auto"/>
              </w:rPr>
              <w:t>Bonus</w:t>
            </w:r>
          </w:p>
        </w:tc>
        <w:tc>
          <w:tcPr>
            <w:tcW w:w="3960" w:type="dxa"/>
            <w:vAlign w:val="bottom"/>
            <w:shd w:val="clear" w:color="auto" w:fill="F0F7E7"/>
          </w:tcPr>
          <w:p>
            <w:pPr>
              <w:jc w:val="right"/>
              <w:ind w:right="30"/>
              <w:spacing w:after="0"/>
              <w:rPr>
                <w:sz w:val="20"/>
                <w:szCs w:val="20"/>
                <w:color w:val="auto"/>
              </w:rPr>
            </w:pPr>
            <w:r>
              <w:rPr>
                <w:rFonts w:ascii="Arial" w:cs="Arial" w:eastAsia="Arial" w:hAnsi="Arial"/>
                <w:sz w:val="14"/>
                <w:szCs w:val="14"/>
                <w:color w:val="auto"/>
              </w:rPr>
              <w:t>302,000</w:t>
            </w:r>
          </w:p>
        </w:tc>
        <w:tc>
          <w:tcPr>
            <w:tcW w:w="820" w:type="dxa"/>
            <w:vAlign w:val="bottom"/>
            <w:shd w:val="clear" w:color="auto" w:fill="F0F7E7"/>
          </w:tcPr>
          <w:p>
            <w:pPr>
              <w:spacing w:after="0"/>
              <w:rPr>
                <w:sz w:val="14"/>
                <w:szCs w:val="14"/>
                <w:color w:val="auto"/>
              </w:rPr>
            </w:pPr>
          </w:p>
        </w:tc>
        <w:tc>
          <w:tcPr>
            <w:tcW w:w="840" w:type="dxa"/>
            <w:vAlign w:val="bottom"/>
            <w:shd w:val="clear" w:color="auto" w:fill="F0F7E7"/>
          </w:tcPr>
          <w:p>
            <w:pPr>
              <w:jc w:val="right"/>
              <w:spacing w:after="0"/>
              <w:rPr>
                <w:sz w:val="20"/>
                <w:szCs w:val="20"/>
                <w:color w:val="auto"/>
              </w:rPr>
            </w:pPr>
            <w:r>
              <w:rPr>
                <w:rFonts w:ascii="Arial" w:cs="Arial" w:eastAsia="Arial" w:hAnsi="Arial"/>
                <w:sz w:val="14"/>
                <w:szCs w:val="14"/>
                <w:color w:val="auto"/>
              </w:rPr>
              <w:t>453,000</w:t>
            </w:r>
          </w:p>
        </w:tc>
      </w:tr>
      <w:tr>
        <w:trPr>
          <w:trHeight w:val="163"/>
        </w:trPr>
        <w:tc>
          <w:tcPr>
            <w:tcW w:w="5640" w:type="dxa"/>
            <w:vAlign w:val="bottom"/>
          </w:tcPr>
          <w:p>
            <w:pPr>
              <w:ind w:left="40"/>
              <w:spacing w:after="0"/>
              <w:rPr>
                <w:sz w:val="20"/>
                <w:szCs w:val="20"/>
                <w:color w:val="auto"/>
              </w:rPr>
            </w:pPr>
            <w:r>
              <w:rPr>
                <w:rFonts w:ascii="Arial" w:cs="Arial" w:eastAsia="Arial" w:hAnsi="Arial"/>
                <w:sz w:val="14"/>
                <w:szCs w:val="14"/>
                <w:color w:val="auto"/>
              </w:rPr>
              <w:t>Acceleration of equity awards</w:t>
            </w:r>
          </w:p>
        </w:tc>
        <w:tc>
          <w:tcPr>
            <w:tcW w:w="396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8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3,040,735</w:t>
            </w:r>
          </w:p>
        </w:tc>
      </w:tr>
      <w:tr>
        <w:trPr>
          <w:trHeight w:val="163"/>
        </w:trPr>
        <w:tc>
          <w:tcPr>
            <w:tcW w:w="5640" w:type="dxa"/>
            <w:vAlign w:val="bottom"/>
            <w:tcBorders>
              <w:bottom w:val="single" w:sz="8" w:color="7CBD3F"/>
            </w:tcBorders>
            <w:shd w:val="clear" w:color="auto" w:fill="F0F7E7"/>
          </w:tcPr>
          <w:p>
            <w:pPr>
              <w:ind w:left="40"/>
              <w:spacing w:after="0"/>
              <w:rPr>
                <w:sz w:val="20"/>
                <w:szCs w:val="20"/>
                <w:color w:val="auto"/>
              </w:rPr>
            </w:pPr>
            <w:r>
              <w:rPr>
                <w:rFonts w:ascii="Arial" w:cs="Arial" w:eastAsia="Arial" w:hAnsi="Arial"/>
                <w:sz w:val="14"/>
                <w:szCs w:val="14"/>
                <w:color w:val="auto"/>
              </w:rPr>
              <w:t>COBRA reimbursements</w:t>
            </w:r>
          </w:p>
        </w:tc>
        <w:tc>
          <w:tcPr>
            <w:tcW w:w="3960" w:type="dxa"/>
            <w:vAlign w:val="bottom"/>
            <w:tcBorders>
              <w:bottom w:val="single" w:sz="8" w:color="7CBD3F"/>
            </w:tcBorders>
            <w:shd w:val="clear" w:color="auto" w:fill="F0F7E7"/>
          </w:tcPr>
          <w:p>
            <w:pPr>
              <w:jc w:val="right"/>
              <w:ind w:right="30"/>
              <w:spacing w:after="0"/>
              <w:rPr>
                <w:sz w:val="20"/>
                <w:szCs w:val="20"/>
                <w:color w:val="auto"/>
              </w:rPr>
            </w:pPr>
            <w:r>
              <w:rPr>
                <w:rFonts w:ascii="Arial" w:cs="Arial" w:eastAsia="Arial" w:hAnsi="Arial"/>
                <w:sz w:val="14"/>
                <w:szCs w:val="14"/>
                <w:color w:val="auto"/>
              </w:rPr>
              <w:t>20,043</w:t>
            </w:r>
          </w:p>
        </w:tc>
        <w:tc>
          <w:tcPr>
            <w:tcW w:w="820" w:type="dxa"/>
            <w:vAlign w:val="bottom"/>
            <w:tcBorders>
              <w:bottom w:val="single" w:sz="8" w:color="7CBD3F"/>
            </w:tcBorders>
            <w:shd w:val="clear" w:color="auto" w:fill="F0F7E7"/>
          </w:tcPr>
          <w:p>
            <w:pPr>
              <w:spacing w:after="0"/>
              <w:rPr>
                <w:sz w:val="14"/>
                <w:szCs w:val="14"/>
                <w:color w:val="auto"/>
              </w:rPr>
            </w:pPr>
          </w:p>
        </w:tc>
        <w:tc>
          <w:tcPr>
            <w:tcW w:w="840" w:type="dxa"/>
            <w:vAlign w:val="bottom"/>
            <w:tcBorders>
              <w:bottom w:val="single" w:sz="8" w:color="7CBD3F"/>
            </w:tcBorders>
            <w:shd w:val="clear" w:color="auto" w:fill="F0F7E7"/>
          </w:tcPr>
          <w:p>
            <w:pPr>
              <w:jc w:val="right"/>
              <w:spacing w:after="0"/>
              <w:rPr>
                <w:sz w:val="20"/>
                <w:szCs w:val="20"/>
                <w:color w:val="auto"/>
              </w:rPr>
            </w:pPr>
            <w:r>
              <w:rPr>
                <w:rFonts w:ascii="Arial" w:cs="Arial" w:eastAsia="Arial" w:hAnsi="Arial"/>
                <w:sz w:val="14"/>
                <w:szCs w:val="14"/>
                <w:color w:val="auto"/>
              </w:rPr>
              <w:t>30,064</w:t>
            </w:r>
          </w:p>
        </w:tc>
      </w:tr>
      <w:tr>
        <w:trPr>
          <w:trHeight w:val="158"/>
        </w:trPr>
        <w:tc>
          <w:tcPr>
            <w:tcW w:w="5640" w:type="dxa"/>
            <w:vAlign w:val="bottom"/>
            <w:tcBorders>
              <w:bottom w:val="single" w:sz="8" w:color="7CBD3F"/>
            </w:tcBorders>
          </w:tcPr>
          <w:p>
            <w:pPr>
              <w:ind w:left="40"/>
              <w:spacing w:after="0" w:line="155" w:lineRule="exact"/>
              <w:rPr>
                <w:sz w:val="20"/>
                <w:szCs w:val="20"/>
                <w:color w:val="auto"/>
              </w:rPr>
            </w:pPr>
            <w:r>
              <w:rPr>
                <w:rFonts w:ascii="Arial" w:cs="Arial" w:eastAsia="Arial" w:hAnsi="Arial"/>
                <w:sz w:val="14"/>
                <w:szCs w:val="14"/>
                <w:b w:val="1"/>
                <w:bCs w:val="1"/>
                <w:color w:val="7CBD3F"/>
              </w:rPr>
              <w:t>TOTAL</w:t>
            </w:r>
          </w:p>
        </w:tc>
        <w:tc>
          <w:tcPr>
            <w:tcW w:w="3960" w:type="dxa"/>
            <w:vAlign w:val="bottom"/>
            <w:tcBorders>
              <w:bottom w:val="single" w:sz="8" w:color="7CBD3F"/>
            </w:tcBorders>
          </w:tcPr>
          <w:p>
            <w:pPr>
              <w:jc w:val="right"/>
              <w:ind w:right="30"/>
              <w:spacing w:after="0" w:line="155" w:lineRule="exact"/>
              <w:rPr>
                <w:sz w:val="20"/>
                <w:szCs w:val="20"/>
                <w:color w:val="auto"/>
              </w:rPr>
            </w:pPr>
            <w:r>
              <w:rPr>
                <w:rFonts w:ascii="Arial" w:cs="Arial" w:eastAsia="Arial" w:hAnsi="Arial"/>
                <w:sz w:val="14"/>
                <w:szCs w:val="14"/>
                <w:b w:val="1"/>
                <w:bCs w:val="1"/>
                <w:color w:val="7CBD3F"/>
              </w:rPr>
              <w:t>$926,043</w:t>
            </w:r>
          </w:p>
        </w:tc>
        <w:tc>
          <w:tcPr>
            <w:tcW w:w="820" w:type="dxa"/>
            <w:vAlign w:val="bottom"/>
            <w:tcBorders>
              <w:bottom w:val="single" w:sz="8" w:color="7CBD3F"/>
            </w:tcBorders>
          </w:tcPr>
          <w:p>
            <w:pPr>
              <w:jc w:val="right"/>
              <w:spacing w:after="0" w:line="155" w:lineRule="exact"/>
              <w:rPr>
                <w:sz w:val="20"/>
                <w:szCs w:val="20"/>
                <w:color w:val="auto"/>
              </w:rPr>
            </w:pPr>
            <w:r>
              <w:rPr>
                <w:rFonts w:ascii="Arial" w:cs="Arial" w:eastAsia="Arial" w:hAnsi="Arial"/>
                <w:sz w:val="14"/>
                <w:szCs w:val="14"/>
                <w:b w:val="1"/>
                <w:bCs w:val="1"/>
                <w:color w:val="7CBD3F"/>
              </w:rPr>
              <w:t>$</w:t>
            </w:r>
          </w:p>
        </w:tc>
        <w:tc>
          <w:tcPr>
            <w:tcW w:w="840" w:type="dxa"/>
            <w:vAlign w:val="bottom"/>
            <w:tcBorders>
              <w:bottom w:val="single" w:sz="8" w:color="7CBD3F"/>
            </w:tcBorders>
          </w:tcPr>
          <w:p>
            <w:pPr>
              <w:jc w:val="right"/>
              <w:spacing w:after="0" w:line="155" w:lineRule="exact"/>
              <w:rPr>
                <w:sz w:val="20"/>
                <w:szCs w:val="20"/>
                <w:color w:val="auto"/>
              </w:rPr>
            </w:pPr>
            <w:r>
              <w:rPr>
                <w:rFonts w:ascii="Arial" w:cs="Arial" w:eastAsia="Arial" w:hAnsi="Arial"/>
                <w:sz w:val="14"/>
                <w:szCs w:val="14"/>
                <w:b w:val="1"/>
                <w:bCs w:val="1"/>
                <w:color w:val="7CBD3F"/>
              </w:rPr>
              <w:t>4,429,799</w:t>
            </w:r>
          </w:p>
        </w:tc>
      </w:tr>
    </w:tbl>
    <w:p>
      <w:pPr>
        <w:spacing w:after="0" w:line="151"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auto"/>
        </w:rPr>
        <w:t xml:space="preserve">ULTRAGENYX PHARMACEUTICAL INC. </w:t>
      </w:r>
      <w:r>
        <w:rPr>
          <w:rFonts w:ascii="Arial" w:cs="Arial" w:eastAsia="Arial" w:hAnsi="Arial"/>
          <w:sz w:val="14"/>
          <w:szCs w:val="14"/>
          <w:color w:val="7CBD3F"/>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2025 Proxy Statement</w:t>
      </w:r>
      <w:r>
        <w:rPr>
          <w:rFonts w:ascii="Arial" w:cs="Arial" w:eastAsia="Arial" w:hAnsi="Arial"/>
          <w:sz w:val="14"/>
          <w:szCs w:val="14"/>
          <w:b w:val="1"/>
          <w:bCs w:val="1"/>
          <w:color w:val="auto"/>
        </w:rPr>
        <w:tab/>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142240</wp:posOffset>
            </wp:positionV>
            <wp:extent cx="7150735"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0735" cy="29845"/>
                    </a:xfrm>
                    <a:prstGeom prst="rect">
                      <a:avLst/>
                    </a:prstGeom>
                    <a:noFill/>
                  </pic:spPr>
                </pic:pic>
              </a:graphicData>
            </a:graphic>
          </wp:anchor>
        </w:drawing>
      </w:r>
    </w:p>
    <w:p>
      <w:pPr>
        <w:sectPr>
          <w:pgSz w:w="11900" w:h="16838" w:orient="portrait"/>
          <w:cols w:equalWidth="0" w:num="1">
            <w:col w:w="11260"/>
          </w:cols>
          <w:pgMar w:left="320" w:top="225" w:right="319" w:bottom="1440" w:gutter="0" w:footer="0" w:header="0"/>
        </w:sectPr>
      </w:pPr>
    </w:p>
    <w:bookmarkStart w:id="62" w:name="page63"/>
    <w:bookmarkEnd w:id="62"/>
    <w:p>
      <w:pPr>
        <w:spacing w:after="0"/>
        <w:rPr>
          <w:sz w:val="20"/>
          <w:szCs w:val="20"/>
          <w:color w:val="auto"/>
        </w:rPr>
      </w:pPr>
      <w:r>
        <w:rPr>
          <w:rFonts w:ascii="Arial" w:cs="Arial" w:eastAsia="Arial" w:hAnsi="Arial"/>
          <w:sz w:val="12"/>
          <w:szCs w:val="12"/>
          <w:b w:val="1"/>
          <w:bCs w:val="1"/>
          <w:u w:val="single" w:color="auto"/>
          <w:color w:val="0000EE"/>
        </w:rPr>
        <w:t>Back to Contents</w:t>
      </w:r>
    </w:p>
    <w:p>
      <w:pPr>
        <w:spacing w:after="0" w:line="138" w:lineRule="exact"/>
        <w:rPr>
          <w:sz w:val="20"/>
          <w:szCs w:val="20"/>
          <w:color w:val="auto"/>
        </w:rPr>
      </w:pPr>
    </w:p>
    <w:p>
      <w:pPr>
        <w:spacing w:after="0"/>
        <w:rPr>
          <w:sz w:val="20"/>
          <w:szCs w:val="20"/>
          <w:color w:val="auto"/>
        </w:rPr>
      </w:pPr>
      <w:r>
        <w:rPr>
          <w:rFonts w:ascii="Arial" w:cs="Arial" w:eastAsia="Arial" w:hAnsi="Arial"/>
          <w:sz w:val="19"/>
          <w:szCs w:val="19"/>
          <w:b w:val="1"/>
          <w:bCs w:val="1"/>
          <w:color w:val="7CBD3F"/>
        </w:rPr>
        <w:t>John R. Pinion II</w:t>
      </w:r>
    </w:p>
    <w:p>
      <w:pPr>
        <w:spacing w:after="0" w:line="212" w:lineRule="exact"/>
        <w:rPr>
          <w:sz w:val="20"/>
          <w:szCs w:val="20"/>
          <w:color w:val="auto"/>
        </w:rPr>
      </w:pPr>
    </w:p>
    <w:p>
      <w:pPr>
        <w:jc w:val="both"/>
        <w:ind w:right="20"/>
        <w:spacing w:after="0" w:line="260" w:lineRule="auto"/>
        <w:rPr>
          <w:sz w:val="20"/>
          <w:szCs w:val="20"/>
          <w:color w:val="auto"/>
        </w:rPr>
      </w:pPr>
      <w:r>
        <w:rPr>
          <w:rFonts w:ascii="Arial" w:cs="Arial" w:eastAsia="Arial" w:hAnsi="Arial"/>
          <w:sz w:val="14"/>
          <w:szCs w:val="14"/>
          <w:color w:val="auto"/>
        </w:rPr>
        <w:t>The following table describes the potential payments upon employment termination for John Pinion, our Chief Quality Officer and Executive Vice President, Translational Sciences as if his employment terminated as of December 31, 2024, the last business day of the fiscal year. Qualifying termination includes a termination by the Company without cause or a resignation by Mr. Pinion due to a constructive termination.</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564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660" w:type="dxa"/>
            <w:vAlign w:val="bottom"/>
            <w:gridSpan w:val="2"/>
          </w:tcPr>
          <w:p>
            <w:pPr>
              <w:jc w:val="right"/>
              <w:spacing w:after="0"/>
              <w:rPr>
                <w:sz w:val="20"/>
                <w:szCs w:val="20"/>
                <w:color w:val="auto"/>
              </w:rPr>
            </w:pPr>
            <w:r>
              <w:rPr>
                <w:rFonts w:ascii="Arial" w:cs="Arial" w:eastAsia="Arial" w:hAnsi="Arial"/>
                <w:sz w:val="14"/>
                <w:szCs w:val="14"/>
                <w:b w:val="1"/>
                <w:bCs w:val="1"/>
                <w:color w:val="auto"/>
              </w:rPr>
              <w:t>Qualifying Termination</w:t>
            </w:r>
          </w:p>
        </w:tc>
      </w:tr>
      <w:tr>
        <w:trPr>
          <w:trHeight w:val="163"/>
        </w:trPr>
        <w:tc>
          <w:tcPr>
            <w:tcW w:w="5640" w:type="dxa"/>
            <w:vAlign w:val="bottom"/>
          </w:tcPr>
          <w:p>
            <w:pPr>
              <w:ind w:left="40"/>
              <w:spacing w:after="0"/>
              <w:rPr>
                <w:sz w:val="20"/>
                <w:szCs w:val="20"/>
                <w:color w:val="auto"/>
              </w:rPr>
            </w:pPr>
            <w:r>
              <w:rPr>
                <w:rFonts w:ascii="Arial" w:cs="Arial" w:eastAsia="Arial" w:hAnsi="Arial"/>
                <w:sz w:val="14"/>
                <w:szCs w:val="14"/>
                <w:b w:val="1"/>
                <w:bCs w:val="1"/>
                <w:color w:val="auto"/>
              </w:rPr>
              <w:t>Potential Payments Upon Termination</w:t>
            </w:r>
          </w:p>
        </w:tc>
        <w:tc>
          <w:tcPr>
            <w:tcW w:w="3960" w:type="dxa"/>
            <w:vAlign w:val="bottom"/>
          </w:tcPr>
          <w:p>
            <w:pPr>
              <w:jc w:val="right"/>
              <w:ind w:right="30"/>
              <w:spacing w:after="0"/>
              <w:rPr>
                <w:sz w:val="20"/>
                <w:szCs w:val="20"/>
                <w:color w:val="auto"/>
              </w:rPr>
            </w:pPr>
            <w:r>
              <w:rPr>
                <w:rFonts w:ascii="Arial" w:cs="Arial" w:eastAsia="Arial" w:hAnsi="Arial"/>
                <w:sz w:val="14"/>
                <w:szCs w:val="14"/>
                <w:b w:val="1"/>
                <w:bCs w:val="1"/>
                <w:color w:val="auto"/>
              </w:rPr>
              <w:t>Qualifying</w:t>
            </w:r>
          </w:p>
        </w:tc>
        <w:tc>
          <w:tcPr>
            <w:tcW w:w="1660" w:type="dxa"/>
            <w:vAlign w:val="bottom"/>
            <w:gridSpan w:val="2"/>
          </w:tcPr>
          <w:p>
            <w:pPr>
              <w:jc w:val="right"/>
              <w:spacing w:after="0"/>
              <w:rPr>
                <w:sz w:val="20"/>
                <w:szCs w:val="20"/>
                <w:color w:val="auto"/>
              </w:rPr>
            </w:pPr>
            <w:r>
              <w:rPr>
                <w:rFonts w:ascii="Arial" w:cs="Arial" w:eastAsia="Arial" w:hAnsi="Arial"/>
                <w:sz w:val="14"/>
                <w:szCs w:val="14"/>
                <w:b w:val="1"/>
                <w:bCs w:val="1"/>
                <w:color w:val="auto"/>
              </w:rPr>
              <w:t>following a Covered</w:t>
            </w:r>
          </w:p>
        </w:tc>
      </w:tr>
      <w:tr>
        <w:trPr>
          <w:trHeight w:val="179"/>
        </w:trPr>
        <w:tc>
          <w:tcPr>
            <w:tcW w:w="5640" w:type="dxa"/>
            <w:vAlign w:val="bottom"/>
            <w:tcBorders>
              <w:bottom w:val="single" w:sz="8" w:color="7CBD3F"/>
            </w:tcBorders>
          </w:tcPr>
          <w:p>
            <w:pPr>
              <w:ind w:left="40"/>
              <w:spacing w:after="0"/>
              <w:rPr>
                <w:sz w:val="20"/>
                <w:szCs w:val="20"/>
                <w:color w:val="auto"/>
              </w:rPr>
            </w:pPr>
            <w:r>
              <w:rPr>
                <w:rFonts w:ascii="Arial" w:cs="Arial" w:eastAsia="Arial" w:hAnsi="Arial"/>
                <w:sz w:val="14"/>
                <w:szCs w:val="14"/>
                <w:b w:val="1"/>
                <w:bCs w:val="1"/>
                <w:color w:val="auto"/>
              </w:rPr>
              <w:t>or Change of Control</w:t>
            </w:r>
          </w:p>
        </w:tc>
        <w:tc>
          <w:tcPr>
            <w:tcW w:w="3960" w:type="dxa"/>
            <w:vAlign w:val="bottom"/>
            <w:tcBorders>
              <w:bottom w:val="single" w:sz="8" w:color="7CBD3F"/>
            </w:tcBorders>
          </w:tcPr>
          <w:p>
            <w:pPr>
              <w:jc w:val="right"/>
              <w:ind w:right="30"/>
              <w:spacing w:after="0"/>
              <w:rPr>
                <w:sz w:val="20"/>
                <w:szCs w:val="20"/>
                <w:color w:val="auto"/>
              </w:rPr>
            </w:pPr>
            <w:r>
              <w:rPr>
                <w:rFonts w:ascii="Arial" w:cs="Arial" w:eastAsia="Arial" w:hAnsi="Arial"/>
                <w:sz w:val="14"/>
                <w:szCs w:val="14"/>
                <w:b w:val="1"/>
                <w:bCs w:val="1"/>
                <w:color w:val="auto"/>
              </w:rPr>
              <w:t>Termination</w:t>
            </w:r>
          </w:p>
        </w:tc>
        <w:tc>
          <w:tcPr>
            <w:tcW w:w="820" w:type="dxa"/>
            <w:vAlign w:val="bottom"/>
            <w:tcBorders>
              <w:bottom w:val="single" w:sz="8" w:color="7CBD3F"/>
            </w:tcBorders>
          </w:tcPr>
          <w:p>
            <w:pPr>
              <w:spacing w:after="0"/>
              <w:rPr>
                <w:sz w:val="15"/>
                <w:szCs w:val="15"/>
                <w:color w:val="auto"/>
              </w:rPr>
            </w:pPr>
          </w:p>
        </w:tc>
        <w:tc>
          <w:tcPr>
            <w:tcW w:w="840" w:type="dxa"/>
            <w:vAlign w:val="bottom"/>
            <w:tcBorders>
              <w:bottom w:val="single" w:sz="8" w:color="7CBD3F"/>
            </w:tcBorders>
          </w:tcPr>
          <w:p>
            <w:pPr>
              <w:jc w:val="right"/>
              <w:spacing w:after="0"/>
              <w:rPr>
                <w:sz w:val="20"/>
                <w:szCs w:val="20"/>
                <w:color w:val="auto"/>
              </w:rPr>
            </w:pPr>
            <w:r>
              <w:rPr>
                <w:rFonts w:ascii="Arial" w:cs="Arial" w:eastAsia="Arial" w:hAnsi="Arial"/>
                <w:sz w:val="14"/>
                <w:szCs w:val="14"/>
                <w:b w:val="1"/>
                <w:bCs w:val="1"/>
                <w:color w:val="auto"/>
                <w:w w:val="95"/>
              </w:rPr>
              <w:t>Transaction</w:t>
            </w:r>
          </w:p>
        </w:tc>
      </w:tr>
      <w:tr>
        <w:trPr>
          <w:trHeight w:val="163"/>
        </w:trPr>
        <w:tc>
          <w:tcPr>
            <w:tcW w:w="5640" w:type="dxa"/>
            <w:vAlign w:val="bottom"/>
          </w:tcPr>
          <w:p>
            <w:pPr>
              <w:ind w:left="40"/>
              <w:spacing w:after="0"/>
              <w:rPr>
                <w:sz w:val="20"/>
                <w:szCs w:val="20"/>
                <w:color w:val="auto"/>
              </w:rPr>
            </w:pPr>
            <w:r>
              <w:rPr>
                <w:rFonts w:ascii="Arial" w:cs="Arial" w:eastAsia="Arial" w:hAnsi="Arial"/>
                <w:sz w:val="14"/>
                <w:szCs w:val="14"/>
                <w:color w:val="auto"/>
              </w:rPr>
              <w:t>Base Salary</w:t>
            </w:r>
          </w:p>
        </w:tc>
        <w:tc>
          <w:tcPr>
            <w:tcW w:w="3960" w:type="dxa"/>
            <w:vAlign w:val="bottom"/>
          </w:tcPr>
          <w:p>
            <w:pPr>
              <w:jc w:val="right"/>
              <w:ind w:right="30"/>
              <w:spacing w:after="0"/>
              <w:rPr>
                <w:sz w:val="20"/>
                <w:szCs w:val="20"/>
                <w:color w:val="auto"/>
              </w:rPr>
            </w:pPr>
            <w:r>
              <w:rPr>
                <w:rFonts w:ascii="Arial" w:cs="Arial" w:eastAsia="Arial" w:hAnsi="Arial"/>
                <w:sz w:val="14"/>
                <w:szCs w:val="14"/>
                <w:color w:val="auto"/>
              </w:rPr>
              <w:t>$572,000</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858,000</w:t>
            </w:r>
          </w:p>
        </w:tc>
      </w:tr>
      <w:tr>
        <w:trPr>
          <w:trHeight w:val="163"/>
        </w:trPr>
        <w:tc>
          <w:tcPr>
            <w:tcW w:w="5640" w:type="dxa"/>
            <w:vAlign w:val="bottom"/>
            <w:shd w:val="clear" w:color="auto" w:fill="F0F7E7"/>
          </w:tcPr>
          <w:p>
            <w:pPr>
              <w:ind w:left="40"/>
              <w:spacing w:after="0"/>
              <w:rPr>
                <w:sz w:val="20"/>
                <w:szCs w:val="20"/>
                <w:color w:val="auto"/>
              </w:rPr>
            </w:pPr>
            <w:r>
              <w:rPr>
                <w:rFonts w:ascii="Arial" w:cs="Arial" w:eastAsia="Arial" w:hAnsi="Arial"/>
                <w:sz w:val="14"/>
                <w:szCs w:val="14"/>
                <w:color w:val="auto"/>
              </w:rPr>
              <w:t>Bonus</w:t>
            </w:r>
          </w:p>
        </w:tc>
        <w:tc>
          <w:tcPr>
            <w:tcW w:w="3960" w:type="dxa"/>
            <w:vAlign w:val="bottom"/>
            <w:shd w:val="clear" w:color="auto" w:fill="F0F7E7"/>
          </w:tcPr>
          <w:p>
            <w:pPr>
              <w:jc w:val="right"/>
              <w:ind w:right="30"/>
              <w:spacing w:after="0"/>
              <w:rPr>
                <w:sz w:val="20"/>
                <w:szCs w:val="20"/>
                <w:color w:val="auto"/>
              </w:rPr>
            </w:pPr>
            <w:r>
              <w:rPr>
                <w:rFonts w:ascii="Arial" w:cs="Arial" w:eastAsia="Arial" w:hAnsi="Arial"/>
                <w:sz w:val="14"/>
                <w:szCs w:val="14"/>
                <w:color w:val="auto"/>
              </w:rPr>
              <w:t>286,000</w:t>
            </w:r>
          </w:p>
        </w:tc>
        <w:tc>
          <w:tcPr>
            <w:tcW w:w="820" w:type="dxa"/>
            <w:vAlign w:val="bottom"/>
            <w:shd w:val="clear" w:color="auto" w:fill="F0F7E7"/>
          </w:tcPr>
          <w:p>
            <w:pPr>
              <w:spacing w:after="0"/>
              <w:rPr>
                <w:sz w:val="14"/>
                <w:szCs w:val="14"/>
                <w:color w:val="auto"/>
              </w:rPr>
            </w:pPr>
          </w:p>
        </w:tc>
        <w:tc>
          <w:tcPr>
            <w:tcW w:w="840" w:type="dxa"/>
            <w:vAlign w:val="bottom"/>
            <w:shd w:val="clear" w:color="auto" w:fill="F0F7E7"/>
          </w:tcPr>
          <w:p>
            <w:pPr>
              <w:jc w:val="right"/>
              <w:spacing w:after="0"/>
              <w:rPr>
                <w:sz w:val="20"/>
                <w:szCs w:val="20"/>
                <w:color w:val="auto"/>
              </w:rPr>
            </w:pPr>
            <w:r>
              <w:rPr>
                <w:rFonts w:ascii="Arial" w:cs="Arial" w:eastAsia="Arial" w:hAnsi="Arial"/>
                <w:sz w:val="14"/>
                <w:szCs w:val="14"/>
                <w:color w:val="auto"/>
              </w:rPr>
              <w:t>429,000</w:t>
            </w:r>
          </w:p>
        </w:tc>
      </w:tr>
      <w:tr>
        <w:trPr>
          <w:trHeight w:val="163"/>
        </w:trPr>
        <w:tc>
          <w:tcPr>
            <w:tcW w:w="5640" w:type="dxa"/>
            <w:vAlign w:val="bottom"/>
          </w:tcPr>
          <w:p>
            <w:pPr>
              <w:ind w:left="40"/>
              <w:spacing w:after="0"/>
              <w:rPr>
                <w:sz w:val="20"/>
                <w:szCs w:val="20"/>
                <w:color w:val="auto"/>
              </w:rPr>
            </w:pPr>
            <w:r>
              <w:rPr>
                <w:rFonts w:ascii="Arial" w:cs="Arial" w:eastAsia="Arial" w:hAnsi="Arial"/>
                <w:sz w:val="14"/>
                <w:szCs w:val="14"/>
                <w:color w:val="auto"/>
              </w:rPr>
              <w:t>Acceleration of equity awards</w:t>
            </w:r>
          </w:p>
        </w:tc>
        <w:tc>
          <w:tcPr>
            <w:tcW w:w="396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8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3,615,790</w:t>
            </w:r>
          </w:p>
        </w:tc>
      </w:tr>
      <w:tr>
        <w:trPr>
          <w:trHeight w:val="163"/>
        </w:trPr>
        <w:tc>
          <w:tcPr>
            <w:tcW w:w="5640" w:type="dxa"/>
            <w:vAlign w:val="bottom"/>
            <w:tcBorders>
              <w:bottom w:val="single" w:sz="8" w:color="7CBD3F"/>
            </w:tcBorders>
            <w:shd w:val="clear" w:color="auto" w:fill="F0F7E7"/>
          </w:tcPr>
          <w:p>
            <w:pPr>
              <w:ind w:left="40"/>
              <w:spacing w:after="0"/>
              <w:rPr>
                <w:sz w:val="20"/>
                <w:szCs w:val="20"/>
                <w:color w:val="auto"/>
              </w:rPr>
            </w:pPr>
            <w:r>
              <w:rPr>
                <w:rFonts w:ascii="Arial" w:cs="Arial" w:eastAsia="Arial" w:hAnsi="Arial"/>
                <w:sz w:val="14"/>
                <w:szCs w:val="14"/>
                <w:color w:val="auto"/>
              </w:rPr>
              <w:t>COBRA reimbursements</w:t>
            </w:r>
          </w:p>
        </w:tc>
        <w:tc>
          <w:tcPr>
            <w:tcW w:w="3960" w:type="dxa"/>
            <w:vAlign w:val="bottom"/>
            <w:tcBorders>
              <w:bottom w:val="single" w:sz="8" w:color="7CBD3F"/>
            </w:tcBorders>
            <w:shd w:val="clear" w:color="auto" w:fill="F0F7E7"/>
          </w:tcPr>
          <w:p>
            <w:pPr>
              <w:jc w:val="right"/>
              <w:ind w:right="30"/>
              <w:spacing w:after="0"/>
              <w:rPr>
                <w:sz w:val="20"/>
                <w:szCs w:val="20"/>
                <w:color w:val="auto"/>
              </w:rPr>
            </w:pPr>
            <w:r>
              <w:rPr>
                <w:rFonts w:ascii="Arial" w:cs="Arial" w:eastAsia="Arial" w:hAnsi="Arial"/>
                <w:sz w:val="14"/>
                <w:szCs w:val="14"/>
                <w:color w:val="auto"/>
              </w:rPr>
              <w:t>39,974</w:t>
            </w:r>
          </w:p>
        </w:tc>
        <w:tc>
          <w:tcPr>
            <w:tcW w:w="820" w:type="dxa"/>
            <w:vAlign w:val="bottom"/>
            <w:tcBorders>
              <w:bottom w:val="single" w:sz="8" w:color="7CBD3F"/>
            </w:tcBorders>
            <w:shd w:val="clear" w:color="auto" w:fill="F0F7E7"/>
          </w:tcPr>
          <w:p>
            <w:pPr>
              <w:spacing w:after="0"/>
              <w:rPr>
                <w:sz w:val="14"/>
                <w:szCs w:val="14"/>
                <w:color w:val="auto"/>
              </w:rPr>
            </w:pPr>
          </w:p>
        </w:tc>
        <w:tc>
          <w:tcPr>
            <w:tcW w:w="840" w:type="dxa"/>
            <w:vAlign w:val="bottom"/>
            <w:tcBorders>
              <w:bottom w:val="single" w:sz="8" w:color="7CBD3F"/>
            </w:tcBorders>
            <w:shd w:val="clear" w:color="auto" w:fill="F0F7E7"/>
          </w:tcPr>
          <w:p>
            <w:pPr>
              <w:jc w:val="right"/>
              <w:spacing w:after="0"/>
              <w:rPr>
                <w:sz w:val="20"/>
                <w:szCs w:val="20"/>
                <w:color w:val="auto"/>
              </w:rPr>
            </w:pPr>
            <w:r>
              <w:rPr>
                <w:rFonts w:ascii="Arial" w:cs="Arial" w:eastAsia="Arial" w:hAnsi="Arial"/>
                <w:sz w:val="14"/>
                <w:szCs w:val="14"/>
                <w:color w:val="auto"/>
              </w:rPr>
              <w:t>59,961</w:t>
            </w:r>
          </w:p>
        </w:tc>
      </w:tr>
      <w:tr>
        <w:trPr>
          <w:trHeight w:val="158"/>
        </w:trPr>
        <w:tc>
          <w:tcPr>
            <w:tcW w:w="5640" w:type="dxa"/>
            <w:vAlign w:val="bottom"/>
            <w:tcBorders>
              <w:bottom w:val="single" w:sz="8" w:color="7CBD3F"/>
            </w:tcBorders>
          </w:tcPr>
          <w:p>
            <w:pPr>
              <w:ind w:left="40"/>
              <w:spacing w:after="0" w:line="155" w:lineRule="exact"/>
              <w:rPr>
                <w:sz w:val="20"/>
                <w:szCs w:val="20"/>
                <w:color w:val="auto"/>
              </w:rPr>
            </w:pPr>
            <w:r>
              <w:rPr>
                <w:rFonts w:ascii="Arial" w:cs="Arial" w:eastAsia="Arial" w:hAnsi="Arial"/>
                <w:sz w:val="14"/>
                <w:szCs w:val="14"/>
                <w:b w:val="1"/>
                <w:bCs w:val="1"/>
                <w:color w:val="7CBD3F"/>
              </w:rPr>
              <w:t>TOTAL</w:t>
            </w:r>
          </w:p>
        </w:tc>
        <w:tc>
          <w:tcPr>
            <w:tcW w:w="3960" w:type="dxa"/>
            <w:vAlign w:val="bottom"/>
            <w:tcBorders>
              <w:bottom w:val="single" w:sz="8" w:color="7CBD3F"/>
            </w:tcBorders>
          </w:tcPr>
          <w:p>
            <w:pPr>
              <w:jc w:val="right"/>
              <w:ind w:right="30"/>
              <w:spacing w:after="0" w:line="155" w:lineRule="exact"/>
              <w:rPr>
                <w:sz w:val="20"/>
                <w:szCs w:val="20"/>
                <w:color w:val="auto"/>
              </w:rPr>
            </w:pPr>
            <w:r>
              <w:rPr>
                <w:rFonts w:ascii="Arial" w:cs="Arial" w:eastAsia="Arial" w:hAnsi="Arial"/>
                <w:sz w:val="14"/>
                <w:szCs w:val="14"/>
                <w:b w:val="1"/>
                <w:bCs w:val="1"/>
                <w:color w:val="7CBD3F"/>
              </w:rPr>
              <w:t>$897,974</w:t>
            </w:r>
          </w:p>
        </w:tc>
        <w:tc>
          <w:tcPr>
            <w:tcW w:w="820" w:type="dxa"/>
            <w:vAlign w:val="bottom"/>
            <w:tcBorders>
              <w:bottom w:val="single" w:sz="8" w:color="7CBD3F"/>
            </w:tcBorders>
          </w:tcPr>
          <w:p>
            <w:pPr>
              <w:jc w:val="right"/>
              <w:spacing w:after="0" w:line="155" w:lineRule="exact"/>
              <w:rPr>
                <w:sz w:val="20"/>
                <w:szCs w:val="20"/>
                <w:color w:val="auto"/>
              </w:rPr>
            </w:pPr>
            <w:r>
              <w:rPr>
                <w:rFonts w:ascii="Arial" w:cs="Arial" w:eastAsia="Arial" w:hAnsi="Arial"/>
                <w:sz w:val="14"/>
                <w:szCs w:val="14"/>
                <w:b w:val="1"/>
                <w:bCs w:val="1"/>
                <w:color w:val="7CBD3F"/>
              </w:rPr>
              <w:t>$</w:t>
            </w:r>
          </w:p>
        </w:tc>
        <w:tc>
          <w:tcPr>
            <w:tcW w:w="840" w:type="dxa"/>
            <w:vAlign w:val="bottom"/>
            <w:tcBorders>
              <w:bottom w:val="single" w:sz="8" w:color="7CBD3F"/>
            </w:tcBorders>
          </w:tcPr>
          <w:p>
            <w:pPr>
              <w:jc w:val="right"/>
              <w:spacing w:after="0" w:line="155" w:lineRule="exact"/>
              <w:rPr>
                <w:sz w:val="20"/>
                <w:szCs w:val="20"/>
                <w:color w:val="auto"/>
              </w:rPr>
            </w:pPr>
            <w:r>
              <w:rPr>
                <w:rFonts w:ascii="Arial" w:cs="Arial" w:eastAsia="Arial" w:hAnsi="Arial"/>
                <w:sz w:val="14"/>
                <w:szCs w:val="14"/>
                <w:b w:val="1"/>
                <w:bCs w:val="1"/>
                <w:color w:val="7CBD3F"/>
              </w:rPr>
              <w:t>4,962,751</w:t>
            </w:r>
          </w:p>
        </w:tc>
      </w:tr>
    </w:tbl>
    <w:p>
      <w:pPr>
        <w:spacing w:after="0" w:line="151"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auto"/>
        </w:rPr>
        <w:t xml:space="preserve">ULTRAGENYX PHARMACEUTICAL INC. </w:t>
      </w:r>
      <w:r>
        <w:rPr>
          <w:rFonts w:ascii="Arial" w:cs="Arial" w:eastAsia="Arial" w:hAnsi="Arial"/>
          <w:sz w:val="14"/>
          <w:szCs w:val="14"/>
          <w:color w:val="7CBD3F"/>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2025 Proxy Statement</w:t>
      </w:r>
      <w:r>
        <w:rPr>
          <w:rFonts w:ascii="Arial" w:cs="Arial" w:eastAsia="Arial" w:hAnsi="Arial"/>
          <w:sz w:val="14"/>
          <w:szCs w:val="14"/>
          <w:b w:val="1"/>
          <w:bCs w:val="1"/>
          <w:color w:val="auto"/>
        </w:rPr>
        <w:tab/>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142240</wp:posOffset>
            </wp:positionV>
            <wp:extent cx="7150735"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0735" cy="29845"/>
                    </a:xfrm>
                    <a:prstGeom prst="rect">
                      <a:avLst/>
                    </a:prstGeom>
                    <a:noFill/>
                  </pic:spPr>
                </pic:pic>
              </a:graphicData>
            </a:graphic>
          </wp:anchor>
        </w:drawing>
      </w:r>
    </w:p>
    <w:p>
      <w:pPr>
        <w:sectPr>
          <w:pgSz w:w="11900" w:h="16838" w:orient="portrait"/>
          <w:cols w:equalWidth="0" w:num="1">
            <w:col w:w="11260"/>
          </w:cols>
          <w:pgMar w:left="320" w:top="225" w:right="319" w:bottom="1440" w:gutter="0" w:footer="0" w:header="0"/>
        </w:sectPr>
      </w:pPr>
    </w:p>
    <w:bookmarkStart w:id="63" w:name="page64"/>
    <w:bookmarkEnd w:id="63"/>
    <w:p>
      <w:pPr>
        <w:ind w:left="7"/>
        <w:spacing w:after="0"/>
        <w:rPr>
          <w:sz w:val="20"/>
          <w:szCs w:val="20"/>
          <w:color w:val="auto"/>
        </w:rPr>
      </w:pPr>
      <w:r>
        <w:rPr>
          <w:rFonts w:ascii="Arial" w:cs="Arial" w:eastAsia="Arial" w:hAnsi="Arial"/>
          <w:sz w:val="12"/>
          <w:szCs w:val="12"/>
          <w:b w:val="1"/>
          <w:bCs w:val="1"/>
          <w:u w:val="single" w:color="auto"/>
          <w:color w:val="0000EE"/>
        </w:rPr>
        <w:t>Back to Contents</w:t>
      </w:r>
    </w:p>
    <w:p>
      <w:pPr>
        <w:spacing w:after="0" w:line="128" w:lineRule="exact"/>
        <w:rPr>
          <w:sz w:val="20"/>
          <w:szCs w:val="20"/>
          <w:color w:val="auto"/>
        </w:rPr>
      </w:pPr>
    </w:p>
    <w:p>
      <w:pPr>
        <w:ind w:left="7"/>
        <w:spacing w:after="0"/>
        <w:rPr>
          <w:sz w:val="20"/>
          <w:szCs w:val="20"/>
          <w:color w:val="auto"/>
        </w:rPr>
      </w:pPr>
      <w:r>
        <w:rPr>
          <w:rFonts w:ascii="Arial" w:cs="Arial" w:eastAsia="Arial" w:hAnsi="Arial"/>
          <w:sz w:val="31"/>
          <w:szCs w:val="31"/>
          <w:b w:val="1"/>
          <w:bCs w:val="1"/>
          <w:color w:val="7CBD3F"/>
        </w:rPr>
        <w:t>Equity Compensation Plan Information</w:t>
      </w:r>
    </w:p>
    <w:p>
      <w:pPr>
        <w:spacing w:after="0" w:line="387" w:lineRule="exact"/>
        <w:rPr>
          <w:sz w:val="20"/>
          <w:szCs w:val="20"/>
          <w:color w:val="auto"/>
        </w:rPr>
      </w:pPr>
    </w:p>
    <w:p>
      <w:pPr>
        <w:ind w:left="7" w:right="20"/>
        <w:spacing w:after="0" w:line="278" w:lineRule="auto"/>
        <w:rPr>
          <w:sz w:val="20"/>
          <w:szCs w:val="20"/>
          <w:color w:val="auto"/>
        </w:rPr>
      </w:pPr>
      <w:r>
        <w:rPr>
          <w:rFonts w:ascii="Arial" w:cs="Arial" w:eastAsia="Arial" w:hAnsi="Arial"/>
          <w:sz w:val="14"/>
          <w:szCs w:val="14"/>
          <w:color w:val="auto"/>
        </w:rPr>
        <w:t>The table below discloses information as of December 31, 2024 with respect to our equity compensation plans that have been approved by stockholders and equity compensation plans that have not been approved by stockholders.</w:t>
      </w:r>
    </w:p>
    <w:p>
      <w:pPr>
        <w:spacing w:after="0" w:line="117" w:lineRule="exact"/>
        <w:rPr>
          <w:sz w:val="20"/>
          <w:szCs w:val="20"/>
          <w:color w:val="auto"/>
        </w:rPr>
      </w:pPr>
    </w:p>
    <w:tbl>
      <w:tblPr>
        <w:tblLayout w:type="fixed"/>
        <w:tblInd w:w="7" w:type="dxa"/>
        <w:tblCellMar>
          <w:top w:w="0" w:type="dxa"/>
          <w:left w:w="0" w:type="dxa"/>
          <w:bottom w:w="0" w:type="dxa"/>
          <w:right w:w="0" w:type="dxa"/>
        </w:tblCellMar>
      </w:tblPr>
      <w:tr>
        <w:trPr>
          <w:trHeight w:val="163"/>
        </w:trPr>
        <w:tc>
          <w:tcPr>
            <w:tcW w:w="520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780" w:type="dxa"/>
            <w:vAlign w:val="bottom"/>
          </w:tcPr>
          <w:p>
            <w:pPr>
              <w:jc w:val="right"/>
              <w:spacing w:after="0"/>
              <w:rPr>
                <w:sz w:val="20"/>
                <w:szCs w:val="20"/>
                <w:color w:val="auto"/>
              </w:rPr>
            </w:pPr>
            <w:r>
              <w:rPr>
                <w:rFonts w:ascii="Arial" w:cs="Arial" w:eastAsia="Arial" w:hAnsi="Arial"/>
                <w:sz w:val="14"/>
                <w:szCs w:val="14"/>
                <w:b w:val="1"/>
                <w:bCs w:val="1"/>
                <w:color w:val="auto"/>
              </w:rPr>
              <w:t>Number of Securities</w:t>
            </w:r>
          </w:p>
        </w:tc>
        <w:tc>
          <w:tcPr>
            <w:tcW w:w="0" w:type="dxa"/>
            <w:vAlign w:val="bottom"/>
          </w:tcPr>
          <w:p>
            <w:pPr>
              <w:spacing w:after="0"/>
              <w:rPr>
                <w:sz w:val="1"/>
                <w:szCs w:val="1"/>
                <w:color w:val="auto"/>
              </w:rPr>
            </w:pPr>
          </w:p>
        </w:tc>
      </w:tr>
      <w:tr>
        <w:trPr>
          <w:trHeight w:val="163"/>
        </w:trPr>
        <w:tc>
          <w:tcPr>
            <w:tcW w:w="5200" w:type="dxa"/>
            <w:vAlign w:val="bottom"/>
          </w:tcPr>
          <w:p>
            <w:pPr>
              <w:spacing w:after="0"/>
              <w:rPr>
                <w:sz w:val="14"/>
                <w:szCs w:val="14"/>
                <w:color w:val="auto"/>
              </w:rPr>
            </w:pPr>
          </w:p>
        </w:tc>
        <w:tc>
          <w:tcPr>
            <w:tcW w:w="2540" w:type="dxa"/>
            <w:vAlign w:val="bottom"/>
            <w:vMerge w:val="restart"/>
          </w:tcPr>
          <w:p>
            <w:pPr>
              <w:jc w:val="right"/>
              <w:ind w:right="70"/>
              <w:spacing w:after="0"/>
              <w:rPr>
                <w:sz w:val="20"/>
                <w:szCs w:val="20"/>
                <w:color w:val="auto"/>
              </w:rPr>
            </w:pPr>
            <w:r>
              <w:rPr>
                <w:rFonts w:ascii="Arial" w:cs="Arial" w:eastAsia="Arial" w:hAnsi="Arial"/>
                <w:sz w:val="14"/>
                <w:szCs w:val="14"/>
                <w:b w:val="1"/>
                <w:bCs w:val="1"/>
                <w:color w:val="auto"/>
              </w:rPr>
              <w:t>Number of Securities</w:t>
            </w:r>
          </w:p>
        </w:tc>
        <w:tc>
          <w:tcPr>
            <w:tcW w:w="1740" w:type="dxa"/>
            <w:vAlign w:val="bottom"/>
          </w:tcPr>
          <w:p>
            <w:pPr>
              <w:spacing w:after="0"/>
              <w:rPr>
                <w:sz w:val="14"/>
                <w:szCs w:val="14"/>
                <w:color w:val="auto"/>
              </w:rPr>
            </w:pPr>
          </w:p>
        </w:tc>
        <w:tc>
          <w:tcPr>
            <w:tcW w:w="1780" w:type="dxa"/>
            <w:vAlign w:val="bottom"/>
          </w:tcPr>
          <w:p>
            <w:pPr>
              <w:jc w:val="right"/>
              <w:spacing w:after="0"/>
              <w:rPr>
                <w:sz w:val="20"/>
                <w:szCs w:val="20"/>
                <w:color w:val="auto"/>
              </w:rPr>
            </w:pPr>
            <w:r>
              <w:rPr>
                <w:rFonts w:ascii="Arial" w:cs="Arial" w:eastAsia="Arial" w:hAnsi="Arial"/>
                <w:sz w:val="14"/>
                <w:szCs w:val="14"/>
                <w:b w:val="1"/>
                <w:bCs w:val="1"/>
                <w:color w:val="auto"/>
              </w:rPr>
              <w:t>Remaining Available</w:t>
            </w:r>
          </w:p>
        </w:tc>
        <w:tc>
          <w:tcPr>
            <w:tcW w:w="0" w:type="dxa"/>
            <w:vAlign w:val="bottom"/>
          </w:tcPr>
          <w:p>
            <w:pPr>
              <w:spacing w:after="0"/>
              <w:rPr>
                <w:sz w:val="1"/>
                <w:szCs w:val="1"/>
                <w:color w:val="auto"/>
              </w:rPr>
            </w:pPr>
          </w:p>
        </w:tc>
      </w:tr>
      <w:tr>
        <w:trPr>
          <w:trHeight w:val="141"/>
        </w:trPr>
        <w:tc>
          <w:tcPr>
            <w:tcW w:w="5200" w:type="dxa"/>
            <w:vAlign w:val="bottom"/>
          </w:tcPr>
          <w:p>
            <w:pPr>
              <w:spacing w:after="0"/>
              <w:rPr>
                <w:sz w:val="12"/>
                <w:szCs w:val="12"/>
                <w:color w:val="auto"/>
              </w:rPr>
            </w:pPr>
          </w:p>
        </w:tc>
        <w:tc>
          <w:tcPr>
            <w:tcW w:w="2540" w:type="dxa"/>
            <w:vAlign w:val="bottom"/>
            <w:vMerge w:val="continue"/>
          </w:tcPr>
          <w:p>
            <w:pPr>
              <w:spacing w:after="0"/>
              <w:rPr>
                <w:sz w:val="12"/>
                <w:szCs w:val="12"/>
                <w:color w:val="auto"/>
              </w:rPr>
            </w:pPr>
          </w:p>
        </w:tc>
        <w:tc>
          <w:tcPr>
            <w:tcW w:w="1740" w:type="dxa"/>
            <w:vAlign w:val="bottom"/>
          </w:tcPr>
          <w:p>
            <w:pPr>
              <w:spacing w:after="0"/>
              <w:rPr>
                <w:sz w:val="12"/>
                <w:szCs w:val="12"/>
                <w:color w:val="auto"/>
              </w:rPr>
            </w:pPr>
          </w:p>
        </w:tc>
        <w:tc>
          <w:tcPr>
            <w:tcW w:w="1780" w:type="dxa"/>
            <w:vAlign w:val="bottom"/>
          </w:tcPr>
          <w:p>
            <w:pPr>
              <w:jc w:val="right"/>
              <w:spacing w:after="0" w:line="141" w:lineRule="exact"/>
              <w:rPr>
                <w:sz w:val="20"/>
                <w:szCs w:val="20"/>
                <w:color w:val="auto"/>
              </w:rPr>
            </w:pPr>
            <w:r>
              <w:rPr>
                <w:rFonts w:ascii="Arial" w:cs="Arial" w:eastAsia="Arial" w:hAnsi="Arial"/>
                <w:sz w:val="14"/>
                <w:szCs w:val="14"/>
                <w:b w:val="1"/>
                <w:bCs w:val="1"/>
                <w:color w:val="auto"/>
              </w:rPr>
              <w:t>for Future Issuance</w:t>
            </w:r>
          </w:p>
        </w:tc>
        <w:tc>
          <w:tcPr>
            <w:tcW w:w="0" w:type="dxa"/>
            <w:vAlign w:val="bottom"/>
          </w:tcPr>
          <w:p>
            <w:pPr>
              <w:spacing w:after="0"/>
              <w:rPr>
                <w:sz w:val="1"/>
                <w:szCs w:val="1"/>
                <w:color w:val="auto"/>
              </w:rPr>
            </w:pPr>
          </w:p>
        </w:tc>
      </w:tr>
      <w:tr>
        <w:trPr>
          <w:trHeight w:val="163"/>
        </w:trPr>
        <w:tc>
          <w:tcPr>
            <w:tcW w:w="5200" w:type="dxa"/>
            <w:vAlign w:val="bottom"/>
          </w:tcPr>
          <w:p>
            <w:pPr>
              <w:spacing w:after="0"/>
              <w:rPr>
                <w:sz w:val="14"/>
                <w:szCs w:val="14"/>
                <w:color w:val="auto"/>
              </w:rPr>
            </w:pPr>
          </w:p>
        </w:tc>
        <w:tc>
          <w:tcPr>
            <w:tcW w:w="2540" w:type="dxa"/>
            <w:vAlign w:val="bottom"/>
          </w:tcPr>
          <w:p>
            <w:pPr>
              <w:jc w:val="right"/>
              <w:ind w:right="70"/>
              <w:spacing w:after="0"/>
              <w:rPr>
                <w:sz w:val="20"/>
                <w:szCs w:val="20"/>
                <w:color w:val="auto"/>
              </w:rPr>
            </w:pPr>
            <w:r>
              <w:rPr>
                <w:rFonts w:ascii="Arial" w:cs="Arial" w:eastAsia="Arial" w:hAnsi="Arial"/>
                <w:sz w:val="14"/>
                <w:szCs w:val="14"/>
                <w:b w:val="1"/>
                <w:bCs w:val="1"/>
                <w:color w:val="auto"/>
              </w:rPr>
              <w:t>to be Issued</w:t>
            </w:r>
          </w:p>
        </w:tc>
        <w:tc>
          <w:tcPr>
            <w:tcW w:w="1740" w:type="dxa"/>
            <w:vAlign w:val="bottom"/>
          </w:tcPr>
          <w:p>
            <w:pPr>
              <w:jc w:val="right"/>
              <w:ind w:right="70"/>
              <w:spacing w:after="0"/>
              <w:rPr>
                <w:sz w:val="20"/>
                <w:szCs w:val="20"/>
                <w:color w:val="auto"/>
              </w:rPr>
            </w:pPr>
            <w:r>
              <w:rPr>
                <w:rFonts w:ascii="Arial" w:cs="Arial" w:eastAsia="Arial" w:hAnsi="Arial"/>
                <w:sz w:val="14"/>
                <w:szCs w:val="14"/>
                <w:b w:val="1"/>
                <w:bCs w:val="1"/>
                <w:color w:val="auto"/>
              </w:rPr>
              <w:t>Weighted-Average</w:t>
            </w:r>
          </w:p>
        </w:tc>
        <w:tc>
          <w:tcPr>
            <w:tcW w:w="1780" w:type="dxa"/>
            <w:vAlign w:val="bottom"/>
          </w:tcPr>
          <w:p>
            <w:pPr>
              <w:jc w:val="right"/>
              <w:spacing w:after="0"/>
              <w:rPr>
                <w:sz w:val="20"/>
                <w:szCs w:val="20"/>
                <w:color w:val="auto"/>
              </w:rPr>
            </w:pPr>
            <w:r>
              <w:rPr>
                <w:rFonts w:ascii="Arial" w:cs="Arial" w:eastAsia="Arial" w:hAnsi="Arial"/>
                <w:sz w:val="14"/>
                <w:szCs w:val="14"/>
                <w:b w:val="1"/>
                <w:bCs w:val="1"/>
                <w:color w:val="auto"/>
              </w:rPr>
              <w:t>under Equity</w:t>
            </w:r>
          </w:p>
        </w:tc>
        <w:tc>
          <w:tcPr>
            <w:tcW w:w="0" w:type="dxa"/>
            <w:vAlign w:val="bottom"/>
          </w:tcPr>
          <w:p>
            <w:pPr>
              <w:spacing w:after="0"/>
              <w:rPr>
                <w:sz w:val="1"/>
                <w:szCs w:val="1"/>
                <w:color w:val="auto"/>
              </w:rPr>
            </w:pPr>
          </w:p>
        </w:tc>
      </w:tr>
      <w:tr>
        <w:trPr>
          <w:trHeight w:val="163"/>
        </w:trPr>
        <w:tc>
          <w:tcPr>
            <w:tcW w:w="5200" w:type="dxa"/>
            <w:vAlign w:val="bottom"/>
          </w:tcPr>
          <w:p>
            <w:pPr>
              <w:spacing w:after="0"/>
              <w:rPr>
                <w:sz w:val="14"/>
                <w:szCs w:val="14"/>
                <w:color w:val="auto"/>
              </w:rPr>
            </w:pPr>
          </w:p>
        </w:tc>
        <w:tc>
          <w:tcPr>
            <w:tcW w:w="2540" w:type="dxa"/>
            <w:vAlign w:val="bottom"/>
          </w:tcPr>
          <w:p>
            <w:pPr>
              <w:jc w:val="right"/>
              <w:ind w:right="70"/>
              <w:spacing w:after="0"/>
              <w:rPr>
                <w:sz w:val="20"/>
                <w:szCs w:val="20"/>
                <w:color w:val="auto"/>
              </w:rPr>
            </w:pPr>
            <w:r>
              <w:rPr>
                <w:rFonts w:ascii="Arial" w:cs="Arial" w:eastAsia="Arial" w:hAnsi="Arial"/>
                <w:sz w:val="14"/>
                <w:szCs w:val="14"/>
                <w:b w:val="1"/>
                <w:bCs w:val="1"/>
                <w:color w:val="auto"/>
              </w:rPr>
              <w:t>upon Exercise of</w:t>
            </w:r>
          </w:p>
        </w:tc>
        <w:tc>
          <w:tcPr>
            <w:tcW w:w="1740" w:type="dxa"/>
            <w:vAlign w:val="bottom"/>
          </w:tcPr>
          <w:p>
            <w:pPr>
              <w:jc w:val="right"/>
              <w:ind w:right="70"/>
              <w:spacing w:after="0"/>
              <w:rPr>
                <w:sz w:val="20"/>
                <w:szCs w:val="20"/>
                <w:color w:val="auto"/>
              </w:rPr>
            </w:pPr>
            <w:r>
              <w:rPr>
                <w:rFonts w:ascii="Arial" w:cs="Arial" w:eastAsia="Arial" w:hAnsi="Arial"/>
                <w:sz w:val="14"/>
                <w:szCs w:val="14"/>
                <w:b w:val="1"/>
                <w:bCs w:val="1"/>
                <w:color w:val="auto"/>
              </w:rPr>
              <w:t>Exercise Price of</w:t>
            </w:r>
          </w:p>
        </w:tc>
        <w:tc>
          <w:tcPr>
            <w:tcW w:w="1780" w:type="dxa"/>
            <w:vAlign w:val="bottom"/>
          </w:tcPr>
          <w:p>
            <w:pPr>
              <w:jc w:val="right"/>
              <w:spacing w:after="0"/>
              <w:rPr>
                <w:sz w:val="20"/>
                <w:szCs w:val="20"/>
                <w:color w:val="auto"/>
              </w:rPr>
            </w:pPr>
            <w:r>
              <w:rPr>
                <w:rFonts w:ascii="Arial" w:cs="Arial" w:eastAsia="Arial" w:hAnsi="Arial"/>
                <w:sz w:val="14"/>
                <w:szCs w:val="14"/>
                <w:b w:val="1"/>
                <w:bCs w:val="1"/>
                <w:color w:val="auto"/>
              </w:rPr>
              <w:t>Compensation Plans</w:t>
            </w:r>
          </w:p>
        </w:tc>
        <w:tc>
          <w:tcPr>
            <w:tcW w:w="0" w:type="dxa"/>
            <w:vAlign w:val="bottom"/>
          </w:tcPr>
          <w:p>
            <w:pPr>
              <w:spacing w:after="0"/>
              <w:rPr>
                <w:sz w:val="1"/>
                <w:szCs w:val="1"/>
                <w:color w:val="auto"/>
              </w:rPr>
            </w:pPr>
          </w:p>
        </w:tc>
      </w:tr>
      <w:tr>
        <w:trPr>
          <w:trHeight w:val="163"/>
        </w:trPr>
        <w:tc>
          <w:tcPr>
            <w:tcW w:w="5200" w:type="dxa"/>
            <w:vAlign w:val="bottom"/>
          </w:tcPr>
          <w:p>
            <w:pPr>
              <w:spacing w:after="0"/>
              <w:rPr>
                <w:sz w:val="14"/>
                <w:szCs w:val="14"/>
                <w:color w:val="auto"/>
              </w:rPr>
            </w:pPr>
          </w:p>
        </w:tc>
        <w:tc>
          <w:tcPr>
            <w:tcW w:w="2540" w:type="dxa"/>
            <w:vAlign w:val="bottom"/>
          </w:tcPr>
          <w:p>
            <w:pPr>
              <w:jc w:val="right"/>
              <w:ind w:right="70"/>
              <w:spacing w:after="0"/>
              <w:rPr>
                <w:sz w:val="20"/>
                <w:szCs w:val="20"/>
                <w:color w:val="auto"/>
              </w:rPr>
            </w:pPr>
            <w:r>
              <w:rPr>
                <w:rFonts w:ascii="Arial" w:cs="Arial" w:eastAsia="Arial" w:hAnsi="Arial"/>
                <w:sz w:val="14"/>
                <w:szCs w:val="14"/>
                <w:b w:val="1"/>
                <w:bCs w:val="1"/>
                <w:color w:val="auto"/>
              </w:rPr>
              <w:t>Outstanding Options,</w:t>
            </w:r>
          </w:p>
        </w:tc>
        <w:tc>
          <w:tcPr>
            <w:tcW w:w="1740" w:type="dxa"/>
            <w:vAlign w:val="bottom"/>
          </w:tcPr>
          <w:p>
            <w:pPr>
              <w:jc w:val="right"/>
              <w:ind w:right="70"/>
              <w:spacing w:after="0"/>
              <w:rPr>
                <w:sz w:val="20"/>
                <w:szCs w:val="20"/>
                <w:color w:val="auto"/>
              </w:rPr>
            </w:pPr>
            <w:r>
              <w:rPr>
                <w:rFonts w:ascii="Arial" w:cs="Arial" w:eastAsia="Arial" w:hAnsi="Arial"/>
                <w:sz w:val="14"/>
                <w:szCs w:val="14"/>
                <w:b w:val="1"/>
                <w:bCs w:val="1"/>
                <w:color w:val="auto"/>
              </w:rPr>
              <w:t>Outstanding Options,</w:t>
            </w:r>
          </w:p>
        </w:tc>
        <w:tc>
          <w:tcPr>
            <w:tcW w:w="1780" w:type="dxa"/>
            <w:vAlign w:val="bottom"/>
          </w:tcPr>
          <w:p>
            <w:pPr>
              <w:jc w:val="right"/>
              <w:spacing w:after="0"/>
              <w:rPr>
                <w:sz w:val="20"/>
                <w:szCs w:val="20"/>
                <w:color w:val="auto"/>
              </w:rPr>
            </w:pPr>
            <w:r>
              <w:rPr>
                <w:rFonts w:ascii="Arial" w:cs="Arial" w:eastAsia="Arial" w:hAnsi="Arial"/>
                <w:sz w:val="14"/>
                <w:szCs w:val="14"/>
                <w:b w:val="1"/>
                <w:bCs w:val="1"/>
                <w:color w:val="auto"/>
              </w:rPr>
              <w:t>(Excluding Securities</w:t>
            </w:r>
          </w:p>
        </w:tc>
        <w:tc>
          <w:tcPr>
            <w:tcW w:w="0" w:type="dxa"/>
            <w:vAlign w:val="bottom"/>
          </w:tcPr>
          <w:p>
            <w:pPr>
              <w:spacing w:after="0"/>
              <w:rPr>
                <w:sz w:val="1"/>
                <w:szCs w:val="1"/>
                <w:color w:val="auto"/>
              </w:rPr>
            </w:pPr>
          </w:p>
        </w:tc>
      </w:tr>
      <w:tr>
        <w:trPr>
          <w:trHeight w:val="201"/>
        </w:trPr>
        <w:tc>
          <w:tcPr>
            <w:tcW w:w="5200" w:type="dxa"/>
            <w:vAlign w:val="bottom"/>
            <w:tcBorders>
              <w:bottom w:val="single" w:sz="8" w:color="7CBD3F"/>
            </w:tcBorders>
          </w:tcPr>
          <w:p>
            <w:pPr>
              <w:ind w:left="40"/>
              <w:spacing w:after="0"/>
              <w:rPr>
                <w:sz w:val="20"/>
                <w:szCs w:val="20"/>
                <w:color w:val="auto"/>
              </w:rPr>
            </w:pPr>
            <w:r>
              <w:rPr>
                <w:rFonts w:ascii="Arial" w:cs="Arial" w:eastAsia="Arial" w:hAnsi="Arial"/>
                <w:sz w:val="14"/>
                <w:szCs w:val="14"/>
                <w:b w:val="1"/>
                <w:bCs w:val="1"/>
                <w:color w:val="auto"/>
              </w:rPr>
              <w:t>Plan Category</w:t>
            </w:r>
          </w:p>
        </w:tc>
        <w:tc>
          <w:tcPr>
            <w:tcW w:w="2540" w:type="dxa"/>
            <w:vAlign w:val="bottom"/>
            <w:tcBorders>
              <w:bottom w:val="single" w:sz="8" w:color="7CBD3F"/>
            </w:tcBorders>
          </w:tcPr>
          <w:p>
            <w:pPr>
              <w:jc w:val="right"/>
              <w:ind w:right="70"/>
              <w:spacing w:after="0" w:line="199" w:lineRule="exact"/>
              <w:rPr>
                <w:sz w:val="20"/>
                <w:szCs w:val="20"/>
                <w:color w:val="auto"/>
              </w:rPr>
            </w:pPr>
            <w:r>
              <w:rPr>
                <w:rFonts w:ascii="Arial" w:cs="Arial" w:eastAsia="Arial" w:hAnsi="Arial"/>
                <w:sz w:val="13"/>
                <w:szCs w:val="13"/>
                <w:b w:val="1"/>
                <w:bCs w:val="1"/>
                <w:color w:val="auto"/>
              </w:rPr>
              <w:t>Warrants and Rights(a)</w:t>
            </w:r>
            <w:r>
              <w:rPr>
                <w:rFonts w:ascii="Arial" w:cs="Arial" w:eastAsia="Arial" w:hAnsi="Arial"/>
                <w:sz w:val="22"/>
                <w:szCs w:val="22"/>
                <w:b w:val="1"/>
                <w:bCs w:val="1"/>
                <w:color w:val="auto"/>
                <w:vertAlign w:val="superscript"/>
              </w:rPr>
              <w:t>(1)</w:t>
            </w:r>
          </w:p>
        </w:tc>
        <w:tc>
          <w:tcPr>
            <w:tcW w:w="1740" w:type="dxa"/>
            <w:vAlign w:val="bottom"/>
            <w:tcBorders>
              <w:bottom w:val="single" w:sz="8" w:color="7CBD3F"/>
            </w:tcBorders>
          </w:tcPr>
          <w:p>
            <w:pPr>
              <w:jc w:val="right"/>
              <w:ind w:right="70"/>
              <w:spacing w:after="0"/>
              <w:rPr>
                <w:sz w:val="20"/>
                <w:szCs w:val="20"/>
                <w:color w:val="auto"/>
              </w:rPr>
            </w:pPr>
            <w:r>
              <w:rPr>
                <w:rFonts w:ascii="Arial" w:cs="Arial" w:eastAsia="Arial" w:hAnsi="Arial"/>
                <w:sz w:val="14"/>
                <w:szCs w:val="14"/>
                <w:b w:val="1"/>
                <w:bCs w:val="1"/>
                <w:color w:val="auto"/>
              </w:rPr>
              <w:t>Warrants and Rights</w:t>
            </w:r>
          </w:p>
        </w:tc>
        <w:tc>
          <w:tcPr>
            <w:tcW w:w="1780" w:type="dxa"/>
            <w:vAlign w:val="bottom"/>
            <w:tcBorders>
              <w:bottom w:val="single" w:sz="8" w:color="7CBD3F"/>
            </w:tcBorders>
          </w:tcPr>
          <w:p>
            <w:pPr>
              <w:jc w:val="right"/>
              <w:spacing w:after="0"/>
              <w:rPr>
                <w:sz w:val="20"/>
                <w:szCs w:val="20"/>
                <w:color w:val="auto"/>
              </w:rPr>
            </w:pPr>
            <w:r>
              <w:rPr>
                <w:rFonts w:ascii="Arial" w:cs="Arial" w:eastAsia="Arial" w:hAnsi="Arial"/>
                <w:sz w:val="14"/>
                <w:szCs w:val="14"/>
                <w:b w:val="1"/>
                <w:bCs w:val="1"/>
                <w:color w:val="auto"/>
              </w:rPr>
              <w:t>Reflected in Column(a))</w:t>
            </w:r>
          </w:p>
        </w:tc>
        <w:tc>
          <w:tcPr>
            <w:tcW w:w="0" w:type="dxa"/>
            <w:vAlign w:val="bottom"/>
          </w:tcPr>
          <w:p>
            <w:pPr>
              <w:spacing w:after="0"/>
              <w:rPr>
                <w:sz w:val="1"/>
                <w:szCs w:val="1"/>
                <w:color w:val="auto"/>
              </w:rPr>
            </w:pPr>
          </w:p>
        </w:tc>
      </w:tr>
      <w:tr>
        <w:trPr>
          <w:trHeight w:val="163"/>
        </w:trPr>
        <w:tc>
          <w:tcPr>
            <w:tcW w:w="5200" w:type="dxa"/>
            <w:vAlign w:val="bottom"/>
          </w:tcPr>
          <w:p>
            <w:pPr>
              <w:ind w:left="40"/>
              <w:spacing w:after="0"/>
              <w:rPr>
                <w:sz w:val="20"/>
                <w:szCs w:val="20"/>
                <w:color w:val="auto"/>
              </w:rPr>
            </w:pPr>
            <w:r>
              <w:rPr>
                <w:rFonts w:ascii="Arial" w:cs="Arial" w:eastAsia="Arial" w:hAnsi="Arial"/>
                <w:sz w:val="14"/>
                <w:szCs w:val="14"/>
                <w:color w:val="auto"/>
              </w:rPr>
              <w:t>Equity compensation plans approved by security holders:</w:t>
            </w:r>
          </w:p>
        </w:tc>
        <w:tc>
          <w:tcPr>
            <w:tcW w:w="25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200" w:type="dxa"/>
            <w:vAlign w:val="bottom"/>
            <w:shd w:val="clear" w:color="auto" w:fill="F0F7E7"/>
          </w:tcPr>
          <w:p>
            <w:pPr>
              <w:ind w:left="140"/>
              <w:spacing w:after="0"/>
              <w:rPr>
                <w:sz w:val="20"/>
                <w:szCs w:val="20"/>
                <w:color w:val="auto"/>
              </w:rPr>
            </w:pPr>
            <w:r>
              <w:rPr>
                <w:rFonts w:ascii="Arial" w:cs="Arial" w:eastAsia="Arial" w:hAnsi="Arial"/>
                <w:sz w:val="14"/>
                <w:szCs w:val="14"/>
                <w:color w:val="auto"/>
              </w:rPr>
              <w:t>2014 Incentive Plan</w:t>
            </w:r>
          </w:p>
        </w:tc>
        <w:tc>
          <w:tcPr>
            <w:tcW w:w="2540" w:type="dxa"/>
            <w:vAlign w:val="bottom"/>
            <w:shd w:val="clear" w:color="auto" w:fill="F0F7E7"/>
          </w:tcPr>
          <w:p>
            <w:pPr>
              <w:jc w:val="right"/>
              <w:ind w:right="70"/>
              <w:spacing w:after="0"/>
              <w:rPr>
                <w:sz w:val="20"/>
                <w:szCs w:val="20"/>
                <w:color w:val="auto"/>
              </w:rPr>
            </w:pPr>
            <w:r>
              <w:rPr>
                <w:rFonts w:ascii="Arial" w:cs="Arial" w:eastAsia="Arial" w:hAnsi="Arial"/>
                <w:sz w:val="14"/>
                <w:szCs w:val="14"/>
                <w:color w:val="auto"/>
              </w:rPr>
              <w:t>11,190,128</w:t>
            </w:r>
          </w:p>
        </w:tc>
        <w:tc>
          <w:tcPr>
            <w:tcW w:w="1740" w:type="dxa"/>
            <w:vAlign w:val="bottom"/>
            <w:shd w:val="clear" w:color="auto" w:fill="F0F7E7"/>
          </w:tcPr>
          <w:p>
            <w:pPr>
              <w:jc w:val="right"/>
              <w:ind w:right="70"/>
              <w:spacing w:after="0"/>
              <w:rPr>
                <w:sz w:val="20"/>
                <w:szCs w:val="20"/>
                <w:color w:val="auto"/>
              </w:rPr>
            </w:pPr>
            <w:r>
              <w:rPr>
                <w:rFonts w:ascii="Arial" w:cs="Arial" w:eastAsia="Arial" w:hAnsi="Arial"/>
                <w:sz w:val="14"/>
                <w:szCs w:val="14"/>
                <w:color w:val="auto"/>
              </w:rPr>
              <w:t>$68.34</w:t>
            </w:r>
          </w:p>
        </w:tc>
        <w:tc>
          <w:tcPr>
            <w:tcW w:w="1780" w:type="dxa"/>
            <w:vAlign w:val="bottom"/>
            <w:shd w:val="clear" w:color="auto" w:fill="F0F7E7"/>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5200" w:type="dxa"/>
            <w:vAlign w:val="bottom"/>
          </w:tcPr>
          <w:p>
            <w:pPr>
              <w:ind w:left="140"/>
              <w:spacing w:after="0"/>
              <w:rPr>
                <w:sz w:val="20"/>
                <w:szCs w:val="20"/>
                <w:color w:val="auto"/>
              </w:rPr>
            </w:pPr>
            <w:r>
              <w:rPr>
                <w:rFonts w:ascii="Arial" w:cs="Arial" w:eastAsia="Arial" w:hAnsi="Arial"/>
                <w:sz w:val="14"/>
                <w:szCs w:val="14"/>
                <w:color w:val="auto"/>
              </w:rPr>
              <w:t>2014 Employee Stock Purchase Plan</w:t>
            </w:r>
          </w:p>
        </w:tc>
        <w:tc>
          <w:tcPr>
            <w:tcW w:w="254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174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1780" w:type="dxa"/>
            <w:vAlign w:val="bottom"/>
          </w:tcPr>
          <w:p>
            <w:pPr>
              <w:jc w:val="right"/>
              <w:spacing w:after="0"/>
              <w:rPr>
                <w:sz w:val="20"/>
                <w:szCs w:val="20"/>
                <w:color w:val="auto"/>
              </w:rPr>
            </w:pPr>
            <w:r>
              <w:rPr>
                <w:rFonts w:ascii="Arial" w:cs="Arial" w:eastAsia="Arial" w:hAnsi="Arial"/>
                <w:sz w:val="14"/>
                <w:szCs w:val="14"/>
                <w:color w:val="auto"/>
              </w:rPr>
              <w:t>6,409,256</w:t>
            </w:r>
          </w:p>
        </w:tc>
        <w:tc>
          <w:tcPr>
            <w:tcW w:w="0" w:type="dxa"/>
            <w:vAlign w:val="bottom"/>
          </w:tcPr>
          <w:p>
            <w:pPr>
              <w:spacing w:after="0"/>
              <w:rPr>
                <w:sz w:val="1"/>
                <w:szCs w:val="1"/>
                <w:color w:val="auto"/>
              </w:rPr>
            </w:pPr>
          </w:p>
        </w:tc>
      </w:tr>
      <w:tr>
        <w:trPr>
          <w:trHeight w:val="163"/>
        </w:trPr>
        <w:tc>
          <w:tcPr>
            <w:tcW w:w="5200" w:type="dxa"/>
            <w:vAlign w:val="bottom"/>
            <w:shd w:val="clear" w:color="auto" w:fill="F0F7E7"/>
          </w:tcPr>
          <w:p>
            <w:pPr>
              <w:ind w:left="140"/>
              <w:spacing w:after="0"/>
              <w:rPr>
                <w:sz w:val="20"/>
                <w:szCs w:val="20"/>
                <w:color w:val="auto"/>
              </w:rPr>
            </w:pPr>
            <w:r>
              <w:rPr>
                <w:rFonts w:ascii="Arial" w:cs="Arial" w:eastAsia="Arial" w:hAnsi="Arial"/>
                <w:sz w:val="14"/>
                <w:szCs w:val="14"/>
                <w:color w:val="auto"/>
              </w:rPr>
              <w:t>2023 Equity Incentive Plan</w:t>
            </w:r>
          </w:p>
        </w:tc>
        <w:tc>
          <w:tcPr>
            <w:tcW w:w="2540" w:type="dxa"/>
            <w:vAlign w:val="bottom"/>
            <w:shd w:val="clear" w:color="auto" w:fill="F0F7E7"/>
          </w:tcPr>
          <w:p>
            <w:pPr>
              <w:jc w:val="right"/>
              <w:ind w:right="70"/>
              <w:spacing w:after="0"/>
              <w:rPr>
                <w:sz w:val="20"/>
                <w:szCs w:val="20"/>
                <w:color w:val="auto"/>
              </w:rPr>
            </w:pPr>
            <w:r>
              <w:rPr>
                <w:rFonts w:ascii="Arial" w:cs="Arial" w:eastAsia="Arial" w:hAnsi="Arial"/>
                <w:sz w:val="14"/>
                <w:szCs w:val="14"/>
                <w:color w:val="auto"/>
              </w:rPr>
              <w:t>4,327,714</w:t>
            </w:r>
          </w:p>
        </w:tc>
        <w:tc>
          <w:tcPr>
            <w:tcW w:w="1740" w:type="dxa"/>
            <w:vAlign w:val="bottom"/>
            <w:shd w:val="clear" w:color="auto" w:fill="F0F7E7"/>
          </w:tcPr>
          <w:p>
            <w:pPr>
              <w:jc w:val="right"/>
              <w:ind w:right="70"/>
              <w:spacing w:after="0"/>
              <w:rPr>
                <w:sz w:val="20"/>
                <w:szCs w:val="20"/>
                <w:color w:val="auto"/>
              </w:rPr>
            </w:pPr>
            <w:r>
              <w:rPr>
                <w:rFonts w:ascii="Arial" w:cs="Arial" w:eastAsia="Arial" w:hAnsi="Arial"/>
                <w:sz w:val="14"/>
                <w:szCs w:val="14"/>
                <w:color w:val="auto"/>
              </w:rPr>
              <w:t>$52.87</w:t>
            </w:r>
          </w:p>
        </w:tc>
        <w:tc>
          <w:tcPr>
            <w:tcW w:w="1780" w:type="dxa"/>
            <w:vAlign w:val="bottom"/>
            <w:shd w:val="clear" w:color="auto" w:fill="F0F7E7"/>
          </w:tcPr>
          <w:p>
            <w:pPr>
              <w:jc w:val="right"/>
              <w:spacing w:after="0"/>
              <w:rPr>
                <w:sz w:val="20"/>
                <w:szCs w:val="20"/>
                <w:color w:val="auto"/>
              </w:rPr>
            </w:pPr>
            <w:r>
              <w:rPr>
                <w:rFonts w:ascii="Arial" w:cs="Arial" w:eastAsia="Arial" w:hAnsi="Arial"/>
                <w:sz w:val="14"/>
                <w:szCs w:val="14"/>
                <w:color w:val="auto"/>
              </w:rPr>
              <w:t>6,139,766</w:t>
            </w:r>
          </w:p>
        </w:tc>
        <w:tc>
          <w:tcPr>
            <w:tcW w:w="0" w:type="dxa"/>
            <w:vAlign w:val="bottom"/>
          </w:tcPr>
          <w:p>
            <w:pPr>
              <w:spacing w:after="0"/>
              <w:rPr>
                <w:sz w:val="1"/>
                <w:szCs w:val="1"/>
                <w:color w:val="auto"/>
              </w:rPr>
            </w:pPr>
          </w:p>
        </w:tc>
      </w:tr>
      <w:tr>
        <w:trPr>
          <w:trHeight w:val="163"/>
        </w:trPr>
        <w:tc>
          <w:tcPr>
            <w:tcW w:w="5200" w:type="dxa"/>
            <w:vAlign w:val="bottom"/>
          </w:tcPr>
          <w:p>
            <w:pPr>
              <w:ind w:left="40"/>
              <w:spacing w:after="0"/>
              <w:rPr>
                <w:sz w:val="20"/>
                <w:szCs w:val="20"/>
                <w:color w:val="auto"/>
              </w:rPr>
            </w:pPr>
            <w:r>
              <w:rPr>
                <w:rFonts w:ascii="Arial" w:cs="Arial" w:eastAsia="Arial" w:hAnsi="Arial"/>
                <w:sz w:val="14"/>
                <w:szCs w:val="14"/>
                <w:color w:val="auto"/>
              </w:rPr>
              <w:t>Equity compensation plans not approved by security holders</w:t>
            </w:r>
          </w:p>
        </w:tc>
        <w:tc>
          <w:tcPr>
            <w:tcW w:w="25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5200" w:type="dxa"/>
            <w:vAlign w:val="bottom"/>
            <w:shd w:val="clear" w:color="auto" w:fill="F0F7E7"/>
          </w:tcPr>
          <w:p>
            <w:pPr>
              <w:ind w:left="140"/>
              <w:spacing w:after="0" w:line="199" w:lineRule="exact"/>
              <w:rPr>
                <w:sz w:val="20"/>
                <w:szCs w:val="20"/>
                <w:color w:val="auto"/>
              </w:rPr>
            </w:pPr>
            <w:r>
              <w:rPr>
                <w:rFonts w:ascii="Arial" w:cs="Arial" w:eastAsia="Arial" w:hAnsi="Arial"/>
                <w:sz w:val="13"/>
                <w:szCs w:val="13"/>
                <w:color w:val="auto"/>
              </w:rPr>
              <w:t>Dimension Therapeutics, Inc. 2015 Stock Option and Incentive Plan</w:t>
            </w:r>
            <w:r>
              <w:rPr>
                <w:rFonts w:ascii="Arial" w:cs="Arial" w:eastAsia="Arial" w:hAnsi="Arial"/>
                <w:sz w:val="22"/>
                <w:szCs w:val="22"/>
                <w:color w:val="auto"/>
                <w:vertAlign w:val="superscript"/>
              </w:rPr>
              <w:t>(2)</w:t>
            </w:r>
          </w:p>
        </w:tc>
        <w:tc>
          <w:tcPr>
            <w:tcW w:w="2540" w:type="dxa"/>
            <w:vAlign w:val="bottom"/>
            <w:shd w:val="clear" w:color="auto" w:fill="F0F7E7"/>
          </w:tcPr>
          <w:p>
            <w:pPr>
              <w:jc w:val="right"/>
              <w:ind w:right="70"/>
              <w:spacing w:after="0"/>
              <w:rPr>
                <w:sz w:val="20"/>
                <w:szCs w:val="20"/>
                <w:color w:val="auto"/>
              </w:rPr>
            </w:pPr>
            <w:r>
              <w:rPr>
                <w:rFonts w:ascii="Arial" w:cs="Arial" w:eastAsia="Arial" w:hAnsi="Arial"/>
                <w:sz w:val="14"/>
                <w:szCs w:val="14"/>
                <w:color w:val="auto"/>
              </w:rPr>
              <w:t>21,531</w:t>
            </w:r>
          </w:p>
        </w:tc>
        <w:tc>
          <w:tcPr>
            <w:tcW w:w="1740" w:type="dxa"/>
            <w:vAlign w:val="bottom"/>
            <w:shd w:val="clear" w:color="auto" w:fill="F0F7E7"/>
          </w:tcPr>
          <w:p>
            <w:pPr>
              <w:jc w:val="right"/>
              <w:ind w:right="70"/>
              <w:spacing w:after="0"/>
              <w:rPr>
                <w:sz w:val="20"/>
                <w:szCs w:val="20"/>
                <w:color w:val="auto"/>
              </w:rPr>
            </w:pPr>
            <w:r>
              <w:rPr>
                <w:rFonts w:ascii="Arial" w:cs="Arial" w:eastAsia="Arial" w:hAnsi="Arial"/>
                <w:sz w:val="14"/>
                <w:szCs w:val="14"/>
                <w:color w:val="auto"/>
              </w:rPr>
              <w:t>$49.12</w:t>
            </w:r>
          </w:p>
        </w:tc>
        <w:tc>
          <w:tcPr>
            <w:tcW w:w="1780" w:type="dxa"/>
            <w:vAlign w:val="bottom"/>
            <w:shd w:val="clear" w:color="auto" w:fill="F0F7E7"/>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5200" w:type="dxa"/>
            <w:vAlign w:val="bottom"/>
          </w:tcPr>
          <w:p>
            <w:pPr>
              <w:ind w:left="140"/>
              <w:spacing w:after="0" w:line="199" w:lineRule="exact"/>
              <w:rPr>
                <w:sz w:val="20"/>
                <w:szCs w:val="20"/>
                <w:color w:val="auto"/>
              </w:rPr>
            </w:pPr>
            <w:r>
              <w:rPr>
                <w:rFonts w:ascii="Arial" w:cs="Arial" w:eastAsia="Arial" w:hAnsi="Arial"/>
                <w:sz w:val="13"/>
                <w:szCs w:val="13"/>
                <w:color w:val="auto"/>
              </w:rPr>
              <w:t>Dimension Therapeutics, Inc. 2013 Stock Plan</w:t>
            </w:r>
            <w:r>
              <w:rPr>
                <w:rFonts w:ascii="Arial" w:cs="Arial" w:eastAsia="Arial" w:hAnsi="Arial"/>
                <w:sz w:val="22"/>
                <w:szCs w:val="22"/>
                <w:color w:val="auto"/>
                <w:vertAlign w:val="superscript"/>
              </w:rPr>
              <w:t>(2)</w:t>
            </w:r>
          </w:p>
        </w:tc>
        <w:tc>
          <w:tcPr>
            <w:tcW w:w="2540" w:type="dxa"/>
            <w:vAlign w:val="bottom"/>
          </w:tcPr>
          <w:p>
            <w:pPr>
              <w:jc w:val="right"/>
              <w:ind w:right="70"/>
              <w:spacing w:after="0"/>
              <w:rPr>
                <w:sz w:val="20"/>
                <w:szCs w:val="20"/>
                <w:color w:val="auto"/>
              </w:rPr>
            </w:pPr>
            <w:r>
              <w:rPr>
                <w:rFonts w:ascii="Arial" w:cs="Arial" w:eastAsia="Arial" w:hAnsi="Arial"/>
                <w:sz w:val="14"/>
                <w:szCs w:val="14"/>
                <w:color w:val="auto"/>
              </w:rPr>
              <w:t>940</w:t>
            </w:r>
          </w:p>
        </w:tc>
        <w:tc>
          <w:tcPr>
            <w:tcW w:w="1740" w:type="dxa"/>
            <w:vAlign w:val="bottom"/>
          </w:tcPr>
          <w:p>
            <w:pPr>
              <w:jc w:val="right"/>
              <w:ind w:right="70"/>
              <w:spacing w:after="0"/>
              <w:rPr>
                <w:sz w:val="20"/>
                <w:szCs w:val="20"/>
                <w:color w:val="auto"/>
              </w:rPr>
            </w:pPr>
            <w:r>
              <w:rPr>
                <w:rFonts w:ascii="Arial" w:cs="Arial" w:eastAsia="Arial" w:hAnsi="Arial"/>
                <w:sz w:val="14"/>
                <w:szCs w:val="14"/>
                <w:color w:val="auto"/>
              </w:rPr>
              <w:t>$28.66</w:t>
            </w:r>
          </w:p>
        </w:tc>
        <w:tc>
          <w:tcPr>
            <w:tcW w:w="17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5200" w:type="dxa"/>
            <w:vAlign w:val="bottom"/>
            <w:tcBorders>
              <w:bottom w:val="single" w:sz="8" w:color="7CBD3F"/>
            </w:tcBorders>
            <w:shd w:val="clear" w:color="auto" w:fill="F0F7E7"/>
          </w:tcPr>
          <w:p>
            <w:pPr>
              <w:ind w:left="140"/>
              <w:spacing w:after="0"/>
              <w:rPr>
                <w:sz w:val="20"/>
                <w:szCs w:val="20"/>
                <w:color w:val="auto"/>
              </w:rPr>
            </w:pPr>
            <w:r>
              <w:rPr>
                <w:rFonts w:ascii="Arial" w:cs="Arial" w:eastAsia="Arial" w:hAnsi="Arial"/>
                <w:sz w:val="14"/>
                <w:szCs w:val="14"/>
                <w:color w:val="auto"/>
              </w:rPr>
              <w:t>Employment Inducement Plan</w:t>
            </w:r>
          </w:p>
        </w:tc>
        <w:tc>
          <w:tcPr>
            <w:tcW w:w="2540" w:type="dxa"/>
            <w:vAlign w:val="bottom"/>
            <w:tcBorders>
              <w:bottom w:val="single" w:sz="8" w:color="7CBD3F"/>
            </w:tcBorders>
            <w:shd w:val="clear" w:color="auto" w:fill="F0F7E7"/>
          </w:tcPr>
          <w:p>
            <w:pPr>
              <w:jc w:val="right"/>
              <w:ind w:right="70"/>
              <w:spacing w:after="0"/>
              <w:rPr>
                <w:sz w:val="20"/>
                <w:szCs w:val="20"/>
                <w:color w:val="auto"/>
              </w:rPr>
            </w:pPr>
            <w:r>
              <w:rPr>
                <w:rFonts w:ascii="Arial" w:cs="Arial" w:eastAsia="Arial" w:hAnsi="Arial"/>
                <w:sz w:val="14"/>
                <w:szCs w:val="14"/>
                <w:color w:val="auto"/>
              </w:rPr>
              <w:t>854,219</w:t>
            </w:r>
          </w:p>
        </w:tc>
        <w:tc>
          <w:tcPr>
            <w:tcW w:w="1740" w:type="dxa"/>
            <w:vAlign w:val="bottom"/>
            <w:tcBorders>
              <w:bottom w:val="single" w:sz="8" w:color="7CBD3F"/>
            </w:tcBorders>
            <w:shd w:val="clear" w:color="auto" w:fill="F0F7E7"/>
          </w:tcPr>
          <w:p>
            <w:pPr>
              <w:jc w:val="right"/>
              <w:ind w:right="70"/>
              <w:spacing w:after="0"/>
              <w:rPr>
                <w:sz w:val="20"/>
                <w:szCs w:val="20"/>
                <w:color w:val="auto"/>
              </w:rPr>
            </w:pPr>
            <w:r>
              <w:rPr>
                <w:rFonts w:ascii="Arial" w:cs="Arial" w:eastAsia="Arial" w:hAnsi="Arial"/>
                <w:sz w:val="14"/>
                <w:szCs w:val="14"/>
                <w:color w:val="auto"/>
              </w:rPr>
              <w:t>$47.66</w:t>
            </w:r>
          </w:p>
        </w:tc>
        <w:tc>
          <w:tcPr>
            <w:tcW w:w="1780" w:type="dxa"/>
            <w:vAlign w:val="bottom"/>
            <w:tcBorders>
              <w:bottom w:val="single" w:sz="8" w:color="7CBD3F"/>
            </w:tcBorders>
            <w:shd w:val="clear" w:color="auto" w:fill="F0F7E7"/>
          </w:tcPr>
          <w:p>
            <w:pPr>
              <w:jc w:val="right"/>
              <w:spacing w:after="0"/>
              <w:rPr>
                <w:sz w:val="20"/>
                <w:szCs w:val="20"/>
                <w:color w:val="auto"/>
              </w:rPr>
            </w:pPr>
            <w:r>
              <w:rPr>
                <w:rFonts w:ascii="Arial" w:cs="Arial" w:eastAsia="Arial" w:hAnsi="Arial"/>
                <w:sz w:val="14"/>
                <w:szCs w:val="14"/>
                <w:color w:val="auto"/>
              </w:rPr>
              <w:t>211,628</w:t>
            </w:r>
          </w:p>
        </w:tc>
        <w:tc>
          <w:tcPr>
            <w:tcW w:w="0" w:type="dxa"/>
            <w:vAlign w:val="bottom"/>
          </w:tcPr>
          <w:p>
            <w:pPr>
              <w:spacing w:after="0"/>
              <w:rPr>
                <w:sz w:val="1"/>
                <w:szCs w:val="1"/>
                <w:color w:val="auto"/>
              </w:rPr>
            </w:pPr>
          </w:p>
        </w:tc>
      </w:tr>
      <w:tr>
        <w:trPr>
          <w:trHeight w:val="158"/>
        </w:trPr>
        <w:tc>
          <w:tcPr>
            <w:tcW w:w="5200" w:type="dxa"/>
            <w:vAlign w:val="bottom"/>
            <w:tcBorders>
              <w:bottom w:val="single" w:sz="8" w:color="7CBD3F"/>
            </w:tcBorders>
          </w:tcPr>
          <w:p>
            <w:pPr>
              <w:ind w:left="40"/>
              <w:spacing w:after="0" w:line="155" w:lineRule="exact"/>
              <w:rPr>
                <w:sz w:val="20"/>
                <w:szCs w:val="20"/>
                <w:color w:val="auto"/>
              </w:rPr>
            </w:pPr>
            <w:r>
              <w:rPr>
                <w:rFonts w:ascii="Arial" w:cs="Arial" w:eastAsia="Arial" w:hAnsi="Arial"/>
                <w:sz w:val="14"/>
                <w:szCs w:val="14"/>
                <w:b w:val="1"/>
                <w:bCs w:val="1"/>
                <w:color w:val="7CBD3F"/>
              </w:rPr>
              <w:t>TOTAL</w:t>
            </w:r>
          </w:p>
        </w:tc>
        <w:tc>
          <w:tcPr>
            <w:tcW w:w="2540" w:type="dxa"/>
            <w:vAlign w:val="bottom"/>
            <w:tcBorders>
              <w:bottom w:val="single" w:sz="8" w:color="7CBD3F"/>
            </w:tcBorders>
          </w:tcPr>
          <w:p>
            <w:pPr>
              <w:jc w:val="right"/>
              <w:ind w:right="70"/>
              <w:spacing w:after="0" w:line="155" w:lineRule="exact"/>
              <w:rPr>
                <w:sz w:val="20"/>
                <w:szCs w:val="20"/>
                <w:color w:val="auto"/>
              </w:rPr>
            </w:pPr>
            <w:r>
              <w:rPr>
                <w:rFonts w:ascii="Arial" w:cs="Arial" w:eastAsia="Arial" w:hAnsi="Arial"/>
                <w:sz w:val="14"/>
                <w:szCs w:val="14"/>
                <w:b w:val="1"/>
                <w:bCs w:val="1"/>
                <w:color w:val="7CBD3F"/>
              </w:rPr>
              <w:t>16,394,532</w:t>
            </w:r>
          </w:p>
        </w:tc>
        <w:tc>
          <w:tcPr>
            <w:tcW w:w="1740" w:type="dxa"/>
            <w:vAlign w:val="bottom"/>
            <w:tcBorders>
              <w:bottom w:val="single" w:sz="8" w:color="7CBD3F"/>
            </w:tcBorders>
          </w:tcPr>
          <w:p>
            <w:pPr>
              <w:jc w:val="right"/>
              <w:ind w:right="70"/>
              <w:spacing w:after="0" w:line="155" w:lineRule="exact"/>
              <w:rPr>
                <w:sz w:val="20"/>
                <w:szCs w:val="20"/>
                <w:color w:val="auto"/>
              </w:rPr>
            </w:pPr>
            <w:r>
              <w:rPr>
                <w:rFonts w:ascii="Arial" w:cs="Arial" w:eastAsia="Arial" w:hAnsi="Arial"/>
                <w:sz w:val="14"/>
                <w:szCs w:val="14"/>
                <w:b w:val="1"/>
                <w:bCs w:val="1"/>
                <w:color w:val="7CBD3F"/>
              </w:rPr>
              <w:t>$65.75</w:t>
            </w:r>
          </w:p>
        </w:tc>
        <w:tc>
          <w:tcPr>
            <w:tcW w:w="1780" w:type="dxa"/>
            <w:vAlign w:val="bottom"/>
            <w:tcBorders>
              <w:bottom w:val="single" w:sz="8" w:color="7CBD3F"/>
            </w:tcBorders>
          </w:tcPr>
          <w:p>
            <w:pPr>
              <w:jc w:val="right"/>
              <w:spacing w:after="0" w:line="155" w:lineRule="exact"/>
              <w:rPr>
                <w:sz w:val="20"/>
                <w:szCs w:val="20"/>
                <w:color w:val="auto"/>
              </w:rPr>
            </w:pPr>
            <w:r>
              <w:rPr>
                <w:rFonts w:ascii="Arial" w:cs="Arial" w:eastAsia="Arial" w:hAnsi="Arial"/>
                <w:sz w:val="14"/>
                <w:szCs w:val="14"/>
                <w:b w:val="1"/>
                <w:bCs w:val="1"/>
                <w:color w:val="7CBD3F"/>
              </w:rPr>
              <w:t>12,760,650</w:t>
            </w: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287" w:hanging="287"/>
        <w:spacing w:after="0"/>
        <w:tabs>
          <w:tab w:leader="none" w:pos="287" w:val="left"/>
        </w:tabs>
        <w:numPr>
          <w:ilvl w:val="0"/>
          <w:numId w:val="42"/>
        </w:numPr>
        <w:rPr>
          <w:rFonts w:ascii="Arial" w:cs="Arial" w:eastAsia="Arial" w:hAnsi="Arial"/>
          <w:sz w:val="12"/>
          <w:szCs w:val="12"/>
          <w:color w:val="auto"/>
        </w:rPr>
      </w:pPr>
      <w:r>
        <w:rPr>
          <w:rFonts w:ascii="Arial" w:cs="Arial" w:eastAsia="Arial" w:hAnsi="Arial"/>
          <w:sz w:val="12"/>
          <w:szCs w:val="12"/>
          <w:color w:val="auto"/>
        </w:rPr>
        <w:t>Amounts in this column include outstanding stock options, RSUs and PSUs (assuming target performance for any unearned PSUs.</w:t>
      </w:r>
    </w:p>
    <w:p>
      <w:pPr>
        <w:spacing w:after="0" w:line="48" w:lineRule="exact"/>
        <w:rPr>
          <w:rFonts w:ascii="Arial" w:cs="Arial" w:eastAsia="Arial" w:hAnsi="Arial"/>
          <w:sz w:val="12"/>
          <w:szCs w:val="12"/>
          <w:color w:val="auto"/>
        </w:rPr>
      </w:pPr>
    </w:p>
    <w:p>
      <w:pPr>
        <w:jc w:val="both"/>
        <w:ind w:left="287" w:hanging="287"/>
        <w:spacing w:after="0" w:line="258" w:lineRule="auto"/>
        <w:tabs>
          <w:tab w:leader="none" w:pos="287" w:val="left"/>
        </w:tabs>
        <w:numPr>
          <w:ilvl w:val="0"/>
          <w:numId w:val="42"/>
        </w:numPr>
        <w:rPr>
          <w:rFonts w:ascii="Arial" w:cs="Arial" w:eastAsia="Arial" w:hAnsi="Arial"/>
          <w:sz w:val="12"/>
          <w:szCs w:val="12"/>
          <w:color w:val="auto"/>
        </w:rPr>
      </w:pPr>
      <w:r>
        <w:rPr>
          <w:rFonts w:ascii="Arial" w:cs="Arial" w:eastAsia="Arial" w:hAnsi="Arial"/>
          <w:sz w:val="12"/>
          <w:szCs w:val="12"/>
          <w:color w:val="auto"/>
        </w:rPr>
        <w:t>In connection with our acquisition of Dimension Therapeutics, Inc. on November 7, 2017, we assumed these plans and outstanding option awards thereunder (whether or not then vested or exercisable). The assumed awards continue to have, and are subject to, the same terms and conditions as were applicable prior to the acquisition as set forth in the applicable plan (including any applicable award agreement, other agreement or other document evidencing such awards), except that the awards are exercisable for shares of our common stock with exercise prices adjusted to reflect the terms of the acquisition, all as set forth in the merger agreement. No new awards can be made under these plans.</w:t>
      </w:r>
    </w:p>
    <w:p>
      <w:pPr>
        <w:spacing w:after="0" w:line="125"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auto"/>
        </w:rPr>
        <w:t xml:space="preserve">ULTRAGENYX PHARMACEUTICAL INC. </w:t>
      </w:r>
      <w:r>
        <w:rPr>
          <w:rFonts w:ascii="Arial" w:cs="Arial" w:eastAsia="Arial" w:hAnsi="Arial"/>
          <w:sz w:val="14"/>
          <w:szCs w:val="14"/>
          <w:color w:val="7CBD3F"/>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2025 Proxy Statement</w:t>
      </w:r>
      <w:r>
        <w:rPr>
          <w:rFonts w:ascii="Arial" w:cs="Arial" w:eastAsia="Arial" w:hAnsi="Arial"/>
          <w:sz w:val="14"/>
          <w:szCs w:val="14"/>
          <w:b w:val="1"/>
          <w:bCs w:val="1"/>
          <w:color w:val="auto"/>
        </w:rPr>
        <w:tab/>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150735"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0735" cy="29845"/>
                    </a:xfrm>
                    <a:prstGeom prst="rect">
                      <a:avLst/>
                    </a:prstGeom>
                    <a:noFill/>
                  </pic:spPr>
                </pic:pic>
              </a:graphicData>
            </a:graphic>
          </wp:anchor>
        </w:drawing>
      </w:r>
    </w:p>
    <w:p>
      <w:pPr>
        <w:sectPr>
          <w:pgSz w:w="11900" w:h="16838" w:orient="portrait"/>
          <w:cols w:equalWidth="0" w:num="1">
            <w:col w:w="11267"/>
          </w:cols>
          <w:pgMar w:left="313" w:top="225" w:right="319" w:bottom="1440" w:gutter="0" w:footer="0" w:header="0"/>
        </w:sectPr>
      </w:pPr>
    </w:p>
    <w:bookmarkStart w:id="64" w:name="page65"/>
    <w:bookmarkEnd w:id="64"/>
    <w:p>
      <w:pPr>
        <w:spacing w:after="0"/>
        <w:rPr>
          <w:sz w:val="20"/>
          <w:szCs w:val="20"/>
          <w:color w:val="auto"/>
        </w:rPr>
      </w:pPr>
      <w:r>
        <w:rPr>
          <w:rFonts w:ascii="Arial" w:cs="Arial" w:eastAsia="Arial" w:hAnsi="Arial"/>
          <w:sz w:val="12"/>
          <w:szCs w:val="12"/>
          <w:b w:val="1"/>
          <w:bCs w:val="1"/>
          <w:u w:val="single" w:color="auto"/>
          <w:color w:val="0000EE"/>
        </w:rPr>
        <w:t>Back to Contents</w:t>
      </w:r>
    </w:p>
    <w:p>
      <w:pPr>
        <w:spacing w:after="0" w:line="128" w:lineRule="exact"/>
        <w:rPr>
          <w:sz w:val="20"/>
          <w:szCs w:val="20"/>
          <w:color w:val="auto"/>
        </w:rPr>
      </w:pPr>
    </w:p>
    <w:p>
      <w:pPr>
        <w:spacing w:after="0"/>
        <w:rPr>
          <w:sz w:val="20"/>
          <w:szCs w:val="20"/>
          <w:color w:val="auto"/>
        </w:rPr>
      </w:pPr>
      <w:r>
        <w:rPr>
          <w:rFonts w:ascii="Arial" w:cs="Arial" w:eastAsia="Arial" w:hAnsi="Arial"/>
          <w:sz w:val="31"/>
          <w:szCs w:val="31"/>
          <w:b w:val="1"/>
          <w:bCs w:val="1"/>
          <w:color w:val="7CBD3F"/>
        </w:rPr>
        <w:t>Director Compensation</w:t>
      </w:r>
    </w:p>
    <w:p>
      <w:pPr>
        <w:spacing w:after="0" w:line="387" w:lineRule="exact"/>
        <w:rPr>
          <w:sz w:val="20"/>
          <w:szCs w:val="20"/>
          <w:color w:val="auto"/>
        </w:rPr>
      </w:pPr>
    </w:p>
    <w:p>
      <w:pPr>
        <w:jc w:val="both"/>
        <w:ind w:right="20"/>
        <w:spacing w:after="0" w:line="260" w:lineRule="auto"/>
        <w:rPr>
          <w:sz w:val="20"/>
          <w:szCs w:val="20"/>
          <w:color w:val="auto"/>
        </w:rPr>
      </w:pPr>
      <w:r>
        <w:rPr>
          <w:rFonts w:ascii="Arial" w:cs="Arial" w:eastAsia="Arial" w:hAnsi="Arial"/>
          <w:sz w:val="14"/>
          <w:szCs w:val="14"/>
          <w:color w:val="auto"/>
        </w:rPr>
        <w:t>Our Board has adopted a non-employee director compensation policy that is designed to provide a total compensation package that enables us to attract and retain, on a long-term basis, high caliber non-employee directors. A Board compensation review prepared by Aon in February 2024 provided a competitive assessment of our compensation practices for non-employee directors in connection with the Compensation Committee’s evaluation of the level of compensation for our non-employee directors for 2024.</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color w:val="auto"/>
        </w:rPr>
        <w:t>A summary of the non-employee director cash compensation arrangements for fiscal 2024 is set forth below:</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6800" w:type="dxa"/>
            <w:vAlign w:val="bottom"/>
            <w:tcBorders>
              <w:bottom w:val="single" w:sz="8" w:color="7CBD3F"/>
            </w:tcBorders>
          </w:tcPr>
          <w:p>
            <w:pPr>
              <w:spacing w:after="0"/>
              <w:rPr>
                <w:sz w:val="15"/>
                <w:szCs w:val="15"/>
                <w:color w:val="auto"/>
              </w:rPr>
            </w:pPr>
          </w:p>
        </w:tc>
        <w:tc>
          <w:tcPr>
            <w:tcW w:w="4460" w:type="dxa"/>
            <w:vAlign w:val="bottom"/>
            <w:tcBorders>
              <w:bottom w:val="single" w:sz="8" w:color="7CBD3F"/>
            </w:tcBorders>
            <w:gridSpan w:val="2"/>
          </w:tcPr>
          <w:p>
            <w:pPr>
              <w:jc w:val="right"/>
              <w:spacing w:after="0"/>
              <w:rPr>
                <w:sz w:val="20"/>
                <w:szCs w:val="20"/>
                <w:color w:val="auto"/>
              </w:rPr>
            </w:pPr>
            <w:r>
              <w:rPr>
                <w:rFonts w:ascii="Arial" w:cs="Arial" w:eastAsia="Arial" w:hAnsi="Arial"/>
                <w:sz w:val="14"/>
                <w:szCs w:val="14"/>
                <w:b w:val="1"/>
                <w:bCs w:val="1"/>
                <w:color w:val="auto"/>
              </w:rPr>
              <w:t>Annual Retainer</w:t>
            </w:r>
          </w:p>
        </w:tc>
      </w:tr>
      <w:tr>
        <w:trPr>
          <w:trHeight w:val="163"/>
        </w:trPr>
        <w:tc>
          <w:tcPr>
            <w:tcW w:w="6800" w:type="dxa"/>
            <w:vAlign w:val="bottom"/>
          </w:tcPr>
          <w:p>
            <w:pPr>
              <w:ind w:left="40"/>
              <w:spacing w:after="0"/>
              <w:rPr>
                <w:sz w:val="20"/>
                <w:szCs w:val="20"/>
                <w:color w:val="auto"/>
              </w:rPr>
            </w:pPr>
            <w:r>
              <w:rPr>
                <w:rFonts w:ascii="Arial" w:cs="Arial" w:eastAsia="Arial" w:hAnsi="Arial"/>
                <w:sz w:val="14"/>
                <w:szCs w:val="14"/>
                <w:b w:val="1"/>
                <w:bCs w:val="1"/>
                <w:color w:val="auto"/>
              </w:rPr>
              <w:t>Board of Directors:</w:t>
            </w:r>
          </w:p>
        </w:tc>
        <w:tc>
          <w:tcPr>
            <w:tcW w:w="38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3"/>
        </w:trPr>
        <w:tc>
          <w:tcPr>
            <w:tcW w:w="6800" w:type="dxa"/>
            <w:vAlign w:val="bottom"/>
            <w:shd w:val="clear" w:color="auto" w:fill="F0F7E7"/>
          </w:tcPr>
          <w:p>
            <w:pPr>
              <w:ind w:left="40"/>
              <w:spacing w:after="0"/>
              <w:rPr>
                <w:sz w:val="20"/>
                <w:szCs w:val="20"/>
                <w:color w:val="auto"/>
              </w:rPr>
            </w:pPr>
            <w:r>
              <w:rPr>
                <w:rFonts w:ascii="Arial" w:cs="Arial" w:eastAsia="Arial" w:hAnsi="Arial"/>
                <w:sz w:val="14"/>
                <w:szCs w:val="14"/>
                <w:color w:val="auto"/>
              </w:rPr>
              <w:t>Chairman</w:t>
            </w:r>
          </w:p>
        </w:tc>
        <w:tc>
          <w:tcPr>
            <w:tcW w:w="3820" w:type="dxa"/>
            <w:vAlign w:val="bottom"/>
            <w:shd w:val="clear" w:color="auto" w:fill="F0F7E7"/>
          </w:tcPr>
          <w:p>
            <w:pPr>
              <w:jc w:val="right"/>
              <w:ind w:right="70"/>
              <w:spacing w:after="0"/>
              <w:rPr>
                <w:sz w:val="20"/>
                <w:szCs w:val="20"/>
                <w:color w:val="auto"/>
              </w:rPr>
            </w:pPr>
            <w:r>
              <w:rPr>
                <w:rFonts w:ascii="Arial" w:cs="Arial" w:eastAsia="Arial" w:hAnsi="Arial"/>
                <w:sz w:val="14"/>
                <w:szCs w:val="14"/>
                <w:color w:val="auto"/>
              </w:rPr>
              <w:t>$</w:t>
            </w:r>
          </w:p>
        </w:tc>
        <w:tc>
          <w:tcPr>
            <w:tcW w:w="640" w:type="dxa"/>
            <w:vAlign w:val="bottom"/>
            <w:shd w:val="clear" w:color="auto" w:fill="F0F7E7"/>
          </w:tcPr>
          <w:p>
            <w:pPr>
              <w:jc w:val="right"/>
              <w:spacing w:after="0"/>
              <w:rPr>
                <w:sz w:val="20"/>
                <w:szCs w:val="20"/>
                <w:color w:val="auto"/>
              </w:rPr>
            </w:pPr>
            <w:r>
              <w:rPr>
                <w:rFonts w:ascii="Arial" w:cs="Arial" w:eastAsia="Arial" w:hAnsi="Arial"/>
                <w:sz w:val="14"/>
                <w:szCs w:val="14"/>
                <w:color w:val="auto"/>
              </w:rPr>
              <w:t>85,000</w:t>
            </w:r>
          </w:p>
        </w:tc>
      </w:tr>
      <w:tr>
        <w:trPr>
          <w:trHeight w:val="163"/>
        </w:trPr>
        <w:tc>
          <w:tcPr>
            <w:tcW w:w="6800" w:type="dxa"/>
            <w:vAlign w:val="bottom"/>
          </w:tcPr>
          <w:p>
            <w:pPr>
              <w:ind w:left="40"/>
              <w:spacing w:after="0"/>
              <w:rPr>
                <w:sz w:val="20"/>
                <w:szCs w:val="20"/>
                <w:color w:val="auto"/>
              </w:rPr>
            </w:pPr>
            <w:r>
              <w:rPr>
                <w:rFonts w:ascii="Arial" w:cs="Arial" w:eastAsia="Arial" w:hAnsi="Arial"/>
                <w:sz w:val="14"/>
                <w:szCs w:val="14"/>
                <w:color w:val="auto"/>
              </w:rPr>
              <w:t>Non-Chairman members</w:t>
            </w:r>
          </w:p>
        </w:tc>
        <w:tc>
          <w:tcPr>
            <w:tcW w:w="382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50,000</w:t>
            </w:r>
          </w:p>
        </w:tc>
      </w:tr>
      <w:tr>
        <w:trPr>
          <w:trHeight w:val="163"/>
        </w:trPr>
        <w:tc>
          <w:tcPr>
            <w:tcW w:w="6800" w:type="dxa"/>
            <w:vAlign w:val="bottom"/>
            <w:shd w:val="clear" w:color="auto" w:fill="F0F7E7"/>
          </w:tcPr>
          <w:p>
            <w:pPr>
              <w:ind w:left="40"/>
              <w:spacing w:after="0"/>
              <w:rPr>
                <w:sz w:val="20"/>
                <w:szCs w:val="20"/>
                <w:color w:val="auto"/>
              </w:rPr>
            </w:pPr>
            <w:r>
              <w:rPr>
                <w:rFonts w:ascii="Arial" w:cs="Arial" w:eastAsia="Arial" w:hAnsi="Arial"/>
                <w:sz w:val="14"/>
                <w:szCs w:val="14"/>
                <w:b w:val="1"/>
                <w:bCs w:val="1"/>
                <w:color w:val="auto"/>
              </w:rPr>
              <w:t>Audit Committee:</w:t>
            </w:r>
          </w:p>
        </w:tc>
        <w:tc>
          <w:tcPr>
            <w:tcW w:w="3820" w:type="dxa"/>
            <w:vAlign w:val="bottom"/>
            <w:shd w:val="clear" w:color="auto" w:fill="F0F7E7"/>
          </w:tcPr>
          <w:p>
            <w:pPr>
              <w:spacing w:after="0"/>
              <w:rPr>
                <w:sz w:val="14"/>
                <w:szCs w:val="14"/>
                <w:color w:val="auto"/>
              </w:rPr>
            </w:pPr>
          </w:p>
        </w:tc>
        <w:tc>
          <w:tcPr>
            <w:tcW w:w="640" w:type="dxa"/>
            <w:vAlign w:val="bottom"/>
            <w:shd w:val="clear" w:color="auto" w:fill="F0F7E7"/>
          </w:tcPr>
          <w:p>
            <w:pPr>
              <w:spacing w:after="0"/>
              <w:rPr>
                <w:sz w:val="14"/>
                <w:szCs w:val="14"/>
                <w:color w:val="auto"/>
              </w:rPr>
            </w:pPr>
          </w:p>
        </w:tc>
      </w:tr>
      <w:tr>
        <w:trPr>
          <w:trHeight w:val="163"/>
        </w:trPr>
        <w:tc>
          <w:tcPr>
            <w:tcW w:w="6800" w:type="dxa"/>
            <w:vAlign w:val="bottom"/>
          </w:tcPr>
          <w:p>
            <w:pPr>
              <w:ind w:left="40"/>
              <w:spacing w:after="0"/>
              <w:rPr>
                <w:sz w:val="20"/>
                <w:szCs w:val="20"/>
                <w:color w:val="auto"/>
              </w:rPr>
            </w:pPr>
            <w:r>
              <w:rPr>
                <w:rFonts w:ascii="Arial" w:cs="Arial" w:eastAsia="Arial" w:hAnsi="Arial"/>
                <w:sz w:val="14"/>
                <w:szCs w:val="14"/>
                <w:color w:val="auto"/>
              </w:rPr>
              <w:t>Chairman</w:t>
            </w:r>
          </w:p>
        </w:tc>
        <w:tc>
          <w:tcPr>
            <w:tcW w:w="382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25,000</w:t>
            </w:r>
          </w:p>
        </w:tc>
      </w:tr>
      <w:tr>
        <w:trPr>
          <w:trHeight w:val="163"/>
        </w:trPr>
        <w:tc>
          <w:tcPr>
            <w:tcW w:w="6800" w:type="dxa"/>
            <w:vAlign w:val="bottom"/>
            <w:shd w:val="clear" w:color="auto" w:fill="F0F7E7"/>
          </w:tcPr>
          <w:p>
            <w:pPr>
              <w:ind w:left="40"/>
              <w:spacing w:after="0"/>
              <w:rPr>
                <w:sz w:val="20"/>
                <w:szCs w:val="20"/>
                <w:color w:val="auto"/>
              </w:rPr>
            </w:pPr>
            <w:r>
              <w:rPr>
                <w:rFonts w:ascii="Arial" w:cs="Arial" w:eastAsia="Arial" w:hAnsi="Arial"/>
                <w:sz w:val="14"/>
                <w:szCs w:val="14"/>
                <w:color w:val="auto"/>
              </w:rPr>
              <w:t>Non-Chairman members</w:t>
            </w:r>
          </w:p>
        </w:tc>
        <w:tc>
          <w:tcPr>
            <w:tcW w:w="3820" w:type="dxa"/>
            <w:vAlign w:val="bottom"/>
            <w:shd w:val="clear" w:color="auto" w:fill="F0F7E7"/>
          </w:tcPr>
          <w:p>
            <w:pPr>
              <w:jc w:val="right"/>
              <w:ind w:right="70"/>
              <w:spacing w:after="0"/>
              <w:rPr>
                <w:sz w:val="20"/>
                <w:szCs w:val="20"/>
                <w:color w:val="auto"/>
              </w:rPr>
            </w:pPr>
            <w:r>
              <w:rPr>
                <w:rFonts w:ascii="Arial" w:cs="Arial" w:eastAsia="Arial" w:hAnsi="Arial"/>
                <w:sz w:val="14"/>
                <w:szCs w:val="14"/>
                <w:color w:val="auto"/>
              </w:rPr>
              <w:t>$</w:t>
            </w:r>
          </w:p>
        </w:tc>
        <w:tc>
          <w:tcPr>
            <w:tcW w:w="640" w:type="dxa"/>
            <w:vAlign w:val="bottom"/>
            <w:shd w:val="clear" w:color="auto" w:fill="F0F7E7"/>
          </w:tcPr>
          <w:p>
            <w:pPr>
              <w:jc w:val="right"/>
              <w:spacing w:after="0"/>
              <w:rPr>
                <w:sz w:val="20"/>
                <w:szCs w:val="20"/>
                <w:color w:val="auto"/>
              </w:rPr>
            </w:pPr>
            <w:r>
              <w:rPr>
                <w:rFonts w:ascii="Arial" w:cs="Arial" w:eastAsia="Arial" w:hAnsi="Arial"/>
                <w:sz w:val="14"/>
                <w:szCs w:val="14"/>
                <w:color w:val="auto"/>
              </w:rPr>
              <w:t>12,500</w:t>
            </w:r>
          </w:p>
        </w:tc>
      </w:tr>
      <w:tr>
        <w:trPr>
          <w:trHeight w:val="163"/>
        </w:trPr>
        <w:tc>
          <w:tcPr>
            <w:tcW w:w="6800" w:type="dxa"/>
            <w:vAlign w:val="bottom"/>
          </w:tcPr>
          <w:p>
            <w:pPr>
              <w:ind w:left="40"/>
              <w:spacing w:after="0"/>
              <w:rPr>
                <w:sz w:val="20"/>
                <w:szCs w:val="20"/>
                <w:color w:val="auto"/>
              </w:rPr>
            </w:pPr>
            <w:r>
              <w:rPr>
                <w:rFonts w:ascii="Arial" w:cs="Arial" w:eastAsia="Arial" w:hAnsi="Arial"/>
                <w:sz w:val="14"/>
                <w:szCs w:val="14"/>
                <w:b w:val="1"/>
                <w:bCs w:val="1"/>
                <w:color w:val="auto"/>
              </w:rPr>
              <w:t>Compensation Committee:</w:t>
            </w:r>
          </w:p>
        </w:tc>
        <w:tc>
          <w:tcPr>
            <w:tcW w:w="38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3"/>
        </w:trPr>
        <w:tc>
          <w:tcPr>
            <w:tcW w:w="6800" w:type="dxa"/>
            <w:vAlign w:val="bottom"/>
            <w:shd w:val="clear" w:color="auto" w:fill="F0F7E7"/>
          </w:tcPr>
          <w:p>
            <w:pPr>
              <w:ind w:left="40"/>
              <w:spacing w:after="0"/>
              <w:rPr>
                <w:sz w:val="20"/>
                <w:szCs w:val="20"/>
                <w:color w:val="auto"/>
              </w:rPr>
            </w:pPr>
            <w:r>
              <w:rPr>
                <w:rFonts w:ascii="Arial" w:cs="Arial" w:eastAsia="Arial" w:hAnsi="Arial"/>
                <w:sz w:val="14"/>
                <w:szCs w:val="14"/>
                <w:color w:val="auto"/>
              </w:rPr>
              <w:t>Chairman</w:t>
            </w:r>
          </w:p>
        </w:tc>
        <w:tc>
          <w:tcPr>
            <w:tcW w:w="3820" w:type="dxa"/>
            <w:vAlign w:val="bottom"/>
            <w:shd w:val="clear" w:color="auto" w:fill="F0F7E7"/>
          </w:tcPr>
          <w:p>
            <w:pPr>
              <w:jc w:val="right"/>
              <w:ind w:right="70"/>
              <w:spacing w:after="0"/>
              <w:rPr>
                <w:sz w:val="20"/>
                <w:szCs w:val="20"/>
                <w:color w:val="auto"/>
              </w:rPr>
            </w:pPr>
            <w:r>
              <w:rPr>
                <w:rFonts w:ascii="Arial" w:cs="Arial" w:eastAsia="Arial" w:hAnsi="Arial"/>
                <w:sz w:val="14"/>
                <w:szCs w:val="14"/>
                <w:color w:val="auto"/>
              </w:rPr>
              <w:t>$</w:t>
            </w:r>
          </w:p>
        </w:tc>
        <w:tc>
          <w:tcPr>
            <w:tcW w:w="640" w:type="dxa"/>
            <w:vAlign w:val="bottom"/>
            <w:shd w:val="clear" w:color="auto" w:fill="F0F7E7"/>
          </w:tcPr>
          <w:p>
            <w:pPr>
              <w:jc w:val="right"/>
              <w:spacing w:after="0"/>
              <w:rPr>
                <w:sz w:val="20"/>
                <w:szCs w:val="20"/>
                <w:color w:val="auto"/>
              </w:rPr>
            </w:pPr>
            <w:r>
              <w:rPr>
                <w:rFonts w:ascii="Arial" w:cs="Arial" w:eastAsia="Arial" w:hAnsi="Arial"/>
                <w:sz w:val="14"/>
                <w:szCs w:val="14"/>
                <w:color w:val="auto"/>
              </w:rPr>
              <w:t>20,000</w:t>
            </w:r>
          </w:p>
        </w:tc>
      </w:tr>
      <w:tr>
        <w:trPr>
          <w:trHeight w:val="163"/>
        </w:trPr>
        <w:tc>
          <w:tcPr>
            <w:tcW w:w="6800" w:type="dxa"/>
            <w:vAlign w:val="bottom"/>
          </w:tcPr>
          <w:p>
            <w:pPr>
              <w:ind w:left="40"/>
              <w:spacing w:after="0"/>
              <w:rPr>
                <w:sz w:val="20"/>
                <w:szCs w:val="20"/>
                <w:color w:val="auto"/>
              </w:rPr>
            </w:pPr>
            <w:r>
              <w:rPr>
                <w:rFonts w:ascii="Arial" w:cs="Arial" w:eastAsia="Arial" w:hAnsi="Arial"/>
                <w:sz w:val="14"/>
                <w:szCs w:val="14"/>
                <w:color w:val="auto"/>
              </w:rPr>
              <w:t>Non-Chairman members</w:t>
            </w:r>
          </w:p>
        </w:tc>
        <w:tc>
          <w:tcPr>
            <w:tcW w:w="382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10,000</w:t>
            </w:r>
          </w:p>
        </w:tc>
      </w:tr>
      <w:tr>
        <w:trPr>
          <w:trHeight w:val="163"/>
        </w:trPr>
        <w:tc>
          <w:tcPr>
            <w:tcW w:w="6800" w:type="dxa"/>
            <w:vAlign w:val="bottom"/>
            <w:shd w:val="clear" w:color="auto" w:fill="F0F7E7"/>
          </w:tcPr>
          <w:p>
            <w:pPr>
              <w:ind w:left="40"/>
              <w:spacing w:after="0"/>
              <w:rPr>
                <w:sz w:val="20"/>
                <w:szCs w:val="20"/>
                <w:color w:val="auto"/>
              </w:rPr>
            </w:pPr>
            <w:r>
              <w:rPr>
                <w:rFonts w:ascii="Arial" w:cs="Arial" w:eastAsia="Arial" w:hAnsi="Arial"/>
                <w:sz w:val="14"/>
                <w:szCs w:val="14"/>
                <w:b w:val="1"/>
                <w:bCs w:val="1"/>
                <w:color w:val="auto"/>
              </w:rPr>
              <w:t>Nominating and Corporate Governance Committee:</w:t>
            </w:r>
          </w:p>
        </w:tc>
        <w:tc>
          <w:tcPr>
            <w:tcW w:w="3820" w:type="dxa"/>
            <w:vAlign w:val="bottom"/>
            <w:shd w:val="clear" w:color="auto" w:fill="F0F7E7"/>
          </w:tcPr>
          <w:p>
            <w:pPr>
              <w:spacing w:after="0"/>
              <w:rPr>
                <w:sz w:val="14"/>
                <w:szCs w:val="14"/>
                <w:color w:val="auto"/>
              </w:rPr>
            </w:pPr>
          </w:p>
        </w:tc>
        <w:tc>
          <w:tcPr>
            <w:tcW w:w="640" w:type="dxa"/>
            <w:vAlign w:val="bottom"/>
            <w:shd w:val="clear" w:color="auto" w:fill="F0F7E7"/>
          </w:tcPr>
          <w:p>
            <w:pPr>
              <w:spacing w:after="0"/>
              <w:rPr>
                <w:sz w:val="14"/>
                <w:szCs w:val="14"/>
                <w:color w:val="auto"/>
              </w:rPr>
            </w:pPr>
          </w:p>
        </w:tc>
      </w:tr>
      <w:tr>
        <w:trPr>
          <w:trHeight w:val="163"/>
        </w:trPr>
        <w:tc>
          <w:tcPr>
            <w:tcW w:w="6800" w:type="dxa"/>
            <w:vAlign w:val="bottom"/>
          </w:tcPr>
          <w:p>
            <w:pPr>
              <w:ind w:left="40"/>
              <w:spacing w:after="0"/>
              <w:rPr>
                <w:sz w:val="20"/>
                <w:szCs w:val="20"/>
                <w:color w:val="auto"/>
              </w:rPr>
            </w:pPr>
            <w:r>
              <w:rPr>
                <w:rFonts w:ascii="Arial" w:cs="Arial" w:eastAsia="Arial" w:hAnsi="Arial"/>
                <w:sz w:val="14"/>
                <w:szCs w:val="14"/>
                <w:color w:val="auto"/>
              </w:rPr>
              <w:t>Chairman</w:t>
            </w:r>
          </w:p>
        </w:tc>
        <w:tc>
          <w:tcPr>
            <w:tcW w:w="382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12,000</w:t>
            </w:r>
          </w:p>
        </w:tc>
      </w:tr>
      <w:tr>
        <w:trPr>
          <w:trHeight w:val="163"/>
        </w:trPr>
        <w:tc>
          <w:tcPr>
            <w:tcW w:w="6800" w:type="dxa"/>
            <w:vAlign w:val="bottom"/>
            <w:shd w:val="clear" w:color="auto" w:fill="F0F7E7"/>
          </w:tcPr>
          <w:p>
            <w:pPr>
              <w:ind w:left="40"/>
              <w:spacing w:after="0"/>
              <w:rPr>
                <w:sz w:val="20"/>
                <w:szCs w:val="20"/>
                <w:color w:val="auto"/>
              </w:rPr>
            </w:pPr>
            <w:r>
              <w:rPr>
                <w:rFonts w:ascii="Arial" w:cs="Arial" w:eastAsia="Arial" w:hAnsi="Arial"/>
                <w:sz w:val="14"/>
                <w:szCs w:val="14"/>
                <w:color w:val="auto"/>
              </w:rPr>
              <w:t>Non-Chairman members</w:t>
            </w:r>
          </w:p>
        </w:tc>
        <w:tc>
          <w:tcPr>
            <w:tcW w:w="3820" w:type="dxa"/>
            <w:vAlign w:val="bottom"/>
            <w:shd w:val="clear" w:color="auto" w:fill="F0F7E7"/>
          </w:tcPr>
          <w:p>
            <w:pPr>
              <w:jc w:val="right"/>
              <w:ind w:right="70"/>
              <w:spacing w:after="0"/>
              <w:rPr>
                <w:sz w:val="20"/>
                <w:szCs w:val="20"/>
                <w:color w:val="auto"/>
              </w:rPr>
            </w:pPr>
            <w:r>
              <w:rPr>
                <w:rFonts w:ascii="Arial" w:cs="Arial" w:eastAsia="Arial" w:hAnsi="Arial"/>
                <w:sz w:val="14"/>
                <w:szCs w:val="14"/>
                <w:color w:val="auto"/>
              </w:rPr>
              <w:t>$</w:t>
            </w:r>
          </w:p>
        </w:tc>
        <w:tc>
          <w:tcPr>
            <w:tcW w:w="640" w:type="dxa"/>
            <w:vAlign w:val="bottom"/>
            <w:shd w:val="clear" w:color="auto" w:fill="F0F7E7"/>
          </w:tcPr>
          <w:p>
            <w:pPr>
              <w:jc w:val="right"/>
              <w:spacing w:after="0"/>
              <w:rPr>
                <w:sz w:val="20"/>
                <w:szCs w:val="20"/>
                <w:color w:val="auto"/>
              </w:rPr>
            </w:pPr>
            <w:r>
              <w:rPr>
                <w:rFonts w:ascii="Arial" w:cs="Arial" w:eastAsia="Arial" w:hAnsi="Arial"/>
                <w:sz w:val="14"/>
                <w:szCs w:val="14"/>
                <w:color w:val="auto"/>
              </w:rPr>
              <w:t>6,000</w:t>
            </w:r>
          </w:p>
        </w:tc>
      </w:tr>
      <w:tr>
        <w:trPr>
          <w:trHeight w:val="163"/>
        </w:trPr>
        <w:tc>
          <w:tcPr>
            <w:tcW w:w="6800" w:type="dxa"/>
            <w:vAlign w:val="bottom"/>
          </w:tcPr>
          <w:p>
            <w:pPr>
              <w:ind w:left="40"/>
              <w:spacing w:after="0"/>
              <w:rPr>
                <w:sz w:val="20"/>
                <w:szCs w:val="20"/>
                <w:color w:val="auto"/>
              </w:rPr>
            </w:pPr>
            <w:r>
              <w:rPr>
                <w:rFonts w:ascii="Arial" w:cs="Arial" w:eastAsia="Arial" w:hAnsi="Arial"/>
                <w:sz w:val="14"/>
                <w:szCs w:val="14"/>
                <w:b w:val="1"/>
                <w:bCs w:val="1"/>
                <w:color w:val="auto"/>
              </w:rPr>
              <w:t>Research and Development Committee:</w:t>
            </w:r>
          </w:p>
        </w:tc>
        <w:tc>
          <w:tcPr>
            <w:tcW w:w="38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3"/>
        </w:trPr>
        <w:tc>
          <w:tcPr>
            <w:tcW w:w="6800" w:type="dxa"/>
            <w:vAlign w:val="bottom"/>
            <w:shd w:val="clear" w:color="auto" w:fill="F0F7E7"/>
          </w:tcPr>
          <w:p>
            <w:pPr>
              <w:ind w:left="40"/>
              <w:spacing w:after="0"/>
              <w:rPr>
                <w:sz w:val="20"/>
                <w:szCs w:val="20"/>
                <w:color w:val="auto"/>
              </w:rPr>
            </w:pPr>
            <w:r>
              <w:rPr>
                <w:rFonts w:ascii="Arial" w:cs="Arial" w:eastAsia="Arial" w:hAnsi="Arial"/>
                <w:sz w:val="14"/>
                <w:szCs w:val="14"/>
                <w:color w:val="auto"/>
              </w:rPr>
              <w:t>Chairman</w:t>
            </w:r>
          </w:p>
        </w:tc>
        <w:tc>
          <w:tcPr>
            <w:tcW w:w="3820" w:type="dxa"/>
            <w:vAlign w:val="bottom"/>
            <w:shd w:val="clear" w:color="auto" w:fill="F0F7E7"/>
          </w:tcPr>
          <w:p>
            <w:pPr>
              <w:jc w:val="right"/>
              <w:ind w:right="70"/>
              <w:spacing w:after="0"/>
              <w:rPr>
                <w:sz w:val="20"/>
                <w:szCs w:val="20"/>
                <w:color w:val="auto"/>
              </w:rPr>
            </w:pPr>
            <w:r>
              <w:rPr>
                <w:rFonts w:ascii="Arial" w:cs="Arial" w:eastAsia="Arial" w:hAnsi="Arial"/>
                <w:sz w:val="14"/>
                <w:szCs w:val="14"/>
                <w:color w:val="auto"/>
              </w:rPr>
              <w:t>$</w:t>
            </w:r>
          </w:p>
        </w:tc>
        <w:tc>
          <w:tcPr>
            <w:tcW w:w="640" w:type="dxa"/>
            <w:vAlign w:val="bottom"/>
            <w:shd w:val="clear" w:color="auto" w:fill="F0F7E7"/>
          </w:tcPr>
          <w:p>
            <w:pPr>
              <w:jc w:val="right"/>
              <w:spacing w:after="0"/>
              <w:rPr>
                <w:sz w:val="20"/>
                <w:szCs w:val="20"/>
                <w:color w:val="auto"/>
              </w:rPr>
            </w:pPr>
            <w:r>
              <w:rPr>
                <w:rFonts w:ascii="Arial" w:cs="Arial" w:eastAsia="Arial" w:hAnsi="Arial"/>
                <w:sz w:val="14"/>
                <w:szCs w:val="14"/>
                <w:color w:val="auto"/>
              </w:rPr>
              <w:t>15,000</w:t>
            </w:r>
          </w:p>
        </w:tc>
      </w:tr>
      <w:tr>
        <w:trPr>
          <w:trHeight w:val="167"/>
        </w:trPr>
        <w:tc>
          <w:tcPr>
            <w:tcW w:w="6800" w:type="dxa"/>
            <w:vAlign w:val="bottom"/>
            <w:tcBorders>
              <w:bottom w:val="single" w:sz="8" w:color="7CBD3F"/>
            </w:tcBorders>
          </w:tcPr>
          <w:p>
            <w:pPr>
              <w:ind w:left="40"/>
              <w:spacing w:after="0"/>
              <w:rPr>
                <w:sz w:val="20"/>
                <w:szCs w:val="20"/>
                <w:color w:val="auto"/>
              </w:rPr>
            </w:pPr>
            <w:r>
              <w:rPr>
                <w:rFonts w:ascii="Arial" w:cs="Arial" w:eastAsia="Arial" w:hAnsi="Arial"/>
                <w:sz w:val="14"/>
                <w:szCs w:val="14"/>
                <w:color w:val="auto"/>
              </w:rPr>
              <w:t>Non-Chairman members</w:t>
            </w:r>
          </w:p>
        </w:tc>
        <w:tc>
          <w:tcPr>
            <w:tcW w:w="3820" w:type="dxa"/>
            <w:vAlign w:val="bottom"/>
            <w:tcBorders>
              <w:bottom w:val="single" w:sz="8" w:color="7CBD3F"/>
            </w:tcBorders>
          </w:tcPr>
          <w:p>
            <w:pPr>
              <w:jc w:val="right"/>
              <w:ind w:right="7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7CBD3F"/>
            </w:tcBorders>
          </w:tcPr>
          <w:p>
            <w:pPr>
              <w:jc w:val="right"/>
              <w:spacing w:after="0"/>
              <w:rPr>
                <w:sz w:val="20"/>
                <w:szCs w:val="20"/>
                <w:color w:val="auto"/>
              </w:rPr>
            </w:pPr>
            <w:r>
              <w:rPr>
                <w:rFonts w:ascii="Arial" w:cs="Arial" w:eastAsia="Arial" w:hAnsi="Arial"/>
                <w:sz w:val="14"/>
                <w:szCs w:val="14"/>
                <w:color w:val="auto"/>
              </w:rPr>
              <w:t>7,500</w:t>
            </w:r>
          </w:p>
        </w:tc>
      </w:tr>
    </w:tbl>
    <w:p>
      <w:pPr>
        <w:spacing w:after="0" w:line="151" w:lineRule="exact"/>
        <w:rPr>
          <w:sz w:val="20"/>
          <w:szCs w:val="20"/>
          <w:color w:val="auto"/>
        </w:rPr>
      </w:pPr>
    </w:p>
    <w:p>
      <w:pPr>
        <w:spacing w:after="0"/>
        <w:rPr>
          <w:sz w:val="20"/>
          <w:szCs w:val="20"/>
          <w:color w:val="auto"/>
        </w:rPr>
      </w:pPr>
      <w:r>
        <w:rPr>
          <w:rFonts w:ascii="Arial" w:cs="Arial" w:eastAsia="Arial" w:hAnsi="Arial"/>
          <w:sz w:val="14"/>
          <w:szCs w:val="14"/>
          <w:color w:val="auto"/>
        </w:rPr>
        <w:t>In 2025, upon recommendation of the Compensation Committee, the Board maintained the annual cash compensation levels under the non-employee director compensation policy.</w:t>
      </w:r>
    </w:p>
    <w:p>
      <w:pPr>
        <w:spacing w:after="0" w:line="165"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Under the non-employee director compensation policy for fiscal 2024, each non-employee director who was initially appointed or elected to the Board received an equity award with a target value of $600,000, comprised 50% of options to purchase shares of our common stock and 50% of RSUs on the date he or she first becomes a non-employee director. The options vest monthly over a three-year period and the RSUs vest annually in equal amounts over a three-year period, in each case subject to the director’s continued service to us through each such vesting date. In addition, for fiscal year 2024, on the date of the annual meeting of stockholders, each continuing non-employee director received an annual equity award at a target value of $400,000, comprised of 50% options to purchase shares of our common stock and 50% RSUs, each of which would vest in full upon the earlier of (1) our subsequent annual meeting of stockholders and (2) the first anniversary of the date of grant, subject to the director’s continued service to us through such vesting date. The exercise price of all of the foregoing options was equal to the fair market value of a share of our common stock on the date of grant.</w:t>
      </w:r>
    </w:p>
    <w:p>
      <w:pPr>
        <w:spacing w:after="0" w:line="136"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In 2025, upon recommendation of the Compensation Committee, the Board maintained the target values of annual awards for non-employee directors and the target annual awards for newly appointed directors.</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color w:val="auto"/>
        </w:rPr>
        <w:t>Dr. Kakkis, our President and Chief Executive Officer, receives no compensation for his service as a director.</w:t>
      </w:r>
    </w:p>
    <w:p>
      <w:pPr>
        <w:spacing w:after="0" w:line="165"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auto"/>
        </w:rPr>
        <w:t xml:space="preserve">ULTRAGENYX PHARMACEUTICAL INC. </w:t>
      </w:r>
      <w:r>
        <w:rPr>
          <w:rFonts w:ascii="Arial" w:cs="Arial" w:eastAsia="Arial" w:hAnsi="Arial"/>
          <w:sz w:val="14"/>
          <w:szCs w:val="14"/>
          <w:color w:val="7CBD3F"/>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2025 Proxy Statement</w:t>
      </w:r>
      <w:r>
        <w:rPr>
          <w:rFonts w:ascii="Arial" w:cs="Arial" w:eastAsia="Arial" w:hAnsi="Arial"/>
          <w:sz w:val="14"/>
          <w:szCs w:val="14"/>
          <w:b w:val="1"/>
          <w:bCs w:val="1"/>
          <w:color w:val="auto"/>
        </w:rPr>
        <w:tab/>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142240</wp:posOffset>
            </wp:positionV>
            <wp:extent cx="7150735"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0735" cy="29845"/>
                    </a:xfrm>
                    <a:prstGeom prst="rect">
                      <a:avLst/>
                    </a:prstGeom>
                    <a:noFill/>
                  </pic:spPr>
                </pic:pic>
              </a:graphicData>
            </a:graphic>
          </wp:anchor>
        </w:drawing>
      </w:r>
    </w:p>
    <w:p>
      <w:pPr>
        <w:sectPr>
          <w:pgSz w:w="11900" w:h="16838" w:orient="portrait"/>
          <w:cols w:equalWidth="0" w:num="1">
            <w:col w:w="11260"/>
          </w:cols>
          <w:pgMar w:left="320" w:top="225" w:right="319" w:bottom="1440" w:gutter="0" w:footer="0" w:header="0"/>
        </w:sectPr>
      </w:pPr>
    </w:p>
    <w:bookmarkStart w:id="65" w:name="page66"/>
    <w:bookmarkEnd w:id="65"/>
    <w:tbl>
      <w:tblPr>
        <w:tblLayout w:type="fixed"/>
        <w:tblInd w:w="7" w:type="dxa"/>
        <w:tblCellMar>
          <w:top w:w="0" w:type="dxa"/>
          <w:left w:w="0" w:type="dxa"/>
          <w:bottom w:w="0" w:type="dxa"/>
          <w:right w:w="0" w:type="dxa"/>
        </w:tblCellMar>
      </w:tblPr>
      <w:tr>
        <w:trPr>
          <w:trHeight w:val="138"/>
        </w:trPr>
        <w:tc>
          <w:tcPr>
            <w:tcW w:w="1020" w:type="dxa"/>
            <w:vAlign w:val="bottom"/>
            <w:tcBorders>
              <w:bottom w:val="single" w:sz="8" w:color="0000EE"/>
            </w:tcBorders>
          </w:tcPr>
          <w:p>
            <w:pPr>
              <w:spacing w:after="0"/>
              <w:rPr>
                <w:sz w:val="20"/>
                <w:szCs w:val="20"/>
                <w:color w:val="auto"/>
              </w:rPr>
            </w:pPr>
            <w:r>
              <w:rPr>
                <w:rFonts w:ascii="Arial" w:cs="Arial" w:eastAsia="Arial" w:hAnsi="Arial"/>
                <w:sz w:val="12"/>
                <w:szCs w:val="12"/>
                <w:b w:val="1"/>
                <w:bCs w:val="1"/>
                <w:color w:val="0000EE"/>
              </w:rPr>
              <w:t>Back to Contents</w:t>
            </w:r>
          </w:p>
        </w:tc>
        <w:tc>
          <w:tcPr>
            <w:tcW w:w="27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5"/>
        </w:trPr>
        <w:tc>
          <w:tcPr>
            <w:tcW w:w="7140" w:type="dxa"/>
            <w:vAlign w:val="bottom"/>
            <w:gridSpan w:val="3"/>
          </w:tcPr>
          <w:p>
            <w:pPr>
              <w:spacing w:after="0"/>
              <w:rPr>
                <w:sz w:val="20"/>
                <w:szCs w:val="20"/>
                <w:color w:val="auto"/>
              </w:rPr>
            </w:pPr>
            <w:r>
              <w:rPr>
                <w:rFonts w:ascii="Arial" w:cs="Arial" w:eastAsia="Arial" w:hAnsi="Arial"/>
                <w:sz w:val="14"/>
                <w:szCs w:val="14"/>
                <w:color w:val="auto"/>
              </w:rPr>
              <w:t>The following table shows the compensation earned in fiscal 2024 by our non-employee directors.</w:t>
            </w: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10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3400" w:type="dxa"/>
            <w:vAlign w:val="bottom"/>
          </w:tcPr>
          <w:p>
            <w:pPr>
              <w:jc w:val="right"/>
              <w:ind w:right="230"/>
              <w:spacing w:after="0"/>
              <w:rPr>
                <w:sz w:val="20"/>
                <w:szCs w:val="20"/>
                <w:color w:val="auto"/>
              </w:rPr>
            </w:pPr>
            <w:r>
              <w:rPr>
                <w:rFonts w:ascii="Arial" w:cs="Arial" w:eastAsia="Arial" w:hAnsi="Arial"/>
                <w:sz w:val="14"/>
                <w:szCs w:val="14"/>
                <w:b w:val="1"/>
                <w:bCs w:val="1"/>
                <w:color w:val="auto"/>
              </w:rPr>
              <w:t>Fees Earned or</w:t>
            </w:r>
          </w:p>
        </w:tc>
        <w:tc>
          <w:tcPr>
            <w:tcW w:w="420" w:type="dxa"/>
            <w:vAlign w:val="bottom"/>
          </w:tcPr>
          <w:p>
            <w:pPr>
              <w:spacing w:after="0"/>
              <w:rPr>
                <w:sz w:val="24"/>
                <w:szCs w:val="24"/>
                <w:color w:val="auto"/>
              </w:rPr>
            </w:pPr>
          </w:p>
        </w:tc>
        <w:tc>
          <w:tcPr>
            <w:tcW w:w="1000" w:type="dxa"/>
            <w:vAlign w:val="bottom"/>
            <w:vMerge w:val="restart"/>
          </w:tcPr>
          <w:p>
            <w:pPr>
              <w:jc w:val="right"/>
              <w:ind w:right="210"/>
              <w:spacing w:after="0"/>
              <w:rPr>
                <w:sz w:val="20"/>
                <w:szCs w:val="20"/>
                <w:color w:val="auto"/>
              </w:rPr>
            </w:pPr>
            <w:r>
              <w:rPr>
                <w:rFonts w:ascii="Arial" w:cs="Arial" w:eastAsia="Arial" w:hAnsi="Arial"/>
                <w:sz w:val="14"/>
                <w:szCs w:val="14"/>
                <w:b w:val="1"/>
                <w:bCs w:val="1"/>
                <w:color w:val="auto"/>
              </w:rPr>
              <w:t>Stock</w:t>
            </w:r>
          </w:p>
        </w:tc>
        <w:tc>
          <w:tcPr>
            <w:tcW w:w="440" w:type="dxa"/>
            <w:vAlign w:val="bottom"/>
          </w:tcPr>
          <w:p>
            <w:pPr>
              <w:spacing w:after="0"/>
              <w:rPr>
                <w:sz w:val="24"/>
                <w:szCs w:val="24"/>
                <w:color w:val="auto"/>
              </w:rPr>
            </w:pPr>
          </w:p>
        </w:tc>
        <w:tc>
          <w:tcPr>
            <w:tcW w:w="1000" w:type="dxa"/>
            <w:vAlign w:val="bottom"/>
            <w:vMerge w:val="restart"/>
          </w:tcPr>
          <w:p>
            <w:pPr>
              <w:jc w:val="right"/>
              <w:ind w:right="210"/>
              <w:spacing w:after="0"/>
              <w:rPr>
                <w:sz w:val="20"/>
                <w:szCs w:val="20"/>
                <w:color w:val="auto"/>
              </w:rPr>
            </w:pPr>
            <w:r>
              <w:rPr>
                <w:rFonts w:ascii="Arial" w:cs="Arial" w:eastAsia="Arial" w:hAnsi="Arial"/>
                <w:sz w:val="14"/>
                <w:szCs w:val="14"/>
                <w:b w:val="1"/>
                <w:bCs w:val="1"/>
                <w:color w:val="auto"/>
              </w:rPr>
              <w:t>Option</w:t>
            </w: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1"/>
        </w:trPr>
        <w:tc>
          <w:tcPr>
            <w:tcW w:w="10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3400" w:type="dxa"/>
            <w:vAlign w:val="bottom"/>
          </w:tcPr>
          <w:p>
            <w:pPr>
              <w:jc w:val="right"/>
              <w:ind w:right="230"/>
              <w:spacing w:after="0" w:line="141" w:lineRule="exact"/>
              <w:rPr>
                <w:sz w:val="20"/>
                <w:szCs w:val="20"/>
                <w:color w:val="auto"/>
              </w:rPr>
            </w:pPr>
            <w:r>
              <w:rPr>
                <w:rFonts w:ascii="Arial" w:cs="Arial" w:eastAsia="Arial" w:hAnsi="Arial"/>
                <w:sz w:val="14"/>
                <w:szCs w:val="14"/>
                <w:b w:val="1"/>
                <w:bCs w:val="1"/>
                <w:color w:val="auto"/>
              </w:rPr>
              <w:t>Paid in Cash in</w:t>
            </w:r>
          </w:p>
        </w:tc>
        <w:tc>
          <w:tcPr>
            <w:tcW w:w="4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3740" w:type="dxa"/>
            <w:vAlign w:val="bottom"/>
            <w:tcBorders>
              <w:bottom w:val="single" w:sz="8" w:color="7CBD3F"/>
            </w:tcBorders>
            <w:gridSpan w:val="2"/>
          </w:tcPr>
          <w:p>
            <w:pPr>
              <w:ind w:left="40"/>
              <w:spacing w:after="0"/>
              <w:rPr>
                <w:sz w:val="20"/>
                <w:szCs w:val="20"/>
                <w:color w:val="auto"/>
              </w:rPr>
            </w:pPr>
            <w:r>
              <w:rPr>
                <w:rFonts w:ascii="Arial" w:cs="Arial" w:eastAsia="Arial" w:hAnsi="Arial"/>
                <w:sz w:val="14"/>
                <w:szCs w:val="14"/>
                <w:b w:val="1"/>
                <w:bCs w:val="1"/>
                <w:color w:val="auto"/>
              </w:rPr>
              <w:t>Name</w:t>
            </w:r>
          </w:p>
        </w:tc>
        <w:tc>
          <w:tcPr>
            <w:tcW w:w="3400" w:type="dxa"/>
            <w:vAlign w:val="bottom"/>
            <w:tcBorders>
              <w:bottom w:val="single" w:sz="8" w:color="7CBD3F"/>
            </w:tcBorders>
          </w:tcPr>
          <w:p>
            <w:pPr>
              <w:jc w:val="right"/>
              <w:ind w:right="230"/>
              <w:spacing w:after="0"/>
              <w:rPr>
                <w:sz w:val="20"/>
                <w:szCs w:val="20"/>
                <w:color w:val="auto"/>
              </w:rPr>
            </w:pPr>
            <w:r>
              <w:rPr>
                <w:rFonts w:ascii="Arial" w:cs="Arial" w:eastAsia="Arial" w:hAnsi="Arial"/>
                <w:sz w:val="14"/>
                <w:szCs w:val="14"/>
                <w:b w:val="1"/>
                <w:bCs w:val="1"/>
                <w:color w:val="auto"/>
              </w:rPr>
              <w:t>Fiscal 2024</w:t>
            </w:r>
          </w:p>
        </w:tc>
        <w:tc>
          <w:tcPr>
            <w:tcW w:w="420" w:type="dxa"/>
            <w:vAlign w:val="bottom"/>
            <w:tcBorders>
              <w:bottom w:val="single" w:sz="8" w:color="7CBD3F"/>
            </w:tcBorders>
          </w:tcPr>
          <w:p>
            <w:pPr>
              <w:spacing w:after="0"/>
              <w:rPr>
                <w:sz w:val="17"/>
                <w:szCs w:val="17"/>
                <w:color w:val="auto"/>
              </w:rPr>
            </w:pPr>
          </w:p>
        </w:tc>
        <w:tc>
          <w:tcPr>
            <w:tcW w:w="1000" w:type="dxa"/>
            <w:vAlign w:val="bottom"/>
            <w:tcBorders>
              <w:bottom w:val="single" w:sz="8" w:color="7CBD3F"/>
            </w:tcBorders>
          </w:tcPr>
          <w:p>
            <w:pPr>
              <w:jc w:val="right"/>
              <w:ind w:right="210"/>
              <w:spacing w:after="0" w:line="199" w:lineRule="exact"/>
              <w:rPr>
                <w:sz w:val="20"/>
                <w:szCs w:val="20"/>
                <w:color w:val="auto"/>
              </w:rPr>
            </w:pPr>
            <w:r>
              <w:rPr>
                <w:rFonts w:ascii="Arial" w:cs="Arial" w:eastAsia="Arial" w:hAnsi="Arial"/>
                <w:sz w:val="13"/>
                <w:szCs w:val="13"/>
                <w:b w:val="1"/>
                <w:bCs w:val="1"/>
                <w:color w:val="auto"/>
              </w:rPr>
              <w:t>Awards</w:t>
            </w:r>
            <w:r>
              <w:rPr>
                <w:rFonts w:ascii="Arial" w:cs="Arial" w:eastAsia="Arial" w:hAnsi="Arial"/>
                <w:sz w:val="22"/>
                <w:szCs w:val="22"/>
                <w:b w:val="1"/>
                <w:bCs w:val="1"/>
                <w:color w:val="auto"/>
                <w:vertAlign w:val="superscript"/>
              </w:rPr>
              <w:t>(1)</w:t>
            </w:r>
          </w:p>
        </w:tc>
        <w:tc>
          <w:tcPr>
            <w:tcW w:w="440" w:type="dxa"/>
            <w:vAlign w:val="bottom"/>
            <w:tcBorders>
              <w:bottom w:val="single" w:sz="8" w:color="7CBD3F"/>
            </w:tcBorders>
          </w:tcPr>
          <w:p>
            <w:pPr>
              <w:spacing w:after="0"/>
              <w:rPr>
                <w:sz w:val="17"/>
                <w:szCs w:val="17"/>
                <w:color w:val="auto"/>
              </w:rPr>
            </w:pPr>
          </w:p>
        </w:tc>
        <w:tc>
          <w:tcPr>
            <w:tcW w:w="1000" w:type="dxa"/>
            <w:vAlign w:val="bottom"/>
            <w:tcBorders>
              <w:bottom w:val="single" w:sz="8" w:color="7CBD3F"/>
            </w:tcBorders>
          </w:tcPr>
          <w:p>
            <w:pPr>
              <w:jc w:val="right"/>
              <w:ind w:right="210"/>
              <w:spacing w:after="0" w:line="199" w:lineRule="exact"/>
              <w:rPr>
                <w:sz w:val="20"/>
                <w:szCs w:val="20"/>
                <w:color w:val="auto"/>
              </w:rPr>
            </w:pPr>
            <w:r>
              <w:rPr>
                <w:rFonts w:ascii="Arial" w:cs="Arial" w:eastAsia="Arial" w:hAnsi="Arial"/>
                <w:sz w:val="13"/>
                <w:szCs w:val="13"/>
                <w:b w:val="1"/>
                <w:bCs w:val="1"/>
                <w:color w:val="auto"/>
              </w:rPr>
              <w:t>Awards</w:t>
            </w:r>
            <w:r>
              <w:rPr>
                <w:rFonts w:ascii="Arial" w:cs="Arial" w:eastAsia="Arial" w:hAnsi="Arial"/>
                <w:sz w:val="22"/>
                <w:szCs w:val="22"/>
                <w:b w:val="1"/>
                <w:bCs w:val="1"/>
                <w:color w:val="auto"/>
                <w:vertAlign w:val="superscript"/>
              </w:rPr>
              <w:t>(2)</w:t>
            </w:r>
          </w:p>
        </w:tc>
        <w:tc>
          <w:tcPr>
            <w:tcW w:w="500" w:type="dxa"/>
            <w:vAlign w:val="bottom"/>
            <w:tcBorders>
              <w:bottom w:val="single" w:sz="8" w:color="7CBD3F"/>
            </w:tcBorders>
          </w:tcPr>
          <w:p>
            <w:pPr>
              <w:spacing w:after="0"/>
              <w:rPr>
                <w:sz w:val="17"/>
                <w:szCs w:val="17"/>
                <w:color w:val="auto"/>
              </w:rPr>
            </w:pPr>
          </w:p>
        </w:tc>
        <w:tc>
          <w:tcPr>
            <w:tcW w:w="760" w:type="dxa"/>
            <w:vAlign w:val="bottom"/>
            <w:tcBorders>
              <w:bottom w:val="single" w:sz="8" w:color="7CBD3F"/>
            </w:tcBorders>
          </w:tcPr>
          <w:p>
            <w:pPr>
              <w:jc w:val="right"/>
              <w:ind w:right="3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3"/>
        </w:trPr>
        <w:tc>
          <w:tcPr>
            <w:tcW w:w="3740" w:type="dxa"/>
            <w:vAlign w:val="bottom"/>
            <w:gridSpan w:val="2"/>
          </w:tcPr>
          <w:p>
            <w:pPr>
              <w:ind w:left="40"/>
              <w:spacing w:after="0"/>
              <w:rPr>
                <w:sz w:val="20"/>
                <w:szCs w:val="20"/>
                <w:color w:val="auto"/>
              </w:rPr>
            </w:pPr>
            <w:r>
              <w:rPr>
                <w:rFonts w:ascii="Arial" w:cs="Arial" w:eastAsia="Arial" w:hAnsi="Arial"/>
                <w:sz w:val="14"/>
                <w:szCs w:val="14"/>
                <w:color w:val="auto"/>
              </w:rPr>
              <w:t>Daniel G. Welch</w:t>
            </w:r>
          </w:p>
        </w:tc>
        <w:tc>
          <w:tcPr>
            <w:tcW w:w="3400" w:type="dxa"/>
            <w:vAlign w:val="bottom"/>
          </w:tcPr>
          <w:p>
            <w:pPr>
              <w:jc w:val="right"/>
              <w:ind w:right="230"/>
              <w:spacing w:after="0"/>
              <w:rPr>
                <w:sz w:val="20"/>
                <w:szCs w:val="20"/>
                <w:color w:val="auto"/>
              </w:rPr>
            </w:pPr>
            <w:r>
              <w:rPr>
                <w:rFonts w:ascii="Arial" w:cs="Arial" w:eastAsia="Arial" w:hAnsi="Arial"/>
                <w:sz w:val="14"/>
                <w:szCs w:val="14"/>
                <w:color w:val="auto"/>
              </w:rPr>
              <w:t>$ 100,750</w:t>
            </w: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10"/>
              <w:spacing w:after="0"/>
              <w:rPr>
                <w:sz w:val="20"/>
                <w:szCs w:val="20"/>
                <w:color w:val="auto"/>
              </w:rPr>
            </w:pPr>
            <w:r>
              <w:rPr>
                <w:rFonts w:ascii="Arial" w:cs="Arial" w:eastAsia="Arial" w:hAnsi="Arial"/>
                <w:sz w:val="14"/>
                <w:szCs w:val="14"/>
                <w:color w:val="auto"/>
              </w:rPr>
              <w:t>200,010</w:t>
            </w: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10"/>
              <w:spacing w:after="0"/>
              <w:rPr>
                <w:sz w:val="20"/>
                <w:szCs w:val="20"/>
                <w:color w:val="auto"/>
              </w:rPr>
            </w:pPr>
            <w:r>
              <w:rPr>
                <w:rFonts w:ascii="Arial" w:cs="Arial" w:eastAsia="Arial" w:hAnsi="Arial"/>
                <w:sz w:val="14"/>
                <w:szCs w:val="14"/>
                <w:color w:val="auto"/>
              </w:rPr>
              <w:t>199,374</w:t>
            </w:r>
          </w:p>
        </w:tc>
        <w:tc>
          <w:tcPr>
            <w:tcW w:w="50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50"/>
              <w:spacing w:after="0"/>
              <w:rPr>
                <w:sz w:val="20"/>
                <w:szCs w:val="20"/>
                <w:color w:val="auto"/>
              </w:rPr>
            </w:pPr>
            <w:r>
              <w:rPr>
                <w:rFonts w:ascii="Arial" w:cs="Arial" w:eastAsia="Arial" w:hAnsi="Arial"/>
                <w:sz w:val="14"/>
                <w:szCs w:val="14"/>
                <w:color w:val="auto"/>
              </w:rPr>
              <w:t>500,134</w:t>
            </w:r>
          </w:p>
        </w:tc>
        <w:tc>
          <w:tcPr>
            <w:tcW w:w="0" w:type="dxa"/>
            <w:vAlign w:val="bottom"/>
          </w:tcPr>
          <w:p>
            <w:pPr>
              <w:spacing w:after="0"/>
              <w:rPr>
                <w:sz w:val="1"/>
                <w:szCs w:val="1"/>
                <w:color w:val="auto"/>
              </w:rPr>
            </w:pPr>
          </w:p>
        </w:tc>
      </w:tr>
      <w:tr>
        <w:trPr>
          <w:trHeight w:val="163"/>
        </w:trPr>
        <w:tc>
          <w:tcPr>
            <w:tcW w:w="3740" w:type="dxa"/>
            <w:vAlign w:val="bottom"/>
            <w:gridSpan w:val="2"/>
            <w:shd w:val="clear" w:color="auto" w:fill="F0F7E7"/>
          </w:tcPr>
          <w:p>
            <w:pPr>
              <w:ind w:left="40"/>
              <w:spacing w:after="0"/>
              <w:rPr>
                <w:sz w:val="20"/>
                <w:szCs w:val="20"/>
                <w:color w:val="auto"/>
              </w:rPr>
            </w:pPr>
            <w:r>
              <w:rPr>
                <w:rFonts w:ascii="Arial" w:cs="Arial" w:eastAsia="Arial" w:hAnsi="Arial"/>
                <w:sz w:val="14"/>
                <w:szCs w:val="14"/>
                <w:color w:val="auto"/>
              </w:rPr>
              <w:t>Deborah Dunsire, M.D.</w:t>
            </w:r>
          </w:p>
        </w:tc>
        <w:tc>
          <w:tcPr>
            <w:tcW w:w="3400" w:type="dxa"/>
            <w:vAlign w:val="bottom"/>
            <w:shd w:val="clear" w:color="auto" w:fill="F0F7E7"/>
          </w:tcPr>
          <w:p>
            <w:pPr>
              <w:jc w:val="right"/>
              <w:ind w:right="230"/>
              <w:spacing w:after="0"/>
              <w:rPr>
                <w:sz w:val="20"/>
                <w:szCs w:val="20"/>
                <w:color w:val="auto"/>
              </w:rPr>
            </w:pPr>
            <w:r>
              <w:rPr>
                <w:rFonts w:ascii="Arial" w:cs="Arial" w:eastAsia="Arial" w:hAnsi="Arial"/>
                <w:sz w:val="14"/>
                <w:szCs w:val="14"/>
                <w:color w:val="auto"/>
              </w:rPr>
              <w:t>67,375</w:t>
            </w:r>
          </w:p>
        </w:tc>
        <w:tc>
          <w:tcPr>
            <w:tcW w:w="420" w:type="dxa"/>
            <w:vAlign w:val="bottom"/>
            <w:shd w:val="clear" w:color="auto" w:fill="F0F7E7"/>
          </w:tcPr>
          <w:p>
            <w:pPr>
              <w:spacing w:after="0"/>
              <w:rPr>
                <w:sz w:val="14"/>
                <w:szCs w:val="14"/>
                <w:color w:val="auto"/>
              </w:rPr>
            </w:pPr>
          </w:p>
        </w:tc>
        <w:tc>
          <w:tcPr>
            <w:tcW w:w="1000" w:type="dxa"/>
            <w:vAlign w:val="bottom"/>
            <w:shd w:val="clear" w:color="auto" w:fill="F0F7E7"/>
          </w:tcPr>
          <w:p>
            <w:pPr>
              <w:jc w:val="right"/>
              <w:ind w:right="210"/>
              <w:spacing w:after="0"/>
              <w:rPr>
                <w:sz w:val="20"/>
                <w:szCs w:val="20"/>
                <w:color w:val="auto"/>
              </w:rPr>
            </w:pPr>
            <w:r>
              <w:rPr>
                <w:rFonts w:ascii="Arial" w:cs="Arial" w:eastAsia="Arial" w:hAnsi="Arial"/>
                <w:sz w:val="14"/>
                <w:szCs w:val="14"/>
                <w:color w:val="auto"/>
              </w:rPr>
              <w:t>200,010</w:t>
            </w:r>
          </w:p>
        </w:tc>
        <w:tc>
          <w:tcPr>
            <w:tcW w:w="440" w:type="dxa"/>
            <w:vAlign w:val="bottom"/>
            <w:shd w:val="clear" w:color="auto" w:fill="F0F7E7"/>
          </w:tcPr>
          <w:p>
            <w:pPr>
              <w:spacing w:after="0"/>
              <w:rPr>
                <w:sz w:val="14"/>
                <w:szCs w:val="14"/>
                <w:color w:val="auto"/>
              </w:rPr>
            </w:pPr>
          </w:p>
        </w:tc>
        <w:tc>
          <w:tcPr>
            <w:tcW w:w="1000" w:type="dxa"/>
            <w:vAlign w:val="bottom"/>
            <w:shd w:val="clear" w:color="auto" w:fill="F0F7E7"/>
          </w:tcPr>
          <w:p>
            <w:pPr>
              <w:jc w:val="right"/>
              <w:ind w:right="210"/>
              <w:spacing w:after="0"/>
              <w:rPr>
                <w:sz w:val="20"/>
                <w:szCs w:val="20"/>
                <w:color w:val="auto"/>
              </w:rPr>
            </w:pPr>
            <w:r>
              <w:rPr>
                <w:rFonts w:ascii="Arial" w:cs="Arial" w:eastAsia="Arial" w:hAnsi="Arial"/>
                <w:sz w:val="14"/>
                <w:szCs w:val="14"/>
                <w:color w:val="auto"/>
              </w:rPr>
              <w:t>199,374</w:t>
            </w:r>
          </w:p>
        </w:tc>
        <w:tc>
          <w:tcPr>
            <w:tcW w:w="500" w:type="dxa"/>
            <w:vAlign w:val="bottom"/>
            <w:shd w:val="clear" w:color="auto" w:fill="F0F7E7"/>
          </w:tcPr>
          <w:p>
            <w:pPr>
              <w:spacing w:after="0"/>
              <w:rPr>
                <w:sz w:val="14"/>
                <w:szCs w:val="14"/>
                <w:color w:val="auto"/>
              </w:rPr>
            </w:pPr>
          </w:p>
        </w:tc>
        <w:tc>
          <w:tcPr>
            <w:tcW w:w="760" w:type="dxa"/>
            <w:vAlign w:val="bottom"/>
            <w:shd w:val="clear" w:color="auto" w:fill="F0F7E7"/>
          </w:tcPr>
          <w:p>
            <w:pPr>
              <w:jc w:val="right"/>
              <w:ind w:right="50"/>
              <w:spacing w:after="0"/>
              <w:rPr>
                <w:sz w:val="20"/>
                <w:szCs w:val="20"/>
                <w:color w:val="auto"/>
              </w:rPr>
            </w:pPr>
            <w:r>
              <w:rPr>
                <w:rFonts w:ascii="Arial" w:cs="Arial" w:eastAsia="Arial" w:hAnsi="Arial"/>
                <w:sz w:val="14"/>
                <w:szCs w:val="14"/>
                <w:color w:val="auto"/>
              </w:rPr>
              <w:t>466,759</w:t>
            </w:r>
          </w:p>
        </w:tc>
        <w:tc>
          <w:tcPr>
            <w:tcW w:w="0" w:type="dxa"/>
            <w:vAlign w:val="bottom"/>
          </w:tcPr>
          <w:p>
            <w:pPr>
              <w:spacing w:after="0"/>
              <w:rPr>
                <w:sz w:val="1"/>
                <w:szCs w:val="1"/>
                <w:color w:val="auto"/>
              </w:rPr>
            </w:pPr>
          </w:p>
        </w:tc>
      </w:tr>
      <w:tr>
        <w:trPr>
          <w:trHeight w:val="163"/>
        </w:trPr>
        <w:tc>
          <w:tcPr>
            <w:tcW w:w="3740" w:type="dxa"/>
            <w:vAlign w:val="bottom"/>
            <w:gridSpan w:val="2"/>
          </w:tcPr>
          <w:p>
            <w:pPr>
              <w:ind w:left="40"/>
              <w:spacing w:after="0"/>
              <w:rPr>
                <w:sz w:val="20"/>
                <w:szCs w:val="20"/>
                <w:color w:val="auto"/>
              </w:rPr>
            </w:pPr>
            <w:r>
              <w:rPr>
                <w:rFonts w:ascii="Arial" w:cs="Arial" w:eastAsia="Arial" w:hAnsi="Arial"/>
                <w:sz w:val="14"/>
                <w:szCs w:val="14"/>
                <w:color w:val="auto"/>
              </w:rPr>
              <w:t>Matthew K. Fust</w:t>
            </w:r>
          </w:p>
        </w:tc>
        <w:tc>
          <w:tcPr>
            <w:tcW w:w="3400" w:type="dxa"/>
            <w:vAlign w:val="bottom"/>
          </w:tcPr>
          <w:p>
            <w:pPr>
              <w:jc w:val="right"/>
              <w:ind w:right="230"/>
              <w:spacing w:after="0"/>
              <w:rPr>
                <w:sz w:val="20"/>
                <w:szCs w:val="20"/>
                <w:color w:val="auto"/>
              </w:rPr>
            </w:pPr>
            <w:r>
              <w:rPr>
                <w:rFonts w:ascii="Arial" w:cs="Arial" w:eastAsia="Arial" w:hAnsi="Arial"/>
                <w:sz w:val="14"/>
                <w:szCs w:val="14"/>
                <w:color w:val="auto"/>
              </w:rPr>
              <w:t>80,750</w:t>
            </w:r>
          </w:p>
        </w:tc>
        <w:tc>
          <w:tcPr>
            <w:tcW w:w="420" w:type="dxa"/>
            <w:vAlign w:val="bottom"/>
          </w:tcPr>
          <w:p>
            <w:pPr>
              <w:spacing w:after="0"/>
              <w:rPr>
                <w:sz w:val="14"/>
                <w:szCs w:val="14"/>
                <w:color w:val="auto"/>
              </w:rPr>
            </w:pPr>
          </w:p>
        </w:tc>
        <w:tc>
          <w:tcPr>
            <w:tcW w:w="1000" w:type="dxa"/>
            <w:vAlign w:val="bottom"/>
          </w:tcPr>
          <w:p>
            <w:pPr>
              <w:jc w:val="right"/>
              <w:ind w:right="210"/>
              <w:spacing w:after="0"/>
              <w:rPr>
                <w:sz w:val="20"/>
                <w:szCs w:val="20"/>
                <w:color w:val="auto"/>
              </w:rPr>
            </w:pPr>
            <w:r>
              <w:rPr>
                <w:rFonts w:ascii="Arial" w:cs="Arial" w:eastAsia="Arial" w:hAnsi="Arial"/>
                <w:sz w:val="14"/>
                <w:szCs w:val="14"/>
                <w:color w:val="auto"/>
              </w:rPr>
              <w:t>200,010</w:t>
            </w:r>
          </w:p>
        </w:tc>
        <w:tc>
          <w:tcPr>
            <w:tcW w:w="440" w:type="dxa"/>
            <w:vAlign w:val="bottom"/>
          </w:tcPr>
          <w:p>
            <w:pPr>
              <w:spacing w:after="0"/>
              <w:rPr>
                <w:sz w:val="14"/>
                <w:szCs w:val="14"/>
                <w:color w:val="auto"/>
              </w:rPr>
            </w:pPr>
          </w:p>
        </w:tc>
        <w:tc>
          <w:tcPr>
            <w:tcW w:w="1000" w:type="dxa"/>
            <w:vAlign w:val="bottom"/>
          </w:tcPr>
          <w:p>
            <w:pPr>
              <w:jc w:val="right"/>
              <w:ind w:right="210"/>
              <w:spacing w:after="0"/>
              <w:rPr>
                <w:sz w:val="20"/>
                <w:szCs w:val="20"/>
                <w:color w:val="auto"/>
              </w:rPr>
            </w:pPr>
            <w:r>
              <w:rPr>
                <w:rFonts w:ascii="Arial" w:cs="Arial" w:eastAsia="Arial" w:hAnsi="Arial"/>
                <w:sz w:val="14"/>
                <w:szCs w:val="14"/>
                <w:color w:val="auto"/>
              </w:rPr>
              <w:t>199,374</w:t>
            </w:r>
          </w:p>
        </w:tc>
        <w:tc>
          <w:tcPr>
            <w:tcW w:w="500" w:type="dxa"/>
            <w:vAlign w:val="bottom"/>
          </w:tcPr>
          <w:p>
            <w:pPr>
              <w:spacing w:after="0"/>
              <w:rPr>
                <w:sz w:val="14"/>
                <w:szCs w:val="14"/>
                <w:color w:val="auto"/>
              </w:rPr>
            </w:pPr>
          </w:p>
        </w:tc>
        <w:tc>
          <w:tcPr>
            <w:tcW w:w="760" w:type="dxa"/>
            <w:vAlign w:val="bottom"/>
          </w:tcPr>
          <w:p>
            <w:pPr>
              <w:jc w:val="right"/>
              <w:ind w:right="50"/>
              <w:spacing w:after="0"/>
              <w:rPr>
                <w:sz w:val="20"/>
                <w:szCs w:val="20"/>
                <w:color w:val="auto"/>
              </w:rPr>
            </w:pPr>
            <w:r>
              <w:rPr>
                <w:rFonts w:ascii="Arial" w:cs="Arial" w:eastAsia="Arial" w:hAnsi="Arial"/>
                <w:sz w:val="14"/>
                <w:szCs w:val="14"/>
                <w:color w:val="auto"/>
              </w:rPr>
              <w:t>480,134</w:t>
            </w:r>
          </w:p>
        </w:tc>
        <w:tc>
          <w:tcPr>
            <w:tcW w:w="0" w:type="dxa"/>
            <w:vAlign w:val="bottom"/>
          </w:tcPr>
          <w:p>
            <w:pPr>
              <w:spacing w:after="0"/>
              <w:rPr>
                <w:sz w:val="1"/>
                <w:szCs w:val="1"/>
                <w:color w:val="auto"/>
              </w:rPr>
            </w:pPr>
          </w:p>
        </w:tc>
      </w:tr>
      <w:tr>
        <w:trPr>
          <w:trHeight w:val="163"/>
        </w:trPr>
        <w:tc>
          <w:tcPr>
            <w:tcW w:w="3740" w:type="dxa"/>
            <w:vAlign w:val="bottom"/>
            <w:gridSpan w:val="2"/>
            <w:shd w:val="clear" w:color="auto" w:fill="F0F7E7"/>
          </w:tcPr>
          <w:p>
            <w:pPr>
              <w:ind w:left="40"/>
              <w:spacing w:after="0"/>
              <w:rPr>
                <w:sz w:val="20"/>
                <w:szCs w:val="20"/>
                <w:color w:val="auto"/>
              </w:rPr>
            </w:pPr>
            <w:r>
              <w:rPr>
                <w:rFonts w:ascii="Arial" w:cs="Arial" w:eastAsia="Arial" w:hAnsi="Arial"/>
                <w:sz w:val="14"/>
                <w:szCs w:val="14"/>
                <w:color w:val="auto"/>
              </w:rPr>
              <w:t>Michael Narachi</w:t>
            </w:r>
          </w:p>
        </w:tc>
        <w:tc>
          <w:tcPr>
            <w:tcW w:w="3400" w:type="dxa"/>
            <w:vAlign w:val="bottom"/>
            <w:shd w:val="clear" w:color="auto" w:fill="F0F7E7"/>
          </w:tcPr>
          <w:p>
            <w:pPr>
              <w:jc w:val="right"/>
              <w:ind w:right="230"/>
              <w:spacing w:after="0"/>
              <w:rPr>
                <w:sz w:val="20"/>
                <w:szCs w:val="20"/>
                <w:color w:val="auto"/>
              </w:rPr>
            </w:pPr>
            <w:r>
              <w:rPr>
                <w:rFonts w:ascii="Arial" w:cs="Arial" w:eastAsia="Arial" w:hAnsi="Arial"/>
                <w:sz w:val="14"/>
                <w:szCs w:val="14"/>
                <w:color w:val="auto"/>
              </w:rPr>
              <w:t>82,500</w:t>
            </w:r>
          </w:p>
        </w:tc>
        <w:tc>
          <w:tcPr>
            <w:tcW w:w="420" w:type="dxa"/>
            <w:vAlign w:val="bottom"/>
            <w:shd w:val="clear" w:color="auto" w:fill="F0F7E7"/>
          </w:tcPr>
          <w:p>
            <w:pPr>
              <w:spacing w:after="0"/>
              <w:rPr>
                <w:sz w:val="14"/>
                <w:szCs w:val="14"/>
                <w:color w:val="auto"/>
              </w:rPr>
            </w:pPr>
          </w:p>
        </w:tc>
        <w:tc>
          <w:tcPr>
            <w:tcW w:w="1000" w:type="dxa"/>
            <w:vAlign w:val="bottom"/>
            <w:shd w:val="clear" w:color="auto" w:fill="F0F7E7"/>
          </w:tcPr>
          <w:p>
            <w:pPr>
              <w:jc w:val="right"/>
              <w:ind w:right="210"/>
              <w:spacing w:after="0"/>
              <w:rPr>
                <w:sz w:val="20"/>
                <w:szCs w:val="20"/>
                <w:color w:val="auto"/>
              </w:rPr>
            </w:pPr>
            <w:r>
              <w:rPr>
                <w:rFonts w:ascii="Arial" w:cs="Arial" w:eastAsia="Arial" w:hAnsi="Arial"/>
                <w:sz w:val="14"/>
                <w:szCs w:val="14"/>
                <w:color w:val="auto"/>
              </w:rPr>
              <w:t>200,010</w:t>
            </w:r>
          </w:p>
        </w:tc>
        <w:tc>
          <w:tcPr>
            <w:tcW w:w="440" w:type="dxa"/>
            <w:vAlign w:val="bottom"/>
            <w:shd w:val="clear" w:color="auto" w:fill="F0F7E7"/>
          </w:tcPr>
          <w:p>
            <w:pPr>
              <w:spacing w:after="0"/>
              <w:rPr>
                <w:sz w:val="14"/>
                <w:szCs w:val="14"/>
                <w:color w:val="auto"/>
              </w:rPr>
            </w:pPr>
          </w:p>
        </w:tc>
        <w:tc>
          <w:tcPr>
            <w:tcW w:w="1000" w:type="dxa"/>
            <w:vAlign w:val="bottom"/>
            <w:shd w:val="clear" w:color="auto" w:fill="F0F7E7"/>
          </w:tcPr>
          <w:p>
            <w:pPr>
              <w:jc w:val="right"/>
              <w:ind w:right="210"/>
              <w:spacing w:after="0"/>
              <w:rPr>
                <w:sz w:val="20"/>
                <w:szCs w:val="20"/>
                <w:color w:val="auto"/>
              </w:rPr>
            </w:pPr>
            <w:r>
              <w:rPr>
                <w:rFonts w:ascii="Arial" w:cs="Arial" w:eastAsia="Arial" w:hAnsi="Arial"/>
                <w:sz w:val="14"/>
                <w:szCs w:val="14"/>
                <w:color w:val="auto"/>
              </w:rPr>
              <w:t>199,374</w:t>
            </w:r>
          </w:p>
        </w:tc>
        <w:tc>
          <w:tcPr>
            <w:tcW w:w="500" w:type="dxa"/>
            <w:vAlign w:val="bottom"/>
            <w:shd w:val="clear" w:color="auto" w:fill="F0F7E7"/>
          </w:tcPr>
          <w:p>
            <w:pPr>
              <w:spacing w:after="0"/>
              <w:rPr>
                <w:sz w:val="14"/>
                <w:szCs w:val="14"/>
                <w:color w:val="auto"/>
              </w:rPr>
            </w:pPr>
          </w:p>
        </w:tc>
        <w:tc>
          <w:tcPr>
            <w:tcW w:w="760" w:type="dxa"/>
            <w:vAlign w:val="bottom"/>
            <w:shd w:val="clear" w:color="auto" w:fill="F0F7E7"/>
          </w:tcPr>
          <w:p>
            <w:pPr>
              <w:jc w:val="right"/>
              <w:ind w:right="50"/>
              <w:spacing w:after="0"/>
              <w:rPr>
                <w:sz w:val="20"/>
                <w:szCs w:val="20"/>
                <w:color w:val="auto"/>
              </w:rPr>
            </w:pPr>
            <w:r>
              <w:rPr>
                <w:rFonts w:ascii="Arial" w:cs="Arial" w:eastAsia="Arial" w:hAnsi="Arial"/>
                <w:sz w:val="14"/>
                <w:szCs w:val="14"/>
                <w:color w:val="auto"/>
              </w:rPr>
              <w:t>481,884</w:t>
            </w:r>
          </w:p>
        </w:tc>
        <w:tc>
          <w:tcPr>
            <w:tcW w:w="0" w:type="dxa"/>
            <w:vAlign w:val="bottom"/>
          </w:tcPr>
          <w:p>
            <w:pPr>
              <w:spacing w:after="0"/>
              <w:rPr>
                <w:sz w:val="1"/>
                <w:szCs w:val="1"/>
                <w:color w:val="auto"/>
              </w:rPr>
            </w:pPr>
          </w:p>
        </w:tc>
      </w:tr>
      <w:tr>
        <w:trPr>
          <w:trHeight w:val="163"/>
        </w:trPr>
        <w:tc>
          <w:tcPr>
            <w:tcW w:w="3740" w:type="dxa"/>
            <w:vAlign w:val="bottom"/>
            <w:gridSpan w:val="2"/>
          </w:tcPr>
          <w:p>
            <w:pPr>
              <w:ind w:left="40"/>
              <w:spacing w:after="0"/>
              <w:rPr>
                <w:sz w:val="20"/>
                <w:szCs w:val="20"/>
                <w:color w:val="auto"/>
              </w:rPr>
            </w:pPr>
            <w:r>
              <w:rPr>
                <w:rFonts w:ascii="Arial" w:cs="Arial" w:eastAsia="Arial" w:hAnsi="Arial"/>
                <w:sz w:val="14"/>
                <w:szCs w:val="14"/>
                <w:color w:val="auto"/>
              </w:rPr>
              <w:t>Amrit Ray, M.D.</w:t>
            </w:r>
          </w:p>
        </w:tc>
        <w:tc>
          <w:tcPr>
            <w:tcW w:w="3400" w:type="dxa"/>
            <w:vAlign w:val="bottom"/>
          </w:tcPr>
          <w:p>
            <w:pPr>
              <w:jc w:val="right"/>
              <w:ind w:right="230"/>
              <w:spacing w:after="0"/>
              <w:rPr>
                <w:sz w:val="20"/>
                <w:szCs w:val="20"/>
                <w:color w:val="auto"/>
              </w:rPr>
            </w:pPr>
            <w:r>
              <w:rPr>
                <w:rFonts w:ascii="Arial" w:cs="Arial" w:eastAsia="Arial" w:hAnsi="Arial"/>
                <w:sz w:val="14"/>
                <w:szCs w:val="14"/>
                <w:color w:val="auto"/>
              </w:rPr>
              <w:t>64,750</w:t>
            </w:r>
          </w:p>
        </w:tc>
        <w:tc>
          <w:tcPr>
            <w:tcW w:w="420" w:type="dxa"/>
            <w:vAlign w:val="bottom"/>
          </w:tcPr>
          <w:p>
            <w:pPr>
              <w:spacing w:after="0"/>
              <w:rPr>
                <w:sz w:val="14"/>
                <w:szCs w:val="14"/>
                <w:color w:val="auto"/>
              </w:rPr>
            </w:pPr>
          </w:p>
        </w:tc>
        <w:tc>
          <w:tcPr>
            <w:tcW w:w="1000" w:type="dxa"/>
            <w:vAlign w:val="bottom"/>
          </w:tcPr>
          <w:p>
            <w:pPr>
              <w:jc w:val="right"/>
              <w:ind w:right="210"/>
              <w:spacing w:after="0"/>
              <w:rPr>
                <w:sz w:val="20"/>
                <w:szCs w:val="20"/>
                <w:color w:val="auto"/>
              </w:rPr>
            </w:pPr>
            <w:r>
              <w:rPr>
                <w:rFonts w:ascii="Arial" w:cs="Arial" w:eastAsia="Arial" w:hAnsi="Arial"/>
                <w:sz w:val="14"/>
                <w:szCs w:val="14"/>
                <w:color w:val="auto"/>
              </w:rPr>
              <w:t>200,010</w:t>
            </w:r>
          </w:p>
        </w:tc>
        <w:tc>
          <w:tcPr>
            <w:tcW w:w="440" w:type="dxa"/>
            <w:vAlign w:val="bottom"/>
          </w:tcPr>
          <w:p>
            <w:pPr>
              <w:spacing w:after="0"/>
              <w:rPr>
                <w:sz w:val="14"/>
                <w:szCs w:val="14"/>
                <w:color w:val="auto"/>
              </w:rPr>
            </w:pPr>
          </w:p>
        </w:tc>
        <w:tc>
          <w:tcPr>
            <w:tcW w:w="1000" w:type="dxa"/>
            <w:vAlign w:val="bottom"/>
          </w:tcPr>
          <w:p>
            <w:pPr>
              <w:jc w:val="right"/>
              <w:ind w:right="210"/>
              <w:spacing w:after="0"/>
              <w:rPr>
                <w:sz w:val="20"/>
                <w:szCs w:val="20"/>
                <w:color w:val="auto"/>
              </w:rPr>
            </w:pPr>
            <w:r>
              <w:rPr>
                <w:rFonts w:ascii="Arial" w:cs="Arial" w:eastAsia="Arial" w:hAnsi="Arial"/>
                <w:sz w:val="14"/>
                <w:szCs w:val="14"/>
                <w:color w:val="auto"/>
              </w:rPr>
              <w:t>199,374</w:t>
            </w:r>
          </w:p>
        </w:tc>
        <w:tc>
          <w:tcPr>
            <w:tcW w:w="500" w:type="dxa"/>
            <w:vAlign w:val="bottom"/>
          </w:tcPr>
          <w:p>
            <w:pPr>
              <w:spacing w:after="0"/>
              <w:rPr>
                <w:sz w:val="14"/>
                <w:szCs w:val="14"/>
                <w:color w:val="auto"/>
              </w:rPr>
            </w:pPr>
          </w:p>
        </w:tc>
        <w:tc>
          <w:tcPr>
            <w:tcW w:w="760" w:type="dxa"/>
            <w:vAlign w:val="bottom"/>
          </w:tcPr>
          <w:p>
            <w:pPr>
              <w:jc w:val="right"/>
              <w:ind w:right="50"/>
              <w:spacing w:after="0"/>
              <w:rPr>
                <w:sz w:val="20"/>
                <w:szCs w:val="20"/>
                <w:color w:val="auto"/>
              </w:rPr>
            </w:pPr>
            <w:r>
              <w:rPr>
                <w:rFonts w:ascii="Arial" w:cs="Arial" w:eastAsia="Arial" w:hAnsi="Arial"/>
                <w:sz w:val="14"/>
                <w:szCs w:val="14"/>
                <w:color w:val="auto"/>
              </w:rPr>
              <w:t>464,134</w:t>
            </w:r>
          </w:p>
        </w:tc>
        <w:tc>
          <w:tcPr>
            <w:tcW w:w="0" w:type="dxa"/>
            <w:vAlign w:val="bottom"/>
          </w:tcPr>
          <w:p>
            <w:pPr>
              <w:spacing w:after="0"/>
              <w:rPr>
                <w:sz w:val="1"/>
                <w:szCs w:val="1"/>
                <w:color w:val="auto"/>
              </w:rPr>
            </w:pPr>
          </w:p>
        </w:tc>
      </w:tr>
      <w:tr>
        <w:trPr>
          <w:trHeight w:val="163"/>
        </w:trPr>
        <w:tc>
          <w:tcPr>
            <w:tcW w:w="3740" w:type="dxa"/>
            <w:vAlign w:val="bottom"/>
            <w:gridSpan w:val="2"/>
            <w:shd w:val="clear" w:color="auto" w:fill="F0F7E7"/>
          </w:tcPr>
          <w:p>
            <w:pPr>
              <w:ind w:left="40"/>
              <w:spacing w:after="0"/>
              <w:rPr>
                <w:sz w:val="20"/>
                <w:szCs w:val="20"/>
                <w:color w:val="auto"/>
              </w:rPr>
            </w:pPr>
            <w:r>
              <w:rPr>
                <w:rFonts w:ascii="Arial" w:cs="Arial" w:eastAsia="Arial" w:hAnsi="Arial"/>
                <w:sz w:val="14"/>
                <w:szCs w:val="14"/>
                <w:color w:val="auto"/>
              </w:rPr>
              <w:t>Corsee D. Sanders, Ph.D.</w:t>
            </w:r>
          </w:p>
        </w:tc>
        <w:tc>
          <w:tcPr>
            <w:tcW w:w="3400" w:type="dxa"/>
            <w:vAlign w:val="bottom"/>
            <w:shd w:val="clear" w:color="auto" w:fill="F0F7E7"/>
          </w:tcPr>
          <w:p>
            <w:pPr>
              <w:jc w:val="right"/>
              <w:ind w:right="230"/>
              <w:spacing w:after="0"/>
              <w:rPr>
                <w:sz w:val="20"/>
                <w:szCs w:val="20"/>
                <w:color w:val="auto"/>
              </w:rPr>
            </w:pPr>
            <w:r>
              <w:rPr>
                <w:rFonts w:ascii="Arial" w:cs="Arial" w:eastAsia="Arial" w:hAnsi="Arial"/>
                <w:sz w:val="14"/>
                <w:szCs w:val="14"/>
                <w:color w:val="auto"/>
              </w:rPr>
              <w:t>69,875</w:t>
            </w:r>
          </w:p>
        </w:tc>
        <w:tc>
          <w:tcPr>
            <w:tcW w:w="420" w:type="dxa"/>
            <w:vAlign w:val="bottom"/>
            <w:shd w:val="clear" w:color="auto" w:fill="F0F7E7"/>
          </w:tcPr>
          <w:p>
            <w:pPr>
              <w:spacing w:after="0"/>
              <w:rPr>
                <w:sz w:val="14"/>
                <w:szCs w:val="14"/>
                <w:color w:val="auto"/>
              </w:rPr>
            </w:pPr>
          </w:p>
        </w:tc>
        <w:tc>
          <w:tcPr>
            <w:tcW w:w="1000" w:type="dxa"/>
            <w:vAlign w:val="bottom"/>
            <w:shd w:val="clear" w:color="auto" w:fill="F0F7E7"/>
          </w:tcPr>
          <w:p>
            <w:pPr>
              <w:jc w:val="right"/>
              <w:ind w:right="210"/>
              <w:spacing w:after="0"/>
              <w:rPr>
                <w:sz w:val="20"/>
                <w:szCs w:val="20"/>
                <w:color w:val="auto"/>
              </w:rPr>
            </w:pPr>
            <w:r>
              <w:rPr>
                <w:rFonts w:ascii="Arial" w:cs="Arial" w:eastAsia="Arial" w:hAnsi="Arial"/>
                <w:sz w:val="14"/>
                <w:szCs w:val="14"/>
                <w:color w:val="auto"/>
              </w:rPr>
              <w:t>200,010</w:t>
            </w:r>
          </w:p>
        </w:tc>
        <w:tc>
          <w:tcPr>
            <w:tcW w:w="440" w:type="dxa"/>
            <w:vAlign w:val="bottom"/>
            <w:shd w:val="clear" w:color="auto" w:fill="F0F7E7"/>
          </w:tcPr>
          <w:p>
            <w:pPr>
              <w:spacing w:after="0"/>
              <w:rPr>
                <w:sz w:val="14"/>
                <w:szCs w:val="14"/>
                <w:color w:val="auto"/>
              </w:rPr>
            </w:pPr>
          </w:p>
        </w:tc>
        <w:tc>
          <w:tcPr>
            <w:tcW w:w="1000" w:type="dxa"/>
            <w:vAlign w:val="bottom"/>
            <w:shd w:val="clear" w:color="auto" w:fill="F0F7E7"/>
          </w:tcPr>
          <w:p>
            <w:pPr>
              <w:jc w:val="right"/>
              <w:ind w:right="210"/>
              <w:spacing w:after="0"/>
              <w:rPr>
                <w:sz w:val="20"/>
                <w:szCs w:val="20"/>
                <w:color w:val="auto"/>
              </w:rPr>
            </w:pPr>
            <w:r>
              <w:rPr>
                <w:rFonts w:ascii="Arial" w:cs="Arial" w:eastAsia="Arial" w:hAnsi="Arial"/>
                <w:sz w:val="14"/>
                <w:szCs w:val="14"/>
                <w:color w:val="auto"/>
              </w:rPr>
              <w:t>199,374</w:t>
            </w:r>
          </w:p>
        </w:tc>
        <w:tc>
          <w:tcPr>
            <w:tcW w:w="500" w:type="dxa"/>
            <w:vAlign w:val="bottom"/>
            <w:shd w:val="clear" w:color="auto" w:fill="F0F7E7"/>
          </w:tcPr>
          <w:p>
            <w:pPr>
              <w:spacing w:after="0"/>
              <w:rPr>
                <w:sz w:val="14"/>
                <w:szCs w:val="14"/>
                <w:color w:val="auto"/>
              </w:rPr>
            </w:pPr>
          </w:p>
        </w:tc>
        <w:tc>
          <w:tcPr>
            <w:tcW w:w="760" w:type="dxa"/>
            <w:vAlign w:val="bottom"/>
            <w:shd w:val="clear" w:color="auto" w:fill="F0F7E7"/>
          </w:tcPr>
          <w:p>
            <w:pPr>
              <w:jc w:val="right"/>
              <w:ind w:right="50"/>
              <w:spacing w:after="0"/>
              <w:rPr>
                <w:sz w:val="20"/>
                <w:szCs w:val="20"/>
                <w:color w:val="auto"/>
              </w:rPr>
            </w:pPr>
            <w:r>
              <w:rPr>
                <w:rFonts w:ascii="Arial" w:cs="Arial" w:eastAsia="Arial" w:hAnsi="Arial"/>
                <w:sz w:val="14"/>
                <w:szCs w:val="14"/>
                <w:color w:val="auto"/>
              </w:rPr>
              <w:t>469,259</w:t>
            </w:r>
          </w:p>
        </w:tc>
        <w:tc>
          <w:tcPr>
            <w:tcW w:w="0" w:type="dxa"/>
            <w:vAlign w:val="bottom"/>
          </w:tcPr>
          <w:p>
            <w:pPr>
              <w:spacing w:after="0"/>
              <w:rPr>
                <w:sz w:val="1"/>
                <w:szCs w:val="1"/>
                <w:color w:val="auto"/>
              </w:rPr>
            </w:pPr>
          </w:p>
        </w:tc>
      </w:tr>
      <w:tr>
        <w:trPr>
          <w:trHeight w:val="167"/>
        </w:trPr>
        <w:tc>
          <w:tcPr>
            <w:tcW w:w="3740" w:type="dxa"/>
            <w:vAlign w:val="bottom"/>
            <w:tcBorders>
              <w:bottom w:val="single" w:sz="8" w:color="7CBD3F"/>
            </w:tcBorders>
            <w:gridSpan w:val="2"/>
          </w:tcPr>
          <w:p>
            <w:pPr>
              <w:ind w:left="40"/>
              <w:spacing w:after="0"/>
              <w:rPr>
                <w:sz w:val="20"/>
                <w:szCs w:val="20"/>
                <w:color w:val="auto"/>
              </w:rPr>
            </w:pPr>
            <w:r>
              <w:rPr>
                <w:rFonts w:ascii="Arial" w:cs="Arial" w:eastAsia="Arial" w:hAnsi="Arial"/>
                <w:sz w:val="14"/>
                <w:szCs w:val="14"/>
                <w:color w:val="auto"/>
              </w:rPr>
              <w:t>Shehnaaz Suliman, M.D.</w:t>
            </w:r>
          </w:p>
        </w:tc>
        <w:tc>
          <w:tcPr>
            <w:tcW w:w="3400" w:type="dxa"/>
            <w:vAlign w:val="bottom"/>
            <w:tcBorders>
              <w:bottom w:val="single" w:sz="8" w:color="7CBD3F"/>
            </w:tcBorders>
          </w:tcPr>
          <w:p>
            <w:pPr>
              <w:jc w:val="right"/>
              <w:ind w:right="230"/>
              <w:spacing w:after="0"/>
              <w:rPr>
                <w:sz w:val="20"/>
                <w:szCs w:val="20"/>
                <w:color w:val="auto"/>
              </w:rPr>
            </w:pPr>
            <w:r>
              <w:rPr>
                <w:rFonts w:ascii="Arial" w:cs="Arial" w:eastAsia="Arial" w:hAnsi="Arial"/>
                <w:sz w:val="14"/>
                <w:szCs w:val="14"/>
                <w:color w:val="auto"/>
              </w:rPr>
              <w:t>68,875</w:t>
            </w:r>
          </w:p>
        </w:tc>
        <w:tc>
          <w:tcPr>
            <w:tcW w:w="420" w:type="dxa"/>
            <w:vAlign w:val="bottom"/>
            <w:tcBorders>
              <w:bottom w:val="single" w:sz="8" w:color="7CBD3F"/>
            </w:tcBorders>
          </w:tcPr>
          <w:p>
            <w:pPr>
              <w:spacing w:after="0"/>
              <w:rPr>
                <w:sz w:val="14"/>
                <w:szCs w:val="14"/>
                <w:color w:val="auto"/>
              </w:rPr>
            </w:pPr>
          </w:p>
        </w:tc>
        <w:tc>
          <w:tcPr>
            <w:tcW w:w="1000" w:type="dxa"/>
            <w:vAlign w:val="bottom"/>
            <w:tcBorders>
              <w:bottom w:val="single" w:sz="8" w:color="7CBD3F"/>
            </w:tcBorders>
          </w:tcPr>
          <w:p>
            <w:pPr>
              <w:jc w:val="right"/>
              <w:ind w:right="210"/>
              <w:spacing w:after="0"/>
              <w:rPr>
                <w:sz w:val="20"/>
                <w:szCs w:val="20"/>
                <w:color w:val="auto"/>
              </w:rPr>
            </w:pPr>
            <w:r>
              <w:rPr>
                <w:rFonts w:ascii="Arial" w:cs="Arial" w:eastAsia="Arial" w:hAnsi="Arial"/>
                <w:sz w:val="14"/>
                <w:szCs w:val="14"/>
                <w:color w:val="auto"/>
              </w:rPr>
              <w:t>200,010</w:t>
            </w:r>
          </w:p>
        </w:tc>
        <w:tc>
          <w:tcPr>
            <w:tcW w:w="440" w:type="dxa"/>
            <w:vAlign w:val="bottom"/>
            <w:tcBorders>
              <w:bottom w:val="single" w:sz="8" w:color="7CBD3F"/>
            </w:tcBorders>
          </w:tcPr>
          <w:p>
            <w:pPr>
              <w:spacing w:after="0"/>
              <w:rPr>
                <w:sz w:val="14"/>
                <w:szCs w:val="14"/>
                <w:color w:val="auto"/>
              </w:rPr>
            </w:pPr>
          </w:p>
        </w:tc>
        <w:tc>
          <w:tcPr>
            <w:tcW w:w="1000" w:type="dxa"/>
            <w:vAlign w:val="bottom"/>
            <w:tcBorders>
              <w:bottom w:val="single" w:sz="8" w:color="7CBD3F"/>
            </w:tcBorders>
          </w:tcPr>
          <w:p>
            <w:pPr>
              <w:jc w:val="right"/>
              <w:ind w:right="210"/>
              <w:spacing w:after="0"/>
              <w:rPr>
                <w:sz w:val="20"/>
                <w:szCs w:val="20"/>
                <w:color w:val="auto"/>
              </w:rPr>
            </w:pPr>
            <w:r>
              <w:rPr>
                <w:rFonts w:ascii="Arial" w:cs="Arial" w:eastAsia="Arial" w:hAnsi="Arial"/>
                <w:sz w:val="14"/>
                <w:szCs w:val="14"/>
                <w:color w:val="auto"/>
              </w:rPr>
              <w:t>199,374</w:t>
            </w:r>
          </w:p>
        </w:tc>
        <w:tc>
          <w:tcPr>
            <w:tcW w:w="500" w:type="dxa"/>
            <w:vAlign w:val="bottom"/>
            <w:tcBorders>
              <w:bottom w:val="single" w:sz="8" w:color="7CBD3F"/>
            </w:tcBorders>
          </w:tcPr>
          <w:p>
            <w:pPr>
              <w:spacing w:after="0"/>
              <w:rPr>
                <w:sz w:val="14"/>
                <w:szCs w:val="14"/>
                <w:color w:val="auto"/>
              </w:rPr>
            </w:pPr>
          </w:p>
        </w:tc>
        <w:tc>
          <w:tcPr>
            <w:tcW w:w="760" w:type="dxa"/>
            <w:vAlign w:val="bottom"/>
            <w:tcBorders>
              <w:bottom w:val="single" w:sz="8" w:color="7CBD3F"/>
            </w:tcBorders>
          </w:tcPr>
          <w:p>
            <w:pPr>
              <w:jc w:val="right"/>
              <w:ind w:right="50"/>
              <w:spacing w:after="0"/>
              <w:rPr>
                <w:sz w:val="20"/>
                <w:szCs w:val="20"/>
                <w:color w:val="auto"/>
              </w:rPr>
            </w:pPr>
            <w:r>
              <w:rPr>
                <w:rFonts w:ascii="Arial" w:cs="Arial" w:eastAsia="Arial" w:hAnsi="Arial"/>
                <w:sz w:val="14"/>
                <w:szCs w:val="14"/>
                <w:color w:val="auto"/>
              </w:rPr>
              <w:t>468,259</w:t>
            </w:r>
          </w:p>
        </w:tc>
        <w:tc>
          <w:tcPr>
            <w:tcW w:w="0" w:type="dxa"/>
            <w:vAlign w:val="bottom"/>
          </w:tcPr>
          <w:p>
            <w:pPr>
              <w:spacing w:after="0"/>
              <w:rPr>
                <w:sz w:val="1"/>
                <w:szCs w:val="1"/>
                <w:color w:val="auto"/>
              </w:rPr>
            </w:pPr>
          </w:p>
        </w:tc>
      </w:tr>
    </w:tbl>
    <w:p>
      <w:pPr>
        <w:spacing w:after="0" w:line="50" w:lineRule="exact"/>
        <w:rPr>
          <w:sz w:val="20"/>
          <w:szCs w:val="20"/>
          <w:color w:val="auto"/>
        </w:rPr>
      </w:pPr>
    </w:p>
    <w:p>
      <w:pPr>
        <w:jc w:val="both"/>
        <w:ind w:left="287" w:hanging="287"/>
        <w:spacing w:after="0" w:line="258" w:lineRule="auto"/>
        <w:tabs>
          <w:tab w:leader="none" w:pos="287" w:val="left"/>
        </w:tabs>
        <w:numPr>
          <w:ilvl w:val="0"/>
          <w:numId w:val="43"/>
        </w:numPr>
        <w:rPr>
          <w:rFonts w:ascii="Arial" w:cs="Arial" w:eastAsia="Arial" w:hAnsi="Arial"/>
          <w:sz w:val="12"/>
          <w:szCs w:val="12"/>
          <w:color w:val="auto"/>
        </w:rPr>
      </w:pPr>
      <w:r>
        <w:rPr>
          <w:rFonts w:ascii="Arial" w:cs="Arial" w:eastAsia="Arial" w:hAnsi="Arial"/>
          <w:sz w:val="12"/>
          <w:szCs w:val="12"/>
          <w:color w:val="auto"/>
        </w:rPr>
        <w:t>The amounts reported in this column for a fiscal year represent the grant date fair value of the RSUs granted to our non-employee directors during fiscal 2024, as computed in accordance with ASC Topic 718, not including any estimates of forfeitures. The assumptions used in calculating the grant date fair value of the RSUs reported in this column are set forth in the notes to our financial statements included in our Annual Report. The amounts reported in this column reflect the accounting cost for these RSUs, and do not correspond to the actual economic value that may be received by the non-employee directors from the RSUs. As of December 31, 2024, each of our non-employee directors had 5,345 outstanding RSUs.</w:t>
      </w:r>
    </w:p>
    <w:p>
      <w:pPr>
        <w:spacing w:after="0" w:line="12" w:lineRule="exact"/>
        <w:rPr>
          <w:rFonts w:ascii="Arial" w:cs="Arial" w:eastAsia="Arial" w:hAnsi="Arial"/>
          <w:sz w:val="12"/>
          <w:szCs w:val="12"/>
          <w:color w:val="auto"/>
        </w:rPr>
      </w:pPr>
    </w:p>
    <w:p>
      <w:pPr>
        <w:jc w:val="both"/>
        <w:ind w:left="287" w:hanging="287"/>
        <w:spacing w:after="0" w:line="254" w:lineRule="auto"/>
        <w:tabs>
          <w:tab w:leader="none" w:pos="287" w:val="left"/>
        </w:tabs>
        <w:numPr>
          <w:ilvl w:val="0"/>
          <w:numId w:val="43"/>
        </w:numPr>
        <w:rPr>
          <w:rFonts w:ascii="Arial" w:cs="Arial" w:eastAsia="Arial" w:hAnsi="Arial"/>
          <w:sz w:val="12"/>
          <w:szCs w:val="12"/>
          <w:color w:val="auto"/>
        </w:rPr>
      </w:pPr>
      <w:r>
        <w:rPr>
          <w:rFonts w:ascii="Arial" w:cs="Arial" w:eastAsia="Arial" w:hAnsi="Arial"/>
          <w:sz w:val="12"/>
          <w:szCs w:val="12"/>
          <w:color w:val="auto"/>
        </w:rPr>
        <w:t>The amounts reported in this column represent the grant date fair value of the stock options granted to our non-employee directors during fiscal 2024, as computed in accordance with ASC Topic 718, not including any estimates of forfeitures. The assumptions used in calculating the grant date fair value of the stock options reported in this column are set forth in the notes to our financial statements included in our Annual Report. The amounts reported in this column reflect the accounting cost for these stock options, and do not correspond to the actual economic value that may be received by the non-employee directors from the options. As of December 31, 2024, our then non-employee directors had the following outstanding options: Mr. Welch – 74,130; Dr. Dunsire – 60,380; Mr. Fust – 56,630; Mr. Narachi – 74,130; Dr. Ray – 32,780; Dr. Sanders – 30,510; and Dr. Suliman – 56,630.</w:t>
      </w:r>
    </w:p>
    <w:p>
      <w:pPr>
        <w:spacing w:after="0" w:line="305" w:lineRule="exact"/>
        <w:rPr>
          <w:sz w:val="20"/>
          <w:szCs w:val="20"/>
          <w:color w:val="auto"/>
        </w:rPr>
      </w:pPr>
    </w:p>
    <w:p>
      <w:pPr>
        <w:ind w:left="7"/>
        <w:spacing w:after="0"/>
        <w:rPr>
          <w:sz w:val="20"/>
          <w:szCs w:val="20"/>
          <w:color w:val="auto"/>
        </w:rPr>
      </w:pPr>
      <w:r>
        <w:rPr>
          <w:rFonts w:ascii="Arial" w:cs="Arial" w:eastAsia="Arial" w:hAnsi="Arial"/>
          <w:sz w:val="31"/>
          <w:szCs w:val="31"/>
          <w:b w:val="1"/>
          <w:bCs w:val="1"/>
          <w:color w:val="7CBD3F"/>
        </w:rPr>
        <w:t>CEO Pay Ratio</w:t>
      </w:r>
    </w:p>
    <w:p>
      <w:pPr>
        <w:spacing w:after="0" w:line="387" w:lineRule="exact"/>
        <w:rPr>
          <w:sz w:val="20"/>
          <w:szCs w:val="20"/>
          <w:color w:val="auto"/>
        </w:rPr>
      </w:pPr>
    </w:p>
    <w:p>
      <w:pPr>
        <w:jc w:val="both"/>
        <w:ind w:left="7"/>
        <w:spacing w:after="0" w:line="255" w:lineRule="auto"/>
        <w:rPr>
          <w:sz w:val="20"/>
          <w:szCs w:val="20"/>
          <w:color w:val="auto"/>
        </w:rPr>
      </w:pPr>
      <w:r>
        <w:rPr>
          <w:rFonts w:ascii="Arial" w:cs="Arial" w:eastAsia="Arial" w:hAnsi="Arial"/>
          <w:sz w:val="14"/>
          <w:szCs w:val="14"/>
          <w:color w:val="auto"/>
        </w:rPr>
        <w:t>We are required by SEC rules adopted under the Dodd-Frank Act to disclose the ratio of our median employee’s annual total compensation to the annual total compensation of our principal executive officer. This disclosure provides a measure of the equitability of pay within our company. We believe our compensation philosophy and process yield an equitable result for all of our employees. For 2024, the annual total compensation for Dr. Emil Kakkis, our Chief Executive Officer and President, was $13,717,687 and for our median employee was $325,295, resulting in a pay ratio of 42:1.</w:t>
      </w:r>
    </w:p>
    <w:p>
      <w:pPr>
        <w:spacing w:after="0" w:line="132" w:lineRule="exact"/>
        <w:rPr>
          <w:sz w:val="20"/>
          <w:szCs w:val="20"/>
          <w:color w:val="auto"/>
        </w:rPr>
      </w:pPr>
    </w:p>
    <w:p>
      <w:pPr>
        <w:jc w:val="both"/>
        <w:ind w:left="7"/>
        <w:spacing w:after="0" w:line="250" w:lineRule="auto"/>
        <w:rPr>
          <w:sz w:val="20"/>
          <w:szCs w:val="20"/>
          <w:color w:val="auto"/>
        </w:rPr>
      </w:pPr>
      <w:r>
        <w:rPr>
          <w:rFonts w:ascii="Arial" w:cs="Arial" w:eastAsia="Arial" w:hAnsi="Arial"/>
          <w:sz w:val="14"/>
          <w:szCs w:val="14"/>
          <w:color w:val="auto"/>
        </w:rPr>
        <w:t>In accordance with Item 402(u) of Regulation S-K, we identified the median employee by (i) aggregating for each applicable employee (A) base salary for 2024 on the calculation date, (B) the target bonus for 2024, and (C) the accounting value of any equity awards granted during 2024, and (ii) ranking this annual compensation measure for our employees from lowest to highest. This calculation encompasses individuals, excluding our CEO, employed by us on October 1, 2024, whether employed on a full-time, part-time, or seasonal basis. For any permanent employees who were only employed for part of the 2024 fiscal year, we annualized their compensation to present a more accurate representation of their comparative annual compensation. On October 1, 2024, we had 1,291 employees. The total compensation of our identified median employee using the same methodology we use for our named executive officers as set forth in the Summary Compensation Table.</w:t>
      </w:r>
    </w:p>
    <w:p>
      <w:pPr>
        <w:spacing w:after="0" w:line="136" w:lineRule="exact"/>
        <w:rPr>
          <w:sz w:val="20"/>
          <w:szCs w:val="20"/>
          <w:color w:val="auto"/>
        </w:rPr>
      </w:pPr>
    </w:p>
    <w:p>
      <w:pPr>
        <w:jc w:val="both"/>
        <w:ind w:left="7"/>
        <w:spacing w:after="0" w:line="255" w:lineRule="auto"/>
        <w:rPr>
          <w:sz w:val="20"/>
          <w:szCs w:val="20"/>
          <w:color w:val="auto"/>
        </w:rPr>
      </w:pPr>
      <w:r>
        <w:rPr>
          <w:rFonts w:ascii="Arial" w:cs="Arial" w:eastAsia="Arial" w:hAnsi="Arial"/>
          <w:sz w:val="14"/>
          <w:szCs w:val="14"/>
          <w:color w:val="auto"/>
        </w:rPr>
        <w:t>The SEC’s rules for identifying the median employee and calculating the pay ratio based on that employee’s annual total compensation allow companies to adopt a variety of methodologies, to apply certain exclusions, and to make reasonable estimates and assumptions that reflect their employee populations and compensation practices. As a result, the pay ratio reported by other companies may not be comparable to the pay ratio reported above, as other companies have different employee populations and compensation practices and may utilize different methodologies, exclusions, estimates and assumptions in calculating their own pay ratios.</w:t>
      </w:r>
    </w:p>
    <w:p>
      <w:pPr>
        <w:spacing w:after="0" w:line="132"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auto"/>
        </w:rPr>
        <w:t xml:space="preserve">ULTRAGENYX PHARMACEUTICAL INC. </w:t>
      </w:r>
      <w:r>
        <w:rPr>
          <w:rFonts w:ascii="Arial" w:cs="Arial" w:eastAsia="Arial" w:hAnsi="Arial"/>
          <w:sz w:val="14"/>
          <w:szCs w:val="14"/>
          <w:color w:val="7CBD3F"/>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2025 Proxy Statement</w:t>
      </w:r>
      <w:r>
        <w:rPr>
          <w:rFonts w:ascii="Arial" w:cs="Arial" w:eastAsia="Arial" w:hAnsi="Arial"/>
          <w:sz w:val="14"/>
          <w:szCs w:val="14"/>
          <w:b w:val="1"/>
          <w:bCs w:val="1"/>
          <w:color w:val="auto"/>
        </w:rPr>
        <w:tab/>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150735"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0735" cy="29845"/>
                    </a:xfrm>
                    <a:prstGeom prst="rect">
                      <a:avLst/>
                    </a:prstGeom>
                    <a:noFill/>
                  </pic:spPr>
                </pic:pic>
              </a:graphicData>
            </a:graphic>
          </wp:anchor>
        </w:drawing>
      </w:r>
    </w:p>
    <w:p>
      <w:pPr>
        <w:sectPr>
          <w:pgSz w:w="11900" w:h="16838" w:orient="portrait"/>
          <w:cols w:equalWidth="0" w:num="1">
            <w:col w:w="11267"/>
          </w:cols>
          <w:pgMar w:left="313" w:top="223" w:right="319" w:bottom="1440" w:gutter="0" w:footer="0" w:header="0"/>
        </w:sectPr>
      </w:pPr>
    </w:p>
    <w:bookmarkStart w:id="66" w:name="page67"/>
    <w:bookmarkEnd w:id="66"/>
    <w:p>
      <w:pPr>
        <w:ind w:left="7"/>
        <w:spacing w:after="0"/>
        <w:rPr>
          <w:sz w:val="20"/>
          <w:szCs w:val="20"/>
          <w:color w:val="auto"/>
        </w:rPr>
      </w:pPr>
      <w:r>
        <w:rPr>
          <w:rFonts w:ascii="Arial" w:cs="Arial" w:eastAsia="Arial" w:hAnsi="Arial"/>
          <w:sz w:val="12"/>
          <w:szCs w:val="12"/>
          <w:b w:val="1"/>
          <w:bCs w:val="1"/>
          <w:u w:val="single" w:color="auto"/>
          <w:color w:val="0000EE"/>
        </w:rPr>
        <w:t>Back to Contents</w:t>
      </w:r>
    </w:p>
    <w:p>
      <w:pPr>
        <w:spacing w:after="0" w:line="128" w:lineRule="exact"/>
        <w:rPr>
          <w:sz w:val="20"/>
          <w:szCs w:val="20"/>
          <w:color w:val="auto"/>
        </w:rPr>
      </w:pPr>
    </w:p>
    <w:p>
      <w:pPr>
        <w:ind w:left="7"/>
        <w:spacing w:after="0"/>
        <w:rPr>
          <w:sz w:val="20"/>
          <w:szCs w:val="20"/>
          <w:color w:val="auto"/>
        </w:rPr>
      </w:pPr>
      <w:r>
        <w:rPr>
          <w:rFonts w:ascii="Arial" w:cs="Arial" w:eastAsia="Arial" w:hAnsi="Arial"/>
          <w:sz w:val="31"/>
          <w:szCs w:val="31"/>
          <w:b w:val="1"/>
          <w:bCs w:val="1"/>
          <w:color w:val="7CBD3F"/>
        </w:rPr>
        <w:t>Pay versus Performance</w:t>
      </w:r>
    </w:p>
    <w:p>
      <w:pPr>
        <w:spacing w:after="0" w:line="387" w:lineRule="exact"/>
        <w:rPr>
          <w:sz w:val="20"/>
          <w:szCs w:val="20"/>
          <w:color w:val="auto"/>
        </w:rPr>
      </w:pPr>
    </w:p>
    <w:p>
      <w:pPr>
        <w:jc w:val="both"/>
        <w:ind w:left="7"/>
        <w:spacing w:after="0" w:line="255" w:lineRule="auto"/>
        <w:rPr>
          <w:sz w:val="20"/>
          <w:szCs w:val="20"/>
          <w:color w:val="auto"/>
        </w:rPr>
      </w:pPr>
      <w:r>
        <w:rPr>
          <w:rFonts w:ascii="Arial" w:cs="Arial" w:eastAsia="Arial" w:hAnsi="Arial"/>
          <w:sz w:val="14"/>
          <w:szCs w:val="14"/>
          <w:color w:val="auto"/>
        </w:rPr>
        <w:t>As required by Section 953(a) of the Dodd-Frank Wall Street Reform and Consumer Protection Act, and Item 402(v) of Regulation S-K, we are providing the following information about the relationship between Compensation Actually Paid (CAP) and certain financial performance of the Company. For further information concerning the Company’s pay for performance philosophy and how the Company’s aligns executive compensation with the Company’s performance, refer to “Executive Compensation – Compensation Discussion and Analysis.”</w:t>
      </w:r>
    </w:p>
    <w:p>
      <w:pPr>
        <w:spacing w:after="0" w:line="143" w:lineRule="exact"/>
        <w:rPr>
          <w:sz w:val="20"/>
          <w:szCs w:val="20"/>
          <w:color w:val="auto"/>
        </w:rPr>
      </w:pPr>
    </w:p>
    <w:tbl>
      <w:tblPr>
        <w:tblLayout w:type="fixed"/>
        <w:tblInd w:w="7" w:type="dxa"/>
        <w:tblCellMar>
          <w:top w:w="0" w:type="dxa"/>
          <w:left w:w="0" w:type="dxa"/>
          <w:bottom w:w="0" w:type="dxa"/>
          <w:right w:w="0" w:type="dxa"/>
        </w:tblCellMar>
      </w:tblPr>
      <w:tr>
        <w:trPr>
          <w:trHeight w:val="163"/>
        </w:trPr>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gridSpan w:val="5"/>
          </w:tcPr>
          <w:p>
            <w:pPr>
              <w:ind w:left="40"/>
              <w:spacing w:after="0"/>
              <w:rPr>
                <w:sz w:val="20"/>
                <w:szCs w:val="20"/>
                <w:color w:val="auto"/>
              </w:rPr>
            </w:pPr>
            <w:r>
              <w:rPr>
                <w:rFonts w:ascii="Arial" w:cs="Arial" w:eastAsia="Arial" w:hAnsi="Arial"/>
                <w:sz w:val="14"/>
                <w:szCs w:val="14"/>
                <w:b w:val="1"/>
                <w:bCs w:val="1"/>
                <w:color w:val="auto"/>
              </w:rPr>
              <w:t>Value of Initial Fixed $100</w:t>
            </w:r>
          </w:p>
        </w:tc>
        <w:tc>
          <w:tcPr>
            <w:tcW w:w="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9"/>
        </w:trPr>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jc w:val="right"/>
              <w:ind w:right="30"/>
              <w:spacing w:after="0"/>
              <w:rPr>
                <w:sz w:val="20"/>
                <w:szCs w:val="20"/>
                <w:color w:val="auto"/>
              </w:rPr>
            </w:pPr>
            <w:r>
              <w:rPr>
                <w:rFonts w:ascii="Arial" w:cs="Arial" w:eastAsia="Arial" w:hAnsi="Arial"/>
                <w:sz w:val="14"/>
                <w:szCs w:val="14"/>
                <w:b w:val="1"/>
                <w:bCs w:val="1"/>
                <w:color w:val="auto"/>
              </w:rPr>
              <w:t>Average</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6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w w:val="98"/>
              </w:rPr>
              <w:t>Investment Based On:</w:t>
            </w: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51"/>
        </w:trPr>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jc w:val="right"/>
              <w:ind w:right="30"/>
              <w:spacing w:after="0" w:line="151" w:lineRule="exact"/>
              <w:rPr>
                <w:sz w:val="20"/>
                <w:szCs w:val="20"/>
                <w:color w:val="auto"/>
              </w:rPr>
            </w:pPr>
            <w:r>
              <w:rPr>
                <w:rFonts w:ascii="Arial" w:cs="Arial" w:eastAsia="Arial" w:hAnsi="Arial"/>
                <w:sz w:val="14"/>
                <w:szCs w:val="14"/>
                <w:b w:val="1"/>
                <w:bCs w:val="1"/>
                <w:color w:val="auto"/>
              </w:rPr>
              <w:t>Summary</w:t>
            </w:r>
          </w:p>
        </w:tc>
        <w:tc>
          <w:tcPr>
            <w:tcW w:w="320" w:type="dxa"/>
            <w:vAlign w:val="bottom"/>
          </w:tcPr>
          <w:p>
            <w:pPr>
              <w:spacing w:after="0"/>
              <w:rPr>
                <w:sz w:val="13"/>
                <w:szCs w:val="13"/>
                <w:color w:val="auto"/>
              </w:rPr>
            </w:pPr>
          </w:p>
        </w:tc>
        <w:tc>
          <w:tcPr>
            <w:tcW w:w="1040" w:type="dxa"/>
            <w:vAlign w:val="bottom"/>
          </w:tcPr>
          <w:p>
            <w:pPr>
              <w:jc w:val="right"/>
              <w:spacing w:after="0" w:line="151" w:lineRule="exact"/>
              <w:rPr>
                <w:sz w:val="20"/>
                <w:szCs w:val="20"/>
                <w:color w:val="auto"/>
              </w:rPr>
            </w:pPr>
            <w:r>
              <w:rPr>
                <w:rFonts w:ascii="Arial" w:cs="Arial" w:eastAsia="Arial" w:hAnsi="Arial"/>
                <w:sz w:val="14"/>
                <w:szCs w:val="14"/>
                <w:b w:val="1"/>
                <w:bCs w:val="1"/>
                <w:color w:val="auto"/>
              </w:rPr>
              <w:t>Average</w:t>
            </w:r>
          </w:p>
        </w:tc>
        <w:tc>
          <w:tcPr>
            <w:tcW w:w="80" w:type="dxa"/>
            <w:vAlign w:val="bottom"/>
          </w:tcPr>
          <w:p>
            <w:pPr>
              <w:spacing w:after="0"/>
              <w:rPr>
                <w:sz w:val="13"/>
                <w:szCs w:val="13"/>
                <w:color w:val="auto"/>
              </w:rPr>
            </w:pPr>
          </w:p>
        </w:tc>
        <w:tc>
          <w:tcPr>
            <w:tcW w:w="140" w:type="dxa"/>
            <w:vAlign w:val="bottom"/>
            <w:tcBorders>
              <w:top w:val="single" w:sz="8" w:color="7CBD3F"/>
            </w:tcBorders>
          </w:tcPr>
          <w:p>
            <w:pPr>
              <w:spacing w:after="0"/>
              <w:rPr>
                <w:sz w:val="13"/>
                <w:szCs w:val="13"/>
                <w:color w:val="auto"/>
              </w:rPr>
            </w:pPr>
          </w:p>
        </w:tc>
        <w:tc>
          <w:tcPr>
            <w:tcW w:w="740" w:type="dxa"/>
            <w:vAlign w:val="bottom"/>
            <w:tcBorders>
              <w:top w:val="single" w:sz="8" w:color="7CBD3F"/>
            </w:tcBorders>
          </w:tcPr>
          <w:p>
            <w:pPr>
              <w:spacing w:after="0"/>
              <w:rPr>
                <w:sz w:val="13"/>
                <w:szCs w:val="13"/>
                <w:color w:val="auto"/>
              </w:rPr>
            </w:pPr>
          </w:p>
        </w:tc>
        <w:tc>
          <w:tcPr>
            <w:tcW w:w="880" w:type="dxa"/>
            <w:vAlign w:val="bottom"/>
            <w:tcBorders>
              <w:top w:val="single" w:sz="8" w:color="7CBD3F"/>
            </w:tcBorders>
            <w:gridSpan w:val="2"/>
          </w:tcPr>
          <w:p>
            <w:pPr>
              <w:ind w:left="120"/>
              <w:spacing w:after="0" w:line="151" w:lineRule="exact"/>
              <w:rPr>
                <w:sz w:val="20"/>
                <w:szCs w:val="20"/>
                <w:color w:val="auto"/>
              </w:rPr>
            </w:pPr>
            <w:r>
              <w:rPr>
                <w:rFonts w:ascii="Arial" w:cs="Arial" w:eastAsia="Arial" w:hAnsi="Arial"/>
                <w:sz w:val="14"/>
                <w:szCs w:val="14"/>
                <w:b w:val="1"/>
                <w:bCs w:val="1"/>
                <w:color w:val="auto"/>
                <w:w w:val="96"/>
              </w:rPr>
              <w:t>Peer Group</w:t>
            </w: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63"/>
        </w:trPr>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0" w:type="dxa"/>
            <w:vAlign w:val="bottom"/>
          </w:tcPr>
          <w:p>
            <w:pPr>
              <w:jc w:val="right"/>
              <w:ind w:right="50"/>
              <w:spacing w:after="0"/>
              <w:rPr>
                <w:sz w:val="20"/>
                <w:szCs w:val="20"/>
                <w:color w:val="auto"/>
              </w:rPr>
            </w:pPr>
            <w:r>
              <w:rPr>
                <w:rFonts w:ascii="Arial" w:cs="Arial" w:eastAsia="Arial" w:hAnsi="Arial"/>
                <w:sz w:val="14"/>
                <w:szCs w:val="14"/>
                <w:b w:val="1"/>
                <w:bCs w:val="1"/>
                <w:color w:val="auto"/>
              </w:rPr>
              <w:t>Summary</w:t>
            </w:r>
          </w:p>
        </w:tc>
        <w:tc>
          <w:tcPr>
            <w:tcW w:w="1280" w:type="dxa"/>
            <w:vAlign w:val="bottom"/>
            <w:gridSpan w:val="2"/>
          </w:tcPr>
          <w:p>
            <w:pPr>
              <w:ind w:left="200"/>
              <w:spacing w:after="0"/>
              <w:rPr>
                <w:sz w:val="20"/>
                <w:szCs w:val="20"/>
                <w:color w:val="auto"/>
              </w:rPr>
            </w:pPr>
            <w:r>
              <w:rPr>
                <w:rFonts w:ascii="Arial" w:cs="Arial" w:eastAsia="Arial" w:hAnsi="Arial"/>
                <w:sz w:val="14"/>
                <w:szCs w:val="14"/>
                <w:b w:val="1"/>
                <w:bCs w:val="1"/>
                <w:color w:val="auto"/>
              </w:rPr>
              <w:t>Compensation</w:t>
            </w:r>
          </w:p>
        </w:tc>
        <w:tc>
          <w:tcPr>
            <w:tcW w:w="300" w:type="dxa"/>
            <w:vAlign w:val="bottom"/>
          </w:tcPr>
          <w:p>
            <w:pPr>
              <w:spacing w:after="0"/>
              <w:rPr>
                <w:sz w:val="14"/>
                <w:szCs w:val="14"/>
                <w:color w:val="auto"/>
              </w:rPr>
            </w:pPr>
          </w:p>
        </w:tc>
        <w:tc>
          <w:tcPr>
            <w:tcW w:w="1080" w:type="dxa"/>
            <w:vAlign w:val="bottom"/>
          </w:tcPr>
          <w:p>
            <w:pPr>
              <w:jc w:val="right"/>
              <w:ind w:right="30"/>
              <w:spacing w:after="0"/>
              <w:rPr>
                <w:sz w:val="20"/>
                <w:szCs w:val="20"/>
                <w:color w:val="auto"/>
              </w:rPr>
            </w:pPr>
            <w:r>
              <w:rPr>
                <w:rFonts w:ascii="Arial" w:cs="Arial" w:eastAsia="Arial" w:hAnsi="Arial"/>
                <w:sz w:val="14"/>
                <w:szCs w:val="14"/>
                <w:b w:val="1"/>
                <w:bCs w:val="1"/>
                <w:color w:val="auto"/>
                <w:w w:val="98"/>
              </w:rPr>
              <w:t>Compensation</w:t>
            </w: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w w:val="98"/>
              </w:rPr>
              <w:t>Compensation</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Total</w:t>
            </w:r>
          </w:p>
        </w:tc>
        <w:tc>
          <w:tcPr>
            <w:tcW w:w="400" w:type="dxa"/>
            <w:vAlign w:val="bottom"/>
          </w:tcPr>
          <w:p>
            <w:pPr>
              <w:spacing w:after="0"/>
              <w:rPr>
                <w:sz w:val="14"/>
                <w:szCs w:val="14"/>
                <w:color w:val="auto"/>
              </w:rPr>
            </w:pPr>
          </w:p>
        </w:tc>
        <w:tc>
          <w:tcPr>
            <w:tcW w:w="1040" w:type="dxa"/>
            <w:vAlign w:val="bottom"/>
          </w:tcPr>
          <w:p>
            <w:pPr>
              <w:jc w:val="right"/>
              <w:ind w:right="130"/>
              <w:spacing w:after="0"/>
              <w:rPr>
                <w:sz w:val="20"/>
                <w:szCs w:val="20"/>
                <w:color w:val="auto"/>
              </w:rPr>
            </w:pPr>
            <w:r>
              <w:rPr>
                <w:rFonts w:ascii="Arial" w:cs="Arial" w:eastAsia="Arial" w:hAnsi="Arial"/>
                <w:sz w:val="14"/>
                <w:szCs w:val="14"/>
                <w:b w:val="1"/>
                <w:bCs w:val="1"/>
                <w:color w:val="auto"/>
              </w:rPr>
              <w:t>Net Income</w:t>
            </w: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3"/>
        </w:trPr>
        <w:tc>
          <w:tcPr>
            <w:tcW w:w="660" w:type="dxa"/>
            <w:vAlign w:val="bottom"/>
          </w:tcPr>
          <w:p>
            <w:pPr>
              <w:spacing w:after="0"/>
              <w:rPr>
                <w:sz w:val="14"/>
                <w:szCs w:val="14"/>
                <w:color w:val="auto"/>
              </w:rPr>
            </w:pPr>
          </w:p>
        </w:tc>
        <w:tc>
          <w:tcPr>
            <w:tcW w:w="180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Compensation Table</w:t>
            </w:r>
          </w:p>
        </w:tc>
        <w:tc>
          <w:tcPr>
            <w:tcW w:w="128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Actually Paid to</w:t>
            </w:r>
          </w:p>
        </w:tc>
        <w:tc>
          <w:tcPr>
            <w:tcW w:w="300" w:type="dxa"/>
            <w:vAlign w:val="bottom"/>
          </w:tcPr>
          <w:p>
            <w:pPr>
              <w:spacing w:after="0"/>
              <w:rPr>
                <w:sz w:val="14"/>
                <w:szCs w:val="14"/>
                <w:color w:val="auto"/>
              </w:rPr>
            </w:pPr>
          </w:p>
        </w:tc>
        <w:tc>
          <w:tcPr>
            <w:tcW w:w="1080" w:type="dxa"/>
            <w:vAlign w:val="bottom"/>
          </w:tcPr>
          <w:p>
            <w:pPr>
              <w:jc w:val="right"/>
              <w:ind w:right="30"/>
              <w:spacing w:after="0"/>
              <w:rPr>
                <w:sz w:val="20"/>
                <w:szCs w:val="20"/>
                <w:color w:val="auto"/>
              </w:rPr>
            </w:pPr>
            <w:r>
              <w:rPr>
                <w:rFonts w:ascii="Arial" w:cs="Arial" w:eastAsia="Arial" w:hAnsi="Arial"/>
                <w:sz w:val="14"/>
                <w:szCs w:val="14"/>
                <w:b w:val="1"/>
                <w:bCs w:val="1"/>
                <w:color w:val="auto"/>
                <w:w w:val="99"/>
              </w:rPr>
              <w:t>Table Total for</w:t>
            </w:r>
          </w:p>
        </w:tc>
        <w:tc>
          <w:tcPr>
            <w:tcW w:w="1360" w:type="dxa"/>
            <w:vAlign w:val="bottom"/>
            <w:gridSpan w:val="2"/>
          </w:tcPr>
          <w:p>
            <w:pPr>
              <w:ind w:left="240"/>
              <w:spacing w:after="0"/>
              <w:rPr>
                <w:sz w:val="20"/>
                <w:szCs w:val="20"/>
                <w:color w:val="auto"/>
              </w:rPr>
            </w:pPr>
            <w:r>
              <w:rPr>
                <w:rFonts w:ascii="Arial" w:cs="Arial" w:eastAsia="Arial" w:hAnsi="Arial"/>
                <w:sz w:val="14"/>
                <w:szCs w:val="14"/>
                <w:b w:val="1"/>
                <w:bCs w:val="1"/>
                <w:color w:val="auto"/>
              </w:rPr>
              <w:t>Actually Paid to</w:t>
            </w:r>
          </w:p>
        </w:tc>
        <w:tc>
          <w:tcPr>
            <w:tcW w:w="960" w:type="dxa"/>
            <w:vAlign w:val="bottom"/>
            <w:gridSpan w:val="3"/>
          </w:tcPr>
          <w:p>
            <w:pPr>
              <w:jc w:val="right"/>
              <w:spacing w:after="0"/>
              <w:rPr>
                <w:sz w:val="20"/>
                <w:szCs w:val="20"/>
                <w:color w:val="auto"/>
              </w:rPr>
            </w:pPr>
            <w:r>
              <w:rPr>
                <w:rFonts w:ascii="Arial" w:cs="Arial" w:eastAsia="Arial" w:hAnsi="Arial"/>
                <w:sz w:val="14"/>
                <w:szCs w:val="14"/>
                <w:b w:val="1"/>
                <w:bCs w:val="1"/>
                <w:color w:val="auto"/>
              </w:rPr>
              <w:t>Shareholder</w:t>
            </w:r>
          </w:p>
        </w:tc>
        <w:tc>
          <w:tcPr>
            <w:tcW w:w="102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Shareholder</w:t>
            </w:r>
          </w:p>
        </w:tc>
        <w:tc>
          <w:tcPr>
            <w:tcW w:w="400" w:type="dxa"/>
            <w:vAlign w:val="bottom"/>
          </w:tcPr>
          <w:p>
            <w:pPr>
              <w:spacing w:after="0"/>
              <w:rPr>
                <w:sz w:val="14"/>
                <w:szCs w:val="14"/>
                <w:color w:val="auto"/>
              </w:rPr>
            </w:pPr>
          </w:p>
        </w:tc>
        <w:tc>
          <w:tcPr>
            <w:tcW w:w="1040" w:type="dxa"/>
            <w:vAlign w:val="bottom"/>
          </w:tcPr>
          <w:p>
            <w:pPr>
              <w:jc w:val="right"/>
              <w:ind w:right="130"/>
              <w:spacing w:after="0"/>
              <w:rPr>
                <w:sz w:val="20"/>
                <w:szCs w:val="20"/>
                <w:color w:val="auto"/>
              </w:rPr>
            </w:pPr>
            <w:r>
              <w:rPr>
                <w:rFonts w:ascii="Arial" w:cs="Arial" w:eastAsia="Arial" w:hAnsi="Arial"/>
                <w:sz w:val="14"/>
                <w:szCs w:val="14"/>
                <w:b w:val="1"/>
                <w:bCs w:val="1"/>
                <w:color w:val="auto"/>
              </w:rPr>
              <w:t>(Loss)</w:t>
            </w:r>
          </w:p>
        </w:tc>
        <w:tc>
          <w:tcPr>
            <w:tcW w:w="5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Revenue</w:t>
            </w:r>
          </w:p>
        </w:tc>
      </w:tr>
      <w:tr>
        <w:trPr>
          <w:trHeight w:val="214"/>
        </w:trPr>
        <w:tc>
          <w:tcPr>
            <w:tcW w:w="660" w:type="dxa"/>
            <w:vAlign w:val="bottom"/>
            <w:tcBorders>
              <w:bottom w:val="single" w:sz="8" w:color="7CBD3F"/>
            </w:tcBorders>
          </w:tcPr>
          <w:p>
            <w:pPr>
              <w:ind w:left="40"/>
              <w:spacing w:after="0"/>
              <w:rPr>
                <w:sz w:val="20"/>
                <w:szCs w:val="20"/>
                <w:color w:val="auto"/>
              </w:rPr>
            </w:pPr>
            <w:r>
              <w:rPr>
                <w:rFonts w:ascii="Arial" w:cs="Arial" w:eastAsia="Arial" w:hAnsi="Arial"/>
                <w:sz w:val="14"/>
                <w:szCs w:val="14"/>
                <w:b w:val="1"/>
                <w:bCs w:val="1"/>
                <w:color w:val="auto"/>
              </w:rPr>
              <w:t>Year</w:t>
            </w:r>
          </w:p>
        </w:tc>
        <w:tc>
          <w:tcPr>
            <w:tcW w:w="600" w:type="dxa"/>
            <w:vAlign w:val="bottom"/>
            <w:tcBorders>
              <w:bottom w:val="single" w:sz="8" w:color="7CBD3F"/>
            </w:tcBorders>
          </w:tcPr>
          <w:p>
            <w:pPr>
              <w:spacing w:after="0"/>
              <w:rPr>
                <w:sz w:val="18"/>
                <w:szCs w:val="18"/>
                <w:color w:val="auto"/>
              </w:rPr>
            </w:pPr>
          </w:p>
        </w:tc>
        <w:tc>
          <w:tcPr>
            <w:tcW w:w="1200" w:type="dxa"/>
            <w:vAlign w:val="bottom"/>
            <w:tcBorders>
              <w:bottom w:val="single" w:sz="8" w:color="7CBD3F"/>
            </w:tcBorders>
          </w:tcPr>
          <w:p>
            <w:pPr>
              <w:jc w:val="right"/>
              <w:ind w:right="50"/>
              <w:spacing w:after="0" w:line="211" w:lineRule="exact"/>
              <w:rPr>
                <w:sz w:val="20"/>
                <w:szCs w:val="20"/>
                <w:color w:val="auto"/>
              </w:rPr>
            </w:pPr>
            <w:r>
              <w:rPr>
                <w:rFonts w:ascii="Arial" w:cs="Arial" w:eastAsia="Arial" w:hAnsi="Arial"/>
                <w:sz w:val="14"/>
                <w:szCs w:val="14"/>
                <w:b w:val="1"/>
                <w:bCs w:val="1"/>
                <w:color w:val="auto"/>
                <w:w w:val="97"/>
              </w:rPr>
              <w:t>Total for PEO</w:t>
            </w:r>
            <w:r>
              <w:rPr>
                <w:rFonts w:ascii="Arial" w:cs="Arial" w:eastAsia="Arial" w:hAnsi="Arial"/>
                <w:sz w:val="23"/>
                <w:szCs w:val="23"/>
                <w:b w:val="1"/>
                <w:bCs w:val="1"/>
                <w:color w:val="auto"/>
                <w:w w:val="97"/>
                <w:vertAlign w:val="superscript"/>
              </w:rPr>
              <w:t>(1)</w:t>
            </w:r>
          </w:p>
        </w:tc>
        <w:tc>
          <w:tcPr>
            <w:tcW w:w="380" w:type="dxa"/>
            <w:vAlign w:val="bottom"/>
            <w:tcBorders>
              <w:bottom w:val="single" w:sz="8" w:color="7CBD3F"/>
            </w:tcBorders>
          </w:tcPr>
          <w:p>
            <w:pPr>
              <w:spacing w:after="0"/>
              <w:rPr>
                <w:sz w:val="18"/>
                <w:szCs w:val="18"/>
                <w:color w:val="auto"/>
              </w:rPr>
            </w:pPr>
          </w:p>
        </w:tc>
        <w:tc>
          <w:tcPr>
            <w:tcW w:w="900" w:type="dxa"/>
            <w:vAlign w:val="bottom"/>
            <w:tcBorders>
              <w:bottom w:val="single" w:sz="8" w:color="7CBD3F"/>
            </w:tcBorders>
          </w:tcPr>
          <w:p>
            <w:pPr>
              <w:jc w:val="right"/>
              <w:ind w:right="30"/>
              <w:spacing w:after="0" w:line="211" w:lineRule="exact"/>
              <w:rPr>
                <w:sz w:val="20"/>
                <w:szCs w:val="20"/>
                <w:color w:val="auto"/>
              </w:rPr>
            </w:pPr>
            <w:r>
              <w:rPr>
                <w:rFonts w:ascii="Arial" w:cs="Arial" w:eastAsia="Arial" w:hAnsi="Arial"/>
                <w:sz w:val="14"/>
                <w:szCs w:val="14"/>
                <w:b w:val="1"/>
                <w:bCs w:val="1"/>
                <w:color w:val="auto"/>
              </w:rPr>
              <w:t>PEO</w:t>
            </w:r>
            <w:r>
              <w:rPr>
                <w:rFonts w:ascii="Arial" w:cs="Arial" w:eastAsia="Arial" w:hAnsi="Arial"/>
                <w:sz w:val="23"/>
                <w:szCs w:val="23"/>
                <w:b w:val="1"/>
                <w:bCs w:val="1"/>
                <w:color w:val="auto"/>
                <w:vertAlign w:val="superscript"/>
              </w:rPr>
              <w:t>(2)</w:t>
            </w:r>
          </w:p>
        </w:tc>
        <w:tc>
          <w:tcPr>
            <w:tcW w:w="1380" w:type="dxa"/>
            <w:vAlign w:val="bottom"/>
            <w:tcBorders>
              <w:bottom w:val="single" w:sz="8" w:color="7CBD3F"/>
            </w:tcBorders>
            <w:gridSpan w:val="2"/>
          </w:tcPr>
          <w:p>
            <w:pPr>
              <w:jc w:val="right"/>
              <w:ind w:right="30"/>
              <w:spacing w:after="0" w:line="211" w:lineRule="exact"/>
              <w:rPr>
                <w:sz w:val="20"/>
                <w:szCs w:val="20"/>
                <w:color w:val="auto"/>
              </w:rPr>
            </w:pPr>
            <w:r>
              <w:rPr>
                <w:rFonts w:ascii="Arial" w:cs="Arial" w:eastAsia="Arial" w:hAnsi="Arial"/>
                <w:sz w:val="14"/>
                <w:szCs w:val="14"/>
                <w:b w:val="1"/>
                <w:bCs w:val="1"/>
                <w:color w:val="auto"/>
              </w:rPr>
              <w:t>Non-PEO NEOs</w:t>
            </w:r>
            <w:r>
              <w:rPr>
                <w:rFonts w:ascii="Arial" w:cs="Arial" w:eastAsia="Arial" w:hAnsi="Arial"/>
                <w:sz w:val="23"/>
                <w:szCs w:val="23"/>
                <w:b w:val="1"/>
                <w:bCs w:val="1"/>
                <w:color w:val="auto"/>
                <w:vertAlign w:val="superscript"/>
              </w:rPr>
              <w:t>(3)</w:t>
            </w:r>
          </w:p>
        </w:tc>
        <w:tc>
          <w:tcPr>
            <w:tcW w:w="1360" w:type="dxa"/>
            <w:vAlign w:val="bottom"/>
            <w:tcBorders>
              <w:bottom w:val="single" w:sz="8" w:color="7CBD3F"/>
            </w:tcBorders>
            <w:gridSpan w:val="2"/>
          </w:tcPr>
          <w:p>
            <w:pPr>
              <w:jc w:val="right"/>
              <w:spacing w:after="0" w:line="211" w:lineRule="exact"/>
              <w:rPr>
                <w:sz w:val="20"/>
                <w:szCs w:val="20"/>
                <w:color w:val="auto"/>
              </w:rPr>
            </w:pPr>
            <w:r>
              <w:rPr>
                <w:rFonts w:ascii="Arial" w:cs="Arial" w:eastAsia="Arial" w:hAnsi="Arial"/>
                <w:sz w:val="14"/>
                <w:szCs w:val="14"/>
                <w:b w:val="1"/>
                <w:bCs w:val="1"/>
                <w:color w:val="auto"/>
              </w:rPr>
              <w:t>Non-PEO NEOs</w:t>
            </w:r>
            <w:r>
              <w:rPr>
                <w:rFonts w:ascii="Arial" w:cs="Arial" w:eastAsia="Arial" w:hAnsi="Arial"/>
                <w:sz w:val="23"/>
                <w:szCs w:val="23"/>
                <w:b w:val="1"/>
                <w:bCs w:val="1"/>
                <w:color w:val="auto"/>
                <w:vertAlign w:val="superscript"/>
              </w:rPr>
              <w:t>(4)</w:t>
            </w:r>
          </w:p>
        </w:tc>
        <w:tc>
          <w:tcPr>
            <w:tcW w:w="80" w:type="dxa"/>
            <w:vAlign w:val="bottom"/>
            <w:tcBorders>
              <w:bottom w:val="single" w:sz="8" w:color="7CBD3F"/>
            </w:tcBorders>
          </w:tcPr>
          <w:p>
            <w:pPr>
              <w:spacing w:after="0"/>
              <w:rPr>
                <w:sz w:val="18"/>
                <w:szCs w:val="18"/>
                <w:color w:val="auto"/>
              </w:rPr>
            </w:pPr>
          </w:p>
        </w:tc>
        <w:tc>
          <w:tcPr>
            <w:tcW w:w="140" w:type="dxa"/>
            <w:vAlign w:val="bottom"/>
            <w:tcBorders>
              <w:bottom w:val="single" w:sz="8" w:color="7CBD3F"/>
            </w:tcBorders>
          </w:tcPr>
          <w:p>
            <w:pPr>
              <w:spacing w:after="0"/>
              <w:rPr>
                <w:sz w:val="18"/>
                <w:szCs w:val="18"/>
                <w:color w:val="auto"/>
              </w:rPr>
            </w:pPr>
          </w:p>
        </w:tc>
        <w:tc>
          <w:tcPr>
            <w:tcW w:w="740" w:type="dxa"/>
            <w:vAlign w:val="bottom"/>
            <w:tcBorders>
              <w:bottom w:val="single" w:sz="8" w:color="7CBD3F"/>
            </w:tcBorders>
          </w:tcPr>
          <w:p>
            <w:pPr>
              <w:jc w:val="right"/>
              <w:spacing w:after="0" w:line="211" w:lineRule="exact"/>
              <w:rPr>
                <w:sz w:val="20"/>
                <w:szCs w:val="20"/>
                <w:color w:val="auto"/>
              </w:rPr>
            </w:pPr>
            <w:r>
              <w:rPr>
                <w:rFonts w:ascii="Arial" w:cs="Arial" w:eastAsia="Arial" w:hAnsi="Arial"/>
                <w:sz w:val="14"/>
                <w:szCs w:val="14"/>
                <w:b w:val="1"/>
                <w:bCs w:val="1"/>
                <w:color w:val="auto"/>
              </w:rPr>
              <w:t>Return</w:t>
            </w:r>
            <w:r>
              <w:rPr>
                <w:rFonts w:ascii="Arial" w:cs="Arial" w:eastAsia="Arial" w:hAnsi="Arial"/>
                <w:sz w:val="23"/>
                <w:szCs w:val="23"/>
                <w:b w:val="1"/>
                <w:bCs w:val="1"/>
                <w:color w:val="auto"/>
                <w:vertAlign w:val="superscript"/>
              </w:rPr>
              <w:t>(5)</w:t>
            </w:r>
          </w:p>
        </w:tc>
        <w:tc>
          <w:tcPr>
            <w:tcW w:w="240" w:type="dxa"/>
            <w:vAlign w:val="bottom"/>
            <w:tcBorders>
              <w:bottom w:val="single" w:sz="8" w:color="7CBD3F"/>
            </w:tcBorders>
          </w:tcPr>
          <w:p>
            <w:pPr>
              <w:spacing w:after="0"/>
              <w:rPr>
                <w:sz w:val="18"/>
                <w:szCs w:val="18"/>
                <w:color w:val="auto"/>
              </w:rPr>
            </w:pPr>
          </w:p>
        </w:tc>
        <w:tc>
          <w:tcPr>
            <w:tcW w:w="780" w:type="dxa"/>
            <w:vAlign w:val="bottom"/>
            <w:tcBorders>
              <w:bottom w:val="single" w:sz="8" w:color="7CBD3F"/>
            </w:tcBorders>
            <w:gridSpan w:val="2"/>
          </w:tcPr>
          <w:p>
            <w:pPr>
              <w:jc w:val="right"/>
              <w:ind w:right="140"/>
              <w:spacing w:after="0" w:line="211" w:lineRule="exact"/>
              <w:rPr>
                <w:sz w:val="20"/>
                <w:szCs w:val="20"/>
                <w:color w:val="auto"/>
              </w:rPr>
            </w:pPr>
            <w:r>
              <w:rPr>
                <w:rFonts w:ascii="Arial" w:cs="Arial" w:eastAsia="Arial" w:hAnsi="Arial"/>
                <w:sz w:val="14"/>
                <w:szCs w:val="14"/>
                <w:b w:val="1"/>
                <w:bCs w:val="1"/>
                <w:color w:val="auto"/>
                <w:w w:val="97"/>
              </w:rPr>
              <w:t>Return</w:t>
            </w:r>
            <w:r>
              <w:rPr>
                <w:rFonts w:ascii="Arial" w:cs="Arial" w:eastAsia="Arial" w:hAnsi="Arial"/>
                <w:sz w:val="23"/>
                <w:szCs w:val="23"/>
                <w:b w:val="1"/>
                <w:bCs w:val="1"/>
                <w:color w:val="auto"/>
                <w:w w:val="97"/>
                <w:vertAlign w:val="superscript"/>
              </w:rPr>
              <w:t>(6)</w:t>
            </w:r>
          </w:p>
        </w:tc>
        <w:tc>
          <w:tcPr>
            <w:tcW w:w="1440" w:type="dxa"/>
            <w:vAlign w:val="bottom"/>
            <w:tcBorders>
              <w:bottom w:val="single" w:sz="8" w:color="7CBD3F"/>
            </w:tcBorders>
            <w:gridSpan w:val="2"/>
          </w:tcPr>
          <w:p>
            <w:pPr>
              <w:jc w:val="right"/>
              <w:ind w:right="130"/>
              <w:spacing w:after="0" w:line="211" w:lineRule="exact"/>
              <w:rPr>
                <w:sz w:val="20"/>
                <w:szCs w:val="20"/>
                <w:color w:val="auto"/>
              </w:rPr>
            </w:pPr>
            <w:r>
              <w:rPr>
                <w:rFonts w:ascii="Arial" w:cs="Arial" w:eastAsia="Arial" w:hAnsi="Arial"/>
                <w:sz w:val="14"/>
                <w:szCs w:val="14"/>
                <w:b w:val="1"/>
                <w:bCs w:val="1"/>
                <w:color w:val="auto"/>
              </w:rPr>
              <w:t>(in thousands)</w:t>
            </w:r>
            <w:r>
              <w:rPr>
                <w:rFonts w:ascii="Arial" w:cs="Arial" w:eastAsia="Arial" w:hAnsi="Arial"/>
                <w:sz w:val="23"/>
                <w:szCs w:val="23"/>
                <w:b w:val="1"/>
                <w:bCs w:val="1"/>
                <w:color w:val="auto"/>
                <w:vertAlign w:val="superscript"/>
              </w:rPr>
              <w:t>(7)</w:t>
            </w:r>
          </w:p>
        </w:tc>
        <w:tc>
          <w:tcPr>
            <w:tcW w:w="1360" w:type="dxa"/>
            <w:vAlign w:val="bottom"/>
            <w:tcBorders>
              <w:bottom w:val="single" w:sz="8" w:color="7CBD3F"/>
            </w:tcBorders>
            <w:gridSpan w:val="2"/>
          </w:tcPr>
          <w:p>
            <w:pPr>
              <w:jc w:val="right"/>
              <w:spacing w:after="0" w:line="211" w:lineRule="exact"/>
              <w:rPr>
                <w:sz w:val="20"/>
                <w:szCs w:val="20"/>
                <w:color w:val="auto"/>
              </w:rPr>
            </w:pPr>
            <w:r>
              <w:rPr>
                <w:rFonts w:ascii="Arial" w:cs="Arial" w:eastAsia="Arial" w:hAnsi="Arial"/>
                <w:sz w:val="14"/>
                <w:szCs w:val="14"/>
                <w:b w:val="1"/>
                <w:bCs w:val="1"/>
                <w:color w:val="auto"/>
              </w:rPr>
              <w:t>(in thousands)</w:t>
            </w:r>
            <w:r>
              <w:rPr>
                <w:rFonts w:ascii="Arial" w:cs="Arial" w:eastAsia="Arial" w:hAnsi="Arial"/>
                <w:sz w:val="23"/>
                <w:szCs w:val="23"/>
                <w:b w:val="1"/>
                <w:bCs w:val="1"/>
                <w:color w:val="auto"/>
                <w:vertAlign w:val="superscript"/>
              </w:rPr>
              <w:t>(8)</w:t>
            </w:r>
          </w:p>
        </w:tc>
      </w:tr>
      <w:tr>
        <w:trPr>
          <w:trHeight w:val="163"/>
        </w:trPr>
        <w:tc>
          <w:tcPr>
            <w:tcW w:w="660" w:type="dxa"/>
            <w:vAlign w:val="bottom"/>
          </w:tcPr>
          <w:p>
            <w:pPr>
              <w:ind w:left="40"/>
              <w:spacing w:after="0"/>
              <w:rPr>
                <w:sz w:val="20"/>
                <w:szCs w:val="20"/>
                <w:color w:val="auto"/>
              </w:rPr>
            </w:pPr>
            <w:r>
              <w:rPr>
                <w:rFonts w:ascii="Arial" w:cs="Arial" w:eastAsia="Arial" w:hAnsi="Arial"/>
                <w:sz w:val="14"/>
                <w:szCs w:val="14"/>
                <w:b w:val="1"/>
                <w:bCs w:val="1"/>
                <w:color w:val="auto"/>
              </w:rPr>
              <w:t>2024</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50"/>
              <w:spacing w:after="0"/>
              <w:rPr>
                <w:sz w:val="20"/>
                <w:szCs w:val="20"/>
                <w:color w:val="auto"/>
              </w:rPr>
            </w:pPr>
            <w:r>
              <w:rPr>
                <w:rFonts w:ascii="Arial" w:cs="Arial" w:eastAsia="Arial" w:hAnsi="Arial"/>
                <w:sz w:val="14"/>
                <w:szCs w:val="14"/>
                <w:color w:val="auto"/>
              </w:rPr>
              <w:t>13,717,687</w:t>
            </w:r>
          </w:p>
        </w:tc>
        <w:tc>
          <w:tcPr>
            <w:tcW w:w="380" w:type="dxa"/>
            <w:vAlign w:val="bottom"/>
          </w:tcPr>
          <w:p>
            <w:pPr>
              <w:ind w:left="22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30"/>
              <w:spacing w:after="0"/>
              <w:rPr>
                <w:sz w:val="20"/>
                <w:szCs w:val="20"/>
                <w:color w:val="auto"/>
              </w:rPr>
            </w:pPr>
            <w:r>
              <w:rPr>
                <w:rFonts w:ascii="Arial" w:cs="Arial" w:eastAsia="Arial" w:hAnsi="Arial"/>
                <w:sz w:val="14"/>
                <w:szCs w:val="14"/>
                <w:color w:val="auto"/>
              </w:rPr>
              <w:t>8,186,261</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30"/>
              <w:spacing w:after="0"/>
              <w:rPr>
                <w:sz w:val="20"/>
                <w:szCs w:val="20"/>
                <w:color w:val="auto"/>
              </w:rPr>
            </w:pPr>
            <w:r>
              <w:rPr>
                <w:rFonts w:ascii="Arial" w:cs="Arial" w:eastAsia="Arial" w:hAnsi="Arial"/>
                <w:sz w:val="14"/>
                <w:szCs w:val="14"/>
                <w:color w:val="auto"/>
              </w:rPr>
              <w:t>4,254,959</w:t>
            </w:r>
          </w:p>
        </w:tc>
        <w:tc>
          <w:tcPr>
            <w:tcW w:w="320" w:type="dxa"/>
            <w:vAlign w:val="bottom"/>
          </w:tcPr>
          <w:p>
            <w:pPr>
              <w:ind w:left="240"/>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2,790,240</w:t>
            </w:r>
          </w:p>
        </w:tc>
        <w:tc>
          <w:tcPr>
            <w:tcW w:w="22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99</w:t>
            </w:r>
          </w:p>
        </w:tc>
        <w:tc>
          <w:tcPr>
            <w:tcW w:w="240" w:type="dxa"/>
            <w:vAlign w:val="bottom"/>
          </w:tcPr>
          <w:p>
            <w:pPr>
              <w:ind w:left="12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114</w:t>
            </w:r>
          </w:p>
        </w:tc>
        <w:tc>
          <w:tcPr>
            <w:tcW w:w="140" w:type="dxa"/>
            <w:vAlign w:val="bottom"/>
          </w:tcPr>
          <w:p>
            <w:pPr>
              <w:spacing w:after="0"/>
              <w:rPr>
                <w:sz w:val="14"/>
                <w:szCs w:val="14"/>
                <w:color w:val="auto"/>
              </w:rPr>
            </w:pPr>
          </w:p>
        </w:tc>
        <w:tc>
          <w:tcPr>
            <w:tcW w:w="40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30"/>
              <w:spacing w:after="0"/>
              <w:rPr>
                <w:sz w:val="20"/>
                <w:szCs w:val="20"/>
                <w:color w:val="auto"/>
              </w:rPr>
            </w:pPr>
            <w:r>
              <w:rPr>
                <w:rFonts w:ascii="Arial" w:cs="Arial" w:eastAsia="Arial" w:hAnsi="Arial"/>
                <w:sz w:val="14"/>
                <w:szCs w:val="14"/>
                <w:color w:val="auto"/>
              </w:rPr>
              <w:t>(569,183)</w:t>
            </w:r>
          </w:p>
        </w:tc>
        <w:tc>
          <w:tcPr>
            <w:tcW w:w="54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560,230</w:t>
            </w:r>
          </w:p>
        </w:tc>
      </w:tr>
      <w:tr>
        <w:trPr>
          <w:trHeight w:val="163"/>
        </w:trPr>
        <w:tc>
          <w:tcPr>
            <w:tcW w:w="660" w:type="dxa"/>
            <w:vAlign w:val="bottom"/>
            <w:shd w:val="clear" w:color="auto" w:fill="F0F7E7"/>
          </w:tcPr>
          <w:p>
            <w:pPr>
              <w:ind w:left="40"/>
              <w:spacing w:after="0"/>
              <w:rPr>
                <w:sz w:val="20"/>
                <w:szCs w:val="20"/>
                <w:color w:val="auto"/>
              </w:rPr>
            </w:pPr>
            <w:r>
              <w:rPr>
                <w:rFonts w:ascii="Arial" w:cs="Arial" w:eastAsia="Arial" w:hAnsi="Arial"/>
                <w:sz w:val="14"/>
                <w:szCs w:val="14"/>
                <w:b w:val="1"/>
                <w:bCs w:val="1"/>
                <w:color w:val="auto"/>
              </w:rPr>
              <w:t>2023</w:t>
            </w:r>
          </w:p>
        </w:tc>
        <w:tc>
          <w:tcPr>
            <w:tcW w:w="600" w:type="dxa"/>
            <w:vAlign w:val="bottom"/>
            <w:shd w:val="clear" w:color="auto" w:fill="F0F7E7"/>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F0F7E7"/>
          </w:tcPr>
          <w:p>
            <w:pPr>
              <w:jc w:val="right"/>
              <w:ind w:right="50"/>
              <w:spacing w:after="0"/>
              <w:rPr>
                <w:sz w:val="20"/>
                <w:szCs w:val="20"/>
                <w:color w:val="auto"/>
              </w:rPr>
            </w:pPr>
            <w:r>
              <w:rPr>
                <w:rFonts w:ascii="Arial" w:cs="Arial" w:eastAsia="Arial" w:hAnsi="Arial"/>
                <w:sz w:val="14"/>
                <w:szCs w:val="14"/>
                <w:color w:val="auto"/>
              </w:rPr>
              <w:t>13,077,993</w:t>
            </w:r>
          </w:p>
        </w:tc>
        <w:tc>
          <w:tcPr>
            <w:tcW w:w="380" w:type="dxa"/>
            <w:vAlign w:val="bottom"/>
            <w:shd w:val="clear" w:color="auto" w:fill="F0F7E7"/>
          </w:tcPr>
          <w:p>
            <w:pPr>
              <w:ind w:left="220"/>
              <w:spacing w:after="0"/>
              <w:rPr>
                <w:sz w:val="20"/>
                <w:szCs w:val="20"/>
                <w:color w:val="auto"/>
              </w:rPr>
            </w:pPr>
            <w:r>
              <w:rPr>
                <w:rFonts w:ascii="Arial" w:cs="Arial" w:eastAsia="Arial" w:hAnsi="Arial"/>
                <w:sz w:val="14"/>
                <w:szCs w:val="14"/>
                <w:color w:val="auto"/>
              </w:rPr>
              <w:t>$</w:t>
            </w:r>
          </w:p>
        </w:tc>
        <w:tc>
          <w:tcPr>
            <w:tcW w:w="900" w:type="dxa"/>
            <w:vAlign w:val="bottom"/>
            <w:shd w:val="clear" w:color="auto" w:fill="F0F7E7"/>
          </w:tcPr>
          <w:p>
            <w:pPr>
              <w:jc w:val="right"/>
              <w:ind w:right="30"/>
              <w:spacing w:after="0"/>
              <w:rPr>
                <w:sz w:val="20"/>
                <w:szCs w:val="20"/>
                <w:color w:val="auto"/>
              </w:rPr>
            </w:pPr>
            <w:r>
              <w:rPr>
                <w:rFonts w:ascii="Arial" w:cs="Arial" w:eastAsia="Arial" w:hAnsi="Arial"/>
                <w:sz w:val="14"/>
                <w:szCs w:val="14"/>
                <w:color w:val="auto"/>
              </w:rPr>
              <w:t>11,293,489</w:t>
            </w:r>
          </w:p>
        </w:tc>
        <w:tc>
          <w:tcPr>
            <w:tcW w:w="300" w:type="dxa"/>
            <w:vAlign w:val="bottom"/>
            <w:shd w:val="clear" w:color="auto" w:fill="F0F7E7"/>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F0F7E7"/>
          </w:tcPr>
          <w:p>
            <w:pPr>
              <w:jc w:val="right"/>
              <w:ind w:right="30"/>
              <w:spacing w:after="0"/>
              <w:rPr>
                <w:sz w:val="20"/>
                <w:szCs w:val="20"/>
                <w:color w:val="auto"/>
              </w:rPr>
            </w:pPr>
            <w:r>
              <w:rPr>
                <w:rFonts w:ascii="Arial" w:cs="Arial" w:eastAsia="Arial" w:hAnsi="Arial"/>
                <w:sz w:val="14"/>
                <w:szCs w:val="14"/>
                <w:color w:val="auto"/>
              </w:rPr>
              <w:t>4,524,001</w:t>
            </w:r>
          </w:p>
        </w:tc>
        <w:tc>
          <w:tcPr>
            <w:tcW w:w="320" w:type="dxa"/>
            <w:vAlign w:val="bottom"/>
            <w:shd w:val="clear" w:color="auto" w:fill="F0F7E7"/>
          </w:tcPr>
          <w:p>
            <w:pPr>
              <w:ind w:left="240"/>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F0F7E7"/>
          </w:tcPr>
          <w:p>
            <w:pPr>
              <w:jc w:val="right"/>
              <w:spacing w:after="0"/>
              <w:rPr>
                <w:sz w:val="20"/>
                <w:szCs w:val="20"/>
                <w:color w:val="auto"/>
              </w:rPr>
            </w:pPr>
            <w:r>
              <w:rPr>
                <w:rFonts w:ascii="Arial" w:cs="Arial" w:eastAsia="Arial" w:hAnsi="Arial"/>
                <w:sz w:val="14"/>
                <w:szCs w:val="14"/>
                <w:color w:val="auto"/>
              </w:rPr>
              <w:t>4,829,669</w:t>
            </w:r>
          </w:p>
        </w:tc>
        <w:tc>
          <w:tcPr>
            <w:tcW w:w="220" w:type="dxa"/>
            <w:vAlign w:val="bottom"/>
            <w:gridSpan w:val="2"/>
            <w:shd w:val="clear" w:color="auto" w:fill="F0F7E7"/>
          </w:tcPr>
          <w:p>
            <w:pPr>
              <w:ind w:left="120"/>
              <w:spacing w:after="0"/>
              <w:rPr>
                <w:sz w:val="20"/>
                <w:szCs w:val="20"/>
                <w:color w:val="auto"/>
              </w:rPr>
            </w:pPr>
            <w:r>
              <w:rPr>
                <w:rFonts w:ascii="Arial" w:cs="Arial" w:eastAsia="Arial" w:hAnsi="Arial"/>
                <w:sz w:val="14"/>
                <w:szCs w:val="14"/>
                <w:color w:val="auto"/>
              </w:rPr>
              <w:t>$</w:t>
            </w:r>
          </w:p>
        </w:tc>
        <w:tc>
          <w:tcPr>
            <w:tcW w:w="740" w:type="dxa"/>
            <w:vAlign w:val="bottom"/>
            <w:shd w:val="clear" w:color="auto" w:fill="F0F7E7"/>
          </w:tcPr>
          <w:p>
            <w:pPr>
              <w:jc w:val="right"/>
              <w:spacing w:after="0"/>
              <w:rPr>
                <w:sz w:val="20"/>
                <w:szCs w:val="20"/>
                <w:color w:val="auto"/>
              </w:rPr>
            </w:pPr>
            <w:r>
              <w:rPr>
                <w:rFonts w:ascii="Arial" w:cs="Arial" w:eastAsia="Arial" w:hAnsi="Arial"/>
                <w:sz w:val="14"/>
                <w:szCs w:val="14"/>
                <w:color w:val="auto"/>
              </w:rPr>
              <w:t>112</w:t>
            </w:r>
          </w:p>
        </w:tc>
        <w:tc>
          <w:tcPr>
            <w:tcW w:w="240" w:type="dxa"/>
            <w:vAlign w:val="bottom"/>
            <w:shd w:val="clear" w:color="auto" w:fill="F0F7E7"/>
          </w:tcPr>
          <w:p>
            <w:pPr>
              <w:ind w:left="120"/>
              <w:spacing w:after="0"/>
              <w:rPr>
                <w:sz w:val="20"/>
                <w:szCs w:val="20"/>
                <w:color w:val="auto"/>
              </w:rPr>
            </w:pPr>
            <w:r>
              <w:rPr>
                <w:rFonts w:ascii="Arial" w:cs="Arial" w:eastAsia="Arial" w:hAnsi="Arial"/>
                <w:sz w:val="14"/>
                <w:szCs w:val="14"/>
                <w:color w:val="auto"/>
              </w:rPr>
              <w:t>$</w:t>
            </w:r>
          </w:p>
        </w:tc>
        <w:tc>
          <w:tcPr>
            <w:tcW w:w="640" w:type="dxa"/>
            <w:vAlign w:val="bottom"/>
            <w:shd w:val="clear" w:color="auto" w:fill="F0F7E7"/>
          </w:tcPr>
          <w:p>
            <w:pPr>
              <w:jc w:val="right"/>
              <w:spacing w:after="0"/>
              <w:rPr>
                <w:sz w:val="20"/>
                <w:szCs w:val="20"/>
                <w:color w:val="auto"/>
              </w:rPr>
            </w:pPr>
            <w:r>
              <w:rPr>
                <w:rFonts w:ascii="Arial" w:cs="Arial" w:eastAsia="Arial" w:hAnsi="Arial"/>
                <w:sz w:val="14"/>
                <w:szCs w:val="14"/>
                <w:color w:val="auto"/>
              </w:rPr>
              <w:t>115</w:t>
            </w:r>
          </w:p>
        </w:tc>
        <w:tc>
          <w:tcPr>
            <w:tcW w:w="140" w:type="dxa"/>
            <w:vAlign w:val="bottom"/>
            <w:shd w:val="clear" w:color="auto" w:fill="F0F7E7"/>
          </w:tcPr>
          <w:p>
            <w:pPr>
              <w:spacing w:after="0"/>
              <w:rPr>
                <w:sz w:val="14"/>
                <w:szCs w:val="14"/>
                <w:color w:val="auto"/>
              </w:rPr>
            </w:pPr>
          </w:p>
        </w:tc>
        <w:tc>
          <w:tcPr>
            <w:tcW w:w="400" w:type="dxa"/>
            <w:vAlign w:val="bottom"/>
            <w:shd w:val="clear" w:color="auto" w:fill="F0F7E7"/>
          </w:tcPr>
          <w:p>
            <w:pPr>
              <w:jc w:val="right"/>
              <w:ind w:right="10"/>
              <w:spacing w:after="0"/>
              <w:rPr>
                <w:sz w:val="20"/>
                <w:szCs w:val="20"/>
                <w:color w:val="auto"/>
              </w:rPr>
            </w:pPr>
            <w:r>
              <w:rPr>
                <w:rFonts w:ascii="Arial" w:cs="Arial" w:eastAsia="Arial" w:hAnsi="Arial"/>
                <w:sz w:val="14"/>
                <w:szCs w:val="14"/>
                <w:color w:val="auto"/>
              </w:rPr>
              <w:t>$</w:t>
            </w:r>
          </w:p>
        </w:tc>
        <w:tc>
          <w:tcPr>
            <w:tcW w:w="1040" w:type="dxa"/>
            <w:vAlign w:val="bottom"/>
            <w:shd w:val="clear" w:color="auto" w:fill="F0F7E7"/>
          </w:tcPr>
          <w:p>
            <w:pPr>
              <w:jc w:val="right"/>
              <w:ind w:right="130"/>
              <w:spacing w:after="0"/>
              <w:rPr>
                <w:sz w:val="20"/>
                <w:szCs w:val="20"/>
                <w:color w:val="auto"/>
              </w:rPr>
            </w:pPr>
            <w:r>
              <w:rPr>
                <w:rFonts w:ascii="Arial" w:cs="Arial" w:eastAsia="Arial" w:hAnsi="Arial"/>
                <w:sz w:val="14"/>
                <w:szCs w:val="14"/>
                <w:color w:val="auto"/>
              </w:rPr>
              <w:t>(606,639)</w:t>
            </w:r>
          </w:p>
        </w:tc>
        <w:tc>
          <w:tcPr>
            <w:tcW w:w="540" w:type="dxa"/>
            <w:vAlign w:val="bottom"/>
            <w:shd w:val="clear" w:color="auto" w:fill="F0F7E7"/>
          </w:tcPr>
          <w:p>
            <w:pPr>
              <w:jc w:val="right"/>
              <w:ind w:right="90"/>
              <w:spacing w:after="0"/>
              <w:rPr>
                <w:sz w:val="20"/>
                <w:szCs w:val="20"/>
                <w:color w:val="auto"/>
              </w:rPr>
            </w:pPr>
            <w:r>
              <w:rPr>
                <w:rFonts w:ascii="Arial" w:cs="Arial" w:eastAsia="Arial" w:hAnsi="Arial"/>
                <w:sz w:val="14"/>
                <w:szCs w:val="14"/>
                <w:color w:val="auto"/>
              </w:rPr>
              <w:t>$</w:t>
            </w:r>
          </w:p>
        </w:tc>
        <w:tc>
          <w:tcPr>
            <w:tcW w:w="820" w:type="dxa"/>
            <w:vAlign w:val="bottom"/>
            <w:shd w:val="clear" w:color="auto" w:fill="F0F7E7"/>
          </w:tcPr>
          <w:p>
            <w:pPr>
              <w:jc w:val="right"/>
              <w:spacing w:after="0"/>
              <w:rPr>
                <w:sz w:val="20"/>
                <w:szCs w:val="20"/>
                <w:color w:val="auto"/>
              </w:rPr>
            </w:pPr>
            <w:r>
              <w:rPr>
                <w:rFonts w:ascii="Arial" w:cs="Arial" w:eastAsia="Arial" w:hAnsi="Arial"/>
                <w:sz w:val="14"/>
                <w:szCs w:val="14"/>
                <w:color w:val="auto"/>
              </w:rPr>
              <w:t>434,249</w:t>
            </w:r>
          </w:p>
        </w:tc>
      </w:tr>
      <w:tr>
        <w:trPr>
          <w:trHeight w:val="163"/>
        </w:trPr>
        <w:tc>
          <w:tcPr>
            <w:tcW w:w="660" w:type="dxa"/>
            <w:vAlign w:val="bottom"/>
          </w:tcPr>
          <w:p>
            <w:pPr>
              <w:ind w:left="40"/>
              <w:spacing w:after="0"/>
              <w:rPr>
                <w:sz w:val="20"/>
                <w:szCs w:val="20"/>
                <w:color w:val="auto"/>
              </w:rPr>
            </w:pPr>
            <w:r>
              <w:rPr>
                <w:rFonts w:ascii="Arial" w:cs="Arial" w:eastAsia="Arial" w:hAnsi="Arial"/>
                <w:sz w:val="14"/>
                <w:szCs w:val="14"/>
                <w:b w:val="1"/>
                <w:bCs w:val="1"/>
                <w:color w:val="auto"/>
              </w:rPr>
              <w:t>2022</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50"/>
              <w:spacing w:after="0"/>
              <w:rPr>
                <w:sz w:val="20"/>
                <w:szCs w:val="20"/>
                <w:color w:val="auto"/>
              </w:rPr>
            </w:pPr>
            <w:r>
              <w:rPr>
                <w:rFonts w:ascii="Arial" w:cs="Arial" w:eastAsia="Arial" w:hAnsi="Arial"/>
                <w:sz w:val="14"/>
                <w:szCs w:val="14"/>
                <w:color w:val="auto"/>
              </w:rPr>
              <w:t>12,140,330</w:t>
            </w:r>
          </w:p>
        </w:tc>
        <w:tc>
          <w:tcPr>
            <w:tcW w:w="380" w:type="dxa"/>
            <w:vAlign w:val="bottom"/>
          </w:tcPr>
          <w:p>
            <w:pPr>
              <w:ind w:left="22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30"/>
              <w:spacing w:after="0"/>
              <w:rPr>
                <w:sz w:val="20"/>
                <w:szCs w:val="20"/>
                <w:color w:val="auto"/>
              </w:rPr>
            </w:pPr>
            <w:r>
              <w:rPr>
                <w:rFonts w:ascii="Arial" w:cs="Arial" w:eastAsia="Arial" w:hAnsi="Arial"/>
                <w:sz w:val="14"/>
                <w:szCs w:val="14"/>
                <w:color w:val="auto"/>
              </w:rPr>
              <w:t>3,311,432</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30"/>
              <w:spacing w:after="0"/>
              <w:rPr>
                <w:sz w:val="20"/>
                <w:szCs w:val="20"/>
                <w:color w:val="auto"/>
              </w:rPr>
            </w:pPr>
            <w:r>
              <w:rPr>
                <w:rFonts w:ascii="Arial" w:cs="Arial" w:eastAsia="Arial" w:hAnsi="Arial"/>
                <w:sz w:val="14"/>
                <w:szCs w:val="14"/>
                <w:color w:val="auto"/>
              </w:rPr>
              <w:t>3,911,773</w:t>
            </w:r>
          </w:p>
        </w:tc>
        <w:tc>
          <w:tcPr>
            <w:tcW w:w="320" w:type="dxa"/>
            <w:vAlign w:val="bottom"/>
          </w:tcPr>
          <w:p>
            <w:pPr>
              <w:ind w:left="240"/>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(175,590)</w:t>
            </w:r>
          </w:p>
        </w:tc>
        <w:tc>
          <w:tcPr>
            <w:tcW w:w="22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108</w:t>
            </w:r>
          </w:p>
        </w:tc>
        <w:tc>
          <w:tcPr>
            <w:tcW w:w="240" w:type="dxa"/>
            <w:vAlign w:val="bottom"/>
          </w:tcPr>
          <w:p>
            <w:pPr>
              <w:ind w:left="12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111</w:t>
            </w:r>
          </w:p>
        </w:tc>
        <w:tc>
          <w:tcPr>
            <w:tcW w:w="140" w:type="dxa"/>
            <w:vAlign w:val="bottom"/>
          </w:tcPr>
          <w:p>
            <w:pPr>
              <w:spacing w:after="0"/>
              <w:rPr>
                <w:sz w:val="14"/>
                <w:szCs w:val="14"/>
                <w:color w:val="auto"/>
              </w:rPr>
            </w:pPr>
          </w:p>
        </w:tc>
        <w:tc>
          <w:tcPr>
            <w:tcW w:w="40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30"/>
              <w:spacing w:after="0"/>
              <w:rPr>
                <w:sz w:val="20"/>
                <w:szCs w:val="20"/>
                <w:color w:val="auto"/>
              </w:rPr>
            </w:pPr>
            <w:r>
              <w:rPr>
                <w:rFonts w:ascii="Arial" w:cs="Arial" w:eastAsia="Arial" w:hAnsi="Arial"/>
                <w:sz w:val="14"/>
                <w:szCs w:val="14"/>
                <w:color w:val="auto"/>
              </w:rPr>
              <w:t>(707,421)</w:t>
            </w:r>
          </w:p>
        </w:tc>
        <w:tc>
          <w:tcPr>
            <w:tcW w:w="54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363,329</w:t>
            </w:r>
          </w:p>
        </w:tc>
      </w:tr>
      <w:tr>
        <w:trPr>
          <w:trHeight w:val="163"/>
        </w:trPr>
        <w:tc>
          <w:tcPr>
            <w:tcW w:w="660" w:type="dxa"/>
            <w:vAlign w:val="bottom"/>
            <w:shd w:val="clear" w:color="auto" w:fill="F0F7E7"/>
          </w:tcPr>
          <w:p>
            <w:pPr>
              <w:ind w:left="40"/>
              <w:spacing w:after="0"/>
              <w:rPr>
                <w:sz w:val="20"/>
                <w:szCs w:val="20"/>
                <w:color w:val="auto"/>
              </w:rPr>
            </w:pPr>
            <w:r>
              <w:rPr>
                <w:rFonts w:ascii="Arial" w:cs="Arial" w:eastAsia="Arial" w:hAnsi="Arial"/>
                <w:sz w:val="14"/>
                <w:szCs w:val="14"/>
                <w:b w:val="1"/>
                <w:bCs w:val="1"/>
                <w:color w:val="auto"/>
              </w:rPr>
              <w:t>2021</w:t>
            </w:r>
          </w:p>
        </w:tc>
        <w:tc>
          <w:tcPr>
            <w:tcW w:w="600" w:type="dxa"/>
            <w:vAlign w:val="bottom"/>
            <w:shd w:val="clear" w:color="auto" w:fill="F0F7E7"/>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F0F7E7"/>
          </w:tcPr>
          <w:p>
            <w:pPr>
              <w:jc w:val="right"/>
              <w:ind w:right="50"/>
              <w:spacing w:after="0"/>
              <w:rPr>
                <w:sz w:val="20"/>
                <w:szCs w:val="20"/>
                <w:color w:val="auto"/>
              </w:rPr>
            </w:pPr>
            <w:r>
              <w:rPr>
                <w:rFonts w:ascii="Arial" w:cs="Arial" w:eastAsia="Arial" w:hAnsi="Arial"/>
                <w:sz w:val="14"/>
                <w:szCs w:val="14"/>
                <w:color w:val="auto"/>
              </w:rPr>
              <w:t>9,522,738</w:t>
            </w:r>
          </w:p>
        </w:tc>
        <w:tc>
          <w:tcPr>
            <w:tcW w:w="380" w:type="dxa"/>
            <w:vAlign w:val="bottom"/>
            <w:shd w:val="clear" w:color="auto" w:fill="F0F7E7"/>
          </w:tcPr>
          <w:p>
            <w:pPr>
              <w:ind w:left="220"/>
              <w:spacing w:after="0"/>
              <w:rPr>
                <w:sz w:val="20"/>
                <w:szCs w:val="20"/>
                <w:color w:val="auto"/>
              </w:rPr>
            </w:pPr>
            <w:r>
              <w:rPr>
                <w:rFonts w:ascii="Arial" w:cs="Arial" w:eastAsia="Arial" w:hAnsi="Arial"/>
                <w:sz w:val="14"/>
                <w:szCs w:val="14"/>
                <w:color w:val="auto"/>
              </w:rPr>
              <w:t>$</w:t>
            </w:r>
          </w:p>
        </w:tc>
        <w:tc>
          <w:tcPr>
            <w:tcW w:w="900" w:type="dxa"/>
            <w:vAlign w:val="bottom"/>
            <w:shd w:val="clear" w:color="auto" w:fill="F0F7E7"/>
          </w:tcPr>
          <w:p>
            <w:pPr>
              <w:jc w:val="right"/>
              <w:ind w:right="30"/>
              <w:spacing w:after="0"/>
              <w:rPr>
                <w:sz w:val="20"/>
                <w:szCs w:val="20"/>
                <w:color w:val="auto"/>
              </w:rPr>
            </w:pPr>
            <w:r>
              <w:rPr>
                <w:rFonts w:ascii="Arial" w:cs="Arial" w:eastAsia="Arial" w:hAnsi="Arial"/>
                <w:sz w:val="14"/>
                <w:szCs w:val="14"/>
                <w:color w:val="auto"/>
              </w:rPr>
              <w:t>(2,152,804)</w:t>
            </w:r>
          </w:p>
        </w:tc>
        <w:tc>
          <w:tcPr>
            <w:tcW w:w="300" w:type="dxa"/>
            <w:vAlign w:val="bottom"/>
            <w:shd w:val="clear" w:color="auto" w:fill="F0F7E7"/>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F0F7E7"/>
          </w:tcPr>
          <w:p>
            <w:pPr>
              <w:jc w:val="right"/>
              <w:ind w:right="30"/>
              <w:spacing w:after="0"/>
              <w:rPr>
                <w:sz w:val="20"/>
                <w:szCs w:val="20"/>
                <w:color w:val="auto"/>
              </w:rPr>
            </w:pPr>
            <w:r>
              <w:rPr>
                <w:rFonts w:ascii="Arial" w:cs="Arial" w:eastAsia="Arial" w:hAnsi="Arial"/>
                <w:sz w:val="14"/>
                <w:szCs w:val="14"/>
                <w:color w:val="auto"/>
              </w:rPr>
              <w:t>3,314,256</w:t>
            </w:r>
          </w:p>
        </w:tc>
        <w:tc>
          <w:tcPr>
            <w:tcW w:w="320" w:type="dxa"/>
            <w:vAlign w:val="bottom"/>
            <w:shd w:val="clear" w:color="auto" w:fill="F0F7E7"/>
          </w:tcPr>
          <w:p>
            <w:pPr>
              <w:ind w:left="240"/>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F0F7E7"/>
          </w:tcPr>
          <w:p>
            <w:pPr>
              <w:jc w:val="right"/>
              <w:spacing w:after="0"/>
              <w:rPr>
                <w:sz w:val="20"/>
                <w:szCs w:val="20"/>
                <w:color w:val="auto"/>
              </w:rPr>
            </w:pPr>
            <w:r>
              <w:rPr>
                <w:rFonts w:ascii="Arial" w:cs="Arial" w:eastAsia="Arial" w:hAnsi="Arial"/>
                <w:sz w:val="14"/>
                <w:szCs w:val="14"/>
                <w:color w:val="auto"/>
              </w:rPr>
              <w:t>(1,211,638)</w:t>
            </w:r>
          </w:p>
        </w:tc>
        <w:tc>
          <w:tcPr>
            <w:tcW w:w="220" w:type="dxa"/>
            <w:vAlign w:val="bottom"/>
            <w:gridSpan w:val="2"/>
            <w:shd w:val="clear" w:color="auto" w:fill="F0F7E7"/>
          </w:tcPr>
          <w:p>
            <w:pPr>
              <w:ind w:left="120"/>
              <w:spacing w:after="0"/>
              <w:rPr>
                <w:sz w:val="20"/>
                <w:szCs w:val="20"/>
                <w:color w:val="auto"/>
              </w:rPr>
            </w:pPr>
            <w:r>
              <w:rPr>
                <w:rFonts w:ascii="Arial" w:cs="Arial" w:eastAsia="Arial" w:hAnsi="Arial"/>
                <w:sz w:val="14"/>
                <w:szCs w:val="14"/>
                <w:color w:val="auto"/>
              </w:rPr>
              <w:t>$</w:t>
            </w:r>
          </w:p>
        </w:tc>
        <w:tc>
          <w:tcPr>
            <w:tcW w:w="740" w:type="dxa"/>
            <w:vAlign w:val="bottom"/>
            <w:shd w:val="clear" w:color="auto" w:fill="F0F7E7"/>
          </w:tcPr>
          <w:p>
            <w:pPr>
              <w:jc w:val="right"/>
              <w:spacing w:after="0"/>
              <w:rPr>
                <w:sz w:val="20"/>
                <w:szCs w:val="20"/>
                <w:color w:val="auto"/>
              </w:rPr>
            </w:pPr>
            <w:r>
              <w:rPr>
                <w:rFonts w:ascii="Arial" w:cs="Arial" w:eastAsia="Arial" w:hAnsi="Arial"/>
                <w:sz w:val="14"/>
                <w:szCs w:val="14"/>
                <w:color w:val="auto"/>
              </w:rPr>
              <w:t>197</w:t>
            </w:r>
          </w:p>
        </w:tc>
        <w:tc>
          <w:tcPr>
            <w:tcW w:w="240" w:type="dxa"/>
            <w:vAlign w:val="bottom"/>
            <w:shd w:val="clear" w:color="auto" w:fill="F0F7E7"/>
          </w:tcPr>
          <w:p>
            <w:pPr>
              <w:ind w:left="120"/>
              <w:spacing w:after="0"/>
              <w:rPr>
                <w:sz w:val="20"/>
                <w:szCs w:val="20"/>
                <w:color w:val="auto"/>
              </w:rPr>
            </w:pPr>
            <w:r>
              <w:rPr>
                <w:rFonts w:ascii="Arial" w:cs="Arial" w:eastAsia="Arial" w:hAnsi="Arial"/>
                <w:sz w:val="14"/>
                <w:szCs w:val="14"/>
                <w:color w:val="auto"/>
              </w:rPr>
              <w:t>$</w:t>
            </w:r>
          </w:p>
        </w:tc>
        <w:tc>
          <w:tcPr>
            <w:tcW w:w="640" w:type="dxa"/>
            <w:vAlign w:val="bottom"/>
            <w:shd w:val="clear" w:color="auto" w:fill="F0F7E7"/>
          </w:tcPr>
          <w:p>
            <w:pPr>
              <w:jc w:val="right"/>
              <w:spacing w:after="0"/>
              <w:rPr>
                <w:sz w:val="20"/>
                <w:szCs w:val="20"/>
                <w:color w:val="auto"/>
              </w:rPr>
            </w:pPr>
            <w:r>
              <w:rPr>
                <w:rFonts w:ascii="Arial" w:cs="Arial" w:eastAsia="Arial" w:hAnsi="Arial"/>
                <w:sz w:val="14"/>
                <w:szCs w:val="14"/>
                <w:color w:val="auto"/>
              </w:rPr>
              <w:t>125</w:t>
            </w:r>
          </w:p>
        </w:tc>
        <w:tc>
          <w:tcPr>
            <w:tcW w:w="140" w:type="dxa"/>
            <w:vAlign w:val="bottom"/>
            <w:shd w:val="clear" w:color="auto" w:fill="F0F7E7"/>
          </w:tcPr>
          <w:p>
            <w:pPr>
              <w:spacing w:after="0"/>
              <w:rPr>
                <w:sz w:val="14"/>
                <w:szCs w:val="14"/>
                <w:color w:val="auto"/>
              </w:rPr>
            </w:pPr>
          </w:p>
        </w:tc>
        <w:tc>
          <w:tcPr>
            <w:tcW w:w="400" w:type="dxa"/>
            <w:vAlign w:val="bottom"/>
            <w:shd w:val="clear" w:color="auto" w:fill="F0F7E7"/>
          </w:tcPr>
          <w:p>
            <w:pPr>
              <w:jc w:val="right"/>
              <w:ind w:right="10"/>
              <w:spacing w:after="0"/>
              <w:rPr>
                <w:sz w:val="20"/>
                <w:szCs w:val="20"/>
                <w:color w:val="auto"/>
              </w:rPr>
            </w:pPr>
            <w:r>
              <w:rPr>
                <w:rFonts w:ascii="Arial" w:cs="Arial" w:eastAsia="Arial" w:hAnsi="Arial"/>
                <w:sz w:val="14"/>
                <w:szCs w:val="14"/>
                <w:color w:val="auto"/>
              </w:rPr>
              <w:t>$</w:t>
            </w:r>
          </w:p>
        </w:tc>
        <w:tc>
          <w:tcPr>
            <w:tcW w:w="1040" w:type="dxa"/>
            <w:vAlign w:val="bottom"/>
            <w:shd w:val="clear" w:color="auto" w:fill="F0F7E7"/>
          </w:tcPr>
          <w:p>
            <w:pPr>
              <w:jc w:val="right"/>
              <w:ind w:right="130"/>
              <w:spacing w:after="0"/>
              <w:rPr>
                <w:sz w:val="20"/>
                <w:szCs w:val="20"/>
                <w:color w:val="auto"/>
              </w:rPr>
            </w:pPr>
            <w:r>
              <w:rPr>
                <w:rFonts w:ascii="Arial" w:cs="Arial" w:eastAsia="Arial" w:hAnsi="Arial"/>
                <w:sz w:val="14"/>
                <w:szCs w:val="14"/>
                <w:color w:val="auto"/>
              </w:rPr>
              <w:t>(454,025)</w:t>
            </w:r>
          </w:p>
        </w:tc>
        <w:tc>
          <w:tcPr>
            <w:tcW w:w="540" w:type="dxa"/>
            <w:vAlign w:val="bottom"/>
            <w:shd w:val="clear" w:color="auto" w:fill="F0F7E7"/>
          </w:tcPr>
          <w:p>
            <w:pPr>
              <w:jc w:val="right"/>
              <w:ind w:right="90"/>
              <w:spacing w:after="0"/>
              <w:rPr>
                <w:sz w:val="20"/>
                <w:szCs w:val="20"/>
                <w:color w:val="auto"/>
              </w:rPr>
            </w:pPr>
            <w:r>
              <w:rPr>
                <w:rFonts w:ascii="Arial" w:cs="Arial" w:eastAsia="Arial" w:hAnsi="Arial"/>
                <w:sz w:val="14"/>
                <w:szCs w:val="14"/>
                <w:color w:val="auto"/>
              </w:rPr>
              <w:t>$</w:t>
            </w:r>
          </w:p>
        </w:tc>
        <w:tc>
          <w:tcPr>
            <w:tcW w:w="820" w:type="dxa"/>
            <w:vAlign w:val="bottom"/>
            <w:shd w:val="clear" w:color="auto" w:fill="F0F7E7"/>
          </w:tcPr>
          <w:p>
            <w:pPr>
              <w:jc w:val="right"/>
              <w:spacing w:after="0"/>
              <w:rPr>
                <w:sz w:val="20"/>
                <w:szCs w:val="20"/>
                <w:color w:val="auto"/>
              </w:rPr>
            </w:pPr>
            <w:r>
              <w:rPr>
                <w:rFonts w:ascii="Arial" w:cs="Arial" w:eastAsia="Arial" w:hAnsi="Arial"/>
                <w:sz w:val="14"/>
                <w:szCs w:val="14"/>
                <w:color w:val="auto"/>
              </w:rPr>
              <w:t>351,406</w:t>
            </w:r>
          </w:p>
        </w:tc>
      </w:tr>
      <w:tr>
        <w:trPr>
          <w:trHeight w:val="167"/>
        </w:trPr>
        <w:tc>
          <w:tcPr>
            <w:tcW w:w="660" w:type="dxa"/>
            <w:vAlign w:val="bottom"/>
            <w:tcBorders>
              <w:bottom w:val="single" w:sz="8" w:color="7CBD3F"/>
            </w:tcBorders>
          </w:tcPr>
          <w:p>
            <w:pPr>
              <w:ind w:left="40"/>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7CBD3F"/>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7CBD3F"/>
            </w:tcBorders>
          </w:tcPr>
          <w:p>
            <w:pPr>
              <w:jc w:val="right"/>
              <w:ind w:right="50"/>
              <w:spacing w:after="0"/>
              <w:rPr>
                <w:sz w:val="20"/>
                <w:szCs w:val="20"/>
                <w:color w:val="auto"/>
              </w:rPr>
            </w:pPr>
            <w:r>
              <w:rPr>
                <w:rFonts w:ascii="Arial" w:cs="Arial" w:eastAsia="Arial" w:hAnsi="Arial"/>
                <w:sz w:val="14"/>
                <w:szCs w:val="14"/>
                <w:color w:val="auto"/>
              </w:rPr>
              <w:t>5,144,220</w:t>
            </w:r>
          </w:p>
        </w:tc>
        <w:tc>
          <w:tcPr>
            <w:tcW w:w="380" w:type="dxa"/>
            <w:vAlign w:val="bottom"/>
            <w:tcBorders>
              <w:bottom w:val="single" w:sz="8" w:color="7CBD3F"/>
            </w:tcBorders>
          </w:tcPr>
          <w:p>
            <w:pPr>
              <w:ind w:left="22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7CBD3F"/>
            </w:tcBorders>
          </w:tcPr>
          <w:p>
            <w:pPr>
              <w:jc w:val="right"/>
              <w:ind w:right="30"/>
              <w:spacing w:after="0"/>
              <w:rPr>
                <w:sz w:val="20"/>
                <w:szCs w:val="20"/>
                <w:color w:val="auto"/>
              </w:rPr>
            </w:pPr>
            <w:r>
              <w:rPr>
                <w:rFonts w:ascii="Arial" w:cs="Arial" w:eastAsia="Arial" w:hAnsi="Arial"/>
                <w:sz w:val="14"/>
                <w:szCs w:val="14"/>
                <w:color w:val="auto"/>
              </w:rPr>
              <w:t>22,726,743</w:t>
            </w:r>
          </w:p>
        </w:tc>
        <w:tc>
          <w:tcPr>
            <w:tcW w:w="300" w:type="dxa"/>
            <w:vAlign w:val="bottom"/>
            <w:tcBorders>
              <w:bottom w:val="single" w:sz="8" w:color="7CBD3F"/>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7CBD3F"/>
            </w:tcBorders>
          </w:tcPr>
          <w:p>
            <w:pPr>
              <w:jc w:val="right"/>
              <w:ind w:right="30"/>
              <w:spacing w:after="0"/>
              <w:rPr>
                <w:sz w:val="20"/>
                <w:szCs w:val="20"/>
                <w:color w:val="auto"/>
              </w:rPr>
            </w:pPr>
            <w:r>
              <w:rPr>
                <w:rFonts w:ascii="Arial" w:cs="Arial" w:eastAsia="Arial" w:hAnsi="Arial"/>
                <w:sz w:val="14"/>
                <w:szCs w:val="14"/>
                <w:color w:val="auto"/>
              </w:rPr>
              <w:t>2,706,102</w:t>
            </w:r>
          </w:p>
        </w:tc>
        <w:tc>
          <w:tcPr>
            <w:tcW w:w="320" w:type="dxa"/>
            <w:vAlign w:val="bottom"/>
            <w:tcBorders>
              <w:bottom w:val="single" w:sz="8" w:color="7CBD3F"/>
            </w:tcBorders>
          </w:tcPr>
          <w:p>
            <w:pPr>
              <w:ind w:left="240"/>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7CBD3F"/>
            </w:tcBorders>
          </w:tcPr>
          <w:p>
            <w:pPr>
              <w:jc w:val="right"/>
              <w:spacing w:after="0"/>
              <w:rPr>
                <w:sz w:val="20"/>
                <w:szCs w:val="20"/>
                <w:color w:val="auto"/>
              </w:rPr>
            </w:pPr>
            <w:r>
              <w:rPr>
                <w:rFonts w:ascii="Arial" w:cs="Arial" w:eastAsia="Arial" w:hAnsi="Arial"/>
                <w:sz w:val="14"/>
                <w:szCs w:val="14"/>
                <w:color w:val="auto"/>
              </w:rPr>
              <w:t>8,015,000</w:t>
            </w:r>
          </w:p>
        </w:tc>
        <w:tc>
          <w:tcPr>
            <w:tcW w:w="220" w:type="dxa"/>
            <w:vAlign w:val="bottom"/>
            <w:tcBorders>
              <w:bottom w:val="single" w:sz="8" w:color="7CBD3F"/>
            </w:tcBorders>
            <w:gridSpan w:val="2"/>
          </w:tcPr>
          <w:p>
            <w:pPr>
              <w:ind w:left="12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7CBD3F"/>
            </w:tcBorders>
          </w:tcPr>
          <w:p>
            <w:pPr>
              <w:jc w:val="right"/>
              <w:spacing w:after="0"/>
              <w:rPr>
                <w:sz w:val="20"/>
                <w:szCs w:val="20"/>
                <w:color w:val="auto"/>
              </w:rPr>
            </w:pPr>
            <w:r>
              <w:rPr>
                <w:rFonts w:ascii="Arial" w:cs="Arial" w:eastAsia="Arial" w:hAnsi="Arial"/>
                <w:sz w:val="14"/>
                <w:szCs w:val="14"/>
                <w:color w:val="auto"/>
              </w:rPr>
              <w:t>324</w:t>
            </w:r>
          </w:p>
        </w:tc>
        <w:tc>
          <w:tcPr>
            <w:tcW w:w="240" w:type="dxa"/>
            <w:vAlign w:val="bottom"/>
            <w:tcBorders>
              <w:bottom w:val="single" w:sz="8" w:color="7CBD3F"/>
            </w:tcBorders>
          </w:tcPr>
          <w:p>
            <w:pPr>
              <w:ind w:left="12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7CBD3F"/>
            </w:tcBorders>
          </w:tcPr>
          <w:p>
            <w:pPr>
              <w:jc w:val="right"/>
              <w:spacing w:after="0"/>
              <w:rPr>
                <w:sz w:val="20"/>
                <w:szCs w:val="20"/>
                <w:color w:val="auto"/>
              </w:rPr>
            </w:pPr>
            <w:r>
              <w:rPr>
                <w:rFonts w:ascii="Arial" w:cs="Arial" w:eastAsia="Arial" w:hAnsi="Arial"/>
                <w:sz w:val="14"/>
                <w:szCs w:val="14"/>
                <w:color w:val="auto"/>
              </w:rPr>
              <w:t>126</w:t>
            </w:r>
          </w:p>
        </w:tc>
        <w:tc>
          <w:tcPr>
            <w:tcW w:w="140" w:type="dxa"/>
            <w:vAlign w:val="bottom"/>
            <w:tcBorders>
              <w:bottom w:val="single" w:sz="8" w:color="7CBD3F"/>
            </w:tcBorders>
          </w:tcPr>
          <w:p>
            <w:pPr>
              <w:spacing w:after="0"/>
              <w:rPr>
                <w:sz w:val="14"/>
                <w:szCs w:val="14"/>
                <w:color w:val="auto"/>
              </w:rPr>
            </w:pPr>
          </w:p>
        </w:tc>
        <w:tc>
          <w:tcPr>
            <w:tcW w:w="400" w:type="dxa"/>
            <w:vAlign w:val="bottom"/>
            <w:tcBorders>
              <w:bottom w:val="single" w:sz="8" w:color="7CBD3F"/>
            </w:tcBorders>
          </w:tcPr>
          <w:p>
            <w:pPr>
              <w:jc w:val="right"/>
              <w:ind w:right="1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7CBD3F"/>
            </w:tcBorders>
          </w:tcPr>
          <w:p>
            <w:pPr>
              <w:jc w:val="right"/>
              <w:ind w:right="130"/>
              <w:spacing w:after="0"/>
              <w:rPr>
                <w:sz w:val="20"/>
                <w:szCs w:val="20"/>
                <w:color w:val="auto"/>
              </w:rPr>
            </w:pPr>
            <w:r>
              <w:rPr>
                <w:rFonts w:ascii="Arial" w:cs="Arial" w:eastAsia="Arial" w:hAnsi="Arial"/>
                <w:sz w:val="14"/>
                <w:szCs w:val="14"/>
                <w:color w:val="auto"/>
              </w:rPr>
              <w:t>(186,566)</w:t>
            </w:r>
          </w:p>
        </w:tc>
        <w:tc>
          <w:tcPr>
            <w:tcW w:w="540" w:type="dxa"/>
            <w:vAlign w:val="bottom"/>
            <w:tcBorders>
              <w:bottom w:val="single" w:sz="8" w:color="7CBD3F"/>
            </w:tcBorders>
          </w:tcPr>
          <w:p>
            <w:pPr>
              <w:jc w:val="right"/>
              <w:ind w:right="9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7CBD3F"/>
            </w:tcBorders>
          </w:tcPr>
          <w:p>
            <w:pPr>
              <w:jc w:val="right"/>
              <w:spacing w:after="0"/>
              <w:rPr>
                <w:sz w:val="20"/>
                <w:szCs w:val="20"/>
                <w:color w:val="auto"/>
              </w:rPr>
            </w:pPr>
            <w:r>
              <w:rPr>
                <w:rFonts w:ascii="Arial" w:cs="Arial" w:eastAsia="Arial" w:hAnsi="Arial"/>
                <w:sz w:val="14"/>
                <w:szCs w:val="14"/>
                <w:color w:val="auto"/>
              </w:rPr>
              <w:t>271,030</w:t>
            </w:r>
          </w:p>
        </w:tc>
      </w:tr>
    </w:tbl>
    <w:p>
      <w:pPr>
        <w:spacing w:after="0" w:line="50" w:lineRule="exact"/>
        <w:rPr>
          <w:sz w:val="20"/>
          <w:szCs w:val="20"/>
          <w:color w:val="auto"/>
        </w:rPr>
      </w:pPr>
    </w:p>
    <w:p>
      <w:pPr>
        <w:ind w:left="287" w:hanging="287"/>
        <w:spacing w:after="0" w:line="283" w:lineRule="auto"/>
        <w:tabs>
          <w:tab w:leader="none" w:pos="287" w:val="left"/>
        </w:tabs>
        <w:numPr>
          <w:ilvl w:val="0"/>
          <w:numId w:val="44"/>
        </w:numPr>
        <w:rPr>
          <w:rFonts w:ascii="Arial" w:cs="Arial" w:eastAsia="Arial" w:hAnsi="Arial"/>
          <w:sz w:val="12"/>
          <w:szCs w:val="12"/>
          <w:color w:val="auto"/>
        </w:rPr>
      </w:pPr>
      <w:r>
        <w:rPr>
          <w:rFonts w:ascii="Arial" w:cs="Arial" w:eastAsia="Arial" w:hAnsi="Arial"/>
          <w:sz w:val="12"/>
          <w:szCs w:val="12"/>
          <w:color w:val="auto"/>
        </w:rPr>
        <w:t>The dollar amounts reported are the amounts in the “Total” column of the Summary Compensation Table in each applicable year for Dr. Kakkis, who served as our Chief Executive Officer during 2020, 2021, 2022, 2023 and 2024.</w:t>
      </w:r>
    </w:p>
    <w:p>
      <w:pPr>
        <w:ind w:left="287" w:right="20" w:hanging="287"/>
        <w:spacing w:after="0" w:line="289" w:lineRule="auto"/>
        <w:tabs>
          <w:tab w:leader="none" w:pos="287" w:val="left"/>
        </w:tabs>
        <w:numPr>
          <w:ilvl w:val="0"/>
          <w:numId w:val="44"/>
        </w:numPr>
        <w:rPr>
          <w:rFonts w:ascii="Arial" w:cs="Arial" w:eastAsia="Arial" w:hAnsi="Arial"/>
          <w:sz w:val="12"/>
          <w:szCs w:val="12"/>
          <w:color w:val="auto"/>
        </w:rPr>
      </w:pPr>
      <w:r>
        <w:rPr>
          <w:rFonts w:ascii="Arial" w:cs="Arial" w:eastAsia="Arial" w:hAnsi="Arial"/>
          <w:sz w:val="12"/>
          <w:szCs w:val="12"/>
          <w:color w:val="auto"/>
        </w:rPr>
        <w:t>The dollar amounts reported represent the amount of CAP, as computed in accordance with SEC rules. The dollar amounts do not reflect the actual amount of compensation earned by or paid during the applicable year. In accordance with SEC rules, the following adjustments were made to total compensation to determine the CAP:</w:t>
      </w:r>
    </w:p>
    <w:p>
      <w:pPr>
        <w:spacing w:after="0" w:line="87" w:lineRule="exact"/>
        <w:rPr>
          <w:sz w:val="20"/>
          <w:szCs w:val="20"/>
          <w:color w:val="auto"/>
        </w:rPr>
      </w:pPr>
    </w:p>
    <w:tbl>
      <w:tblPr>
        <w:tblLayout w:type="fixed"/>
        <w:tblInd w:w="7" w:type="dxa"/>
        <w:tblCellMar>
          <w:top w:w="0" w:type="dxa"/>
          <w:left w:w="0" w:type="dxa"/>
          <w:bottom w:w="0" w:type="dxa"/>
          <w:right w:w="0" w:type="dxa"/>
        </w:tblCellMar>
      </w:tblPr>
      <w:tr>
        <w:trPr>
          <w:trHeight w:val="151"/>
        </w:trPr>
        <w:tc>
          <w:tcPr>
            <w:tcW w:w="280" w:type="dxa"/>
            <w:vAlign w:val="bottom"/>
          </w:tcPr>
          <w:p>
            <w:pPr>
              <w:spacing w:after="0"/>
              <w:rPr>
                <w:sz w:val="13"/>
                <w:szCs w:val="13"/>
                <w:color w:val="auto"/>
              </w:rPr>
            </w:pPr>
          </w:p>
        </w:tc>
        <w:tc>
          <w:tcPr>
            <w:tcW w:w="4960" w:type="dxa"/>
            <w:vAlign w:val="bottom"/>
            <w:tcBorders>
              <w:bottom w:val="single" w:sz="8" w:color="7CBD3F"/>
            </w:tcBorders>
          </w:tcPr>
          <w:p>
            <w:pPr>
              <w:ind w:left="40"/>
              <w:spacing w:after="0"/>
              <w:rPr>
                <w:sz w:val="20"/>
                <w:szCs w:val="20"/>
                <w:color w:val="auto"/>
              </w:rPr>
            </w:pPr>
            <w:r>
              <w:rPr>
                <w:rFonts w:ascii="Arial" w:cs="Arial" w:eastAsia="Arial" w:hAnsi="Arial"/>
                <w:sz w:val="12"/>
                <w:szCs w:val="12"/>
                <w:b w:val="1"/>
                <w:bCs w:val="1"/>
                <w:color w:val="auto"/>
              </w:rPr>
              <w:t>Compensation Actually Paid to PEO</w:t>
            </w:r>
          </w:p>
        </w:tc>
        <w:tc>
          <w:tcPr>
            <w:tcW w:w="260" w:type="dxa"/>
            <w:vAlign w:val="bottom"/>
            <w:tcBorders>
              <w:bottom w:val="single" w:sz="8" w:color="7CBD3F"/>
            </w:tcBorders>
          </w:tcPr>
          <w:p>
            <w:pPr>
              <w:spacing w:after="0"/>
              <w:rPr>
                <w:sz w:val="13"/>
                <w:szCs w:val="13"/>
                <w:color w:val="auto"/>
              </w:rPr>
            </w:pPr>
          </w:p>
        </w:tc>
        <w:tc>
          <w:tcPr>
            <w:tcW w:w="900" w:type="dxa"/>
            <w:vAlign w:val="bottom"/>
            <w:tcBorders>
              <w:bottom w:val="single" w:sz="8" w:color="7CBD3F"/>
            </w:tcBorders>
          </w:tcPr>
          <w:p>
            <w:pPr>
              <w:jc w:val="right"/>
              <w:ind w:right="38"/>
              <w:spacing w:after="0"/>
              <w:rPr>
                <w:sz w:val="20"/>
                <w:szCs w:val="20"/>
                <w:color w:val="auto"/>
              </w:rPr>
            </w:pPr>
            <w:r>
              <w:rPr>
                <w:rFonts w:ascii="Arial" w:cs="Arial" w:eastAsia="Arial" w:hAnsi="Arial"/>
                <w:sz w:val="12"/>
                <w:szCs w:val="12"/>
                <w:b w:val="1"/>
                <w:bCs w:val="1"/>
                <w:color w:val="auto"/>
              </w:rPr>
              <w:t>2024</w:t>
            </w:r>
          </w:p>
        </w:tc>
        <w:tc>
          <w:tcPr>
            <w:tcW w:w="320" w:type="dxa"/>
            <w:vAlign w:val="bottom"/>
            <w:tcBorders>
              <w:bottom w:val="single" w:sz="8" w:color="7CBD3F"/>
            </w:tcBorders>
          </w:tcPr>
          <w:p>
            <w:pPr>
              <w:spacing w:after="0"/>
              <w:rPr>
                <w:sz w:val="13"/>
                <w:szCs w:val="13"/>
                <w:color w:val="auto"/>
              </w:rPr>
            </w:pPr>
          </w:p>
        </w:tc>
        <w:tc>
          <w:tcPr>
            <w:tcW w:w="900" w:type="dxa"/>
            <w:vAlign w:val="bottom"/>
            <w:tcBorders>
              <w:bottom w:val="single" w:sz="8" w:color="7CBD3F"/>
            </w:tcBorders>
          </w:tcPr>
          <w:p>
            <w:pPr>
              <w:jc w:val="right"/>
              <w:ind w:right="38"/>
              <w:spacing w:after="0"/>
              <w:rPr>
                <w:sz w:val="20"/>
                <w:szCs w:val="20"/>
                <w:color w:val="auto"/>
              </w:rPr>
            </w:pPr>
            <w:r>
              <w:rPr>
                <w:rFonts w:ascii="Arial" w:cs="Arial" w:eastAsia="Arial" w:hAnsi="Arial"/>
                <w:sz w:val="12"/>
                <w:szCs w:val="12"/>
                <w:b w:val="1"/>
                <w:bCs w:val="1"/>
                <w:color w:val="auto"/>
              </w:rPr>
              <w:t>2023</w:t>
            </w:r>
          </w:p>
        </w:tc>
        <w:tc>
          <w:tcPr>
            <w:tcW w:w="300" w:type="dxa"/>
            <w:vAlign w:val="bottom"/>
            <w:tcBorders>
              <w:bottom w:val="single" w:sz="8" w:color="7CBD3F"/>
            </w:tcBorders>
          </w:tcPr>
          <w:p>
            <w:pPr>
              <w:spacing w:after="0"/>
              <w:rPr>
                <w:sz w:val="13"/>
                <w:szCs w:val="13"/>
                <w:color w:val="auto"/>
              </w:rPr>
            </w:pPr>
          </w:p>
        </w:tc>
        <w:tc>
          <w:tcPr>
            <w:tcW w:w="900" w:type="dxa"/>
            <w:vAlign w:val="bottom"/>
            <w:tcBorders>
              <w:bottom w:val="single" w:sz="8" w:color="7CBD3F"/>
            </w:tcBorders>
          </w:tcPr>
          <w:p>
            <w:pPr>
              <w:jc w:val="right"/>
              <w:ind w:right="38"/>
              <w:spacing w:after="0"/>
              <w:rPr>
                <w:sz w:val="20"/>
                <w:szCs w:val="20"/>
                <w:color w:val="auto"/>
              </w:rPr>
            </w:pPr>
            <w:r>
              <w:rPr>
                <w:rFonts w:ascii="Arial" w:cs="Arial" w:eastAsia="Arial" w:hAnsi="Arial"/>
                <w:sz w:val="12"/>
                <w:szCs w:val="12"/>
                <w:b w:val="1"/>
                <w:bCs w:val="1"/>
                <w:color w:val="auto"/>
              </w:rPr>
              <w:t>2022</w:t>
            </w:r>
          </w:p>
        </w:tc>
        <w:tc>
          <w:tcPr>
            <w:tcW w:w="360" w:type="dxa"/>
            <w:vAlign w:val="bottom"/>
            <w:tcBorders>
              <w:bottom w:val="single" w:sz="8" w:color="7CBD3F"/>
            </w:tcBorders>
          </w:tcPr>
          <w:p>
            <w:pPr>
              <w:spacing w:after="0"/>
              <w:rPr>
                <w:sz w:val="13"/>
                <w:szCs w:val="13"/>
                <w:color w:val="auto"/>
              </w:rPr>
            </w:pPr>
          </w:p>
        </w:tc>
        <w:tc>
          <w:tcPr>
            <w:tcW w:w="860" w:type="dxa"/>
            <w:vAlign w:val="bottom"/>
            <w:tcBorders>
              <w:bottom w:val="single" w:sz="8" w:color="7CBD3F"/>
            </w:tcBorders>
          </w:tcPr>
          <w:p>
            <w:pPr>
              <w:jc w:val="right"/>
              <w:ind w:right="38"/>
              <w:spacing w:after="0"/>
              <w:rPr>
                <w:sz w:val="20"/>
                <w:szCs w:val="20"/>
                <w:color w:val="auto"/>
              </w:rPr>
            </w:pPr>
            <w:r>
              <w:rPr>
                <w:rFonts w:ascii="Arial" w:cs="Arial" w:eastAsia="Arial" w:hAnsi="Arial"/>
                <w:sz w:val="12"/>
                <w:szCs w:val="12"/>
                <w:b w:val="1"/>
                <w:bCs w:val="1"/>
                <w:color w:val="auto"/>
              </w:rPr>
              <w:t>2021</w:t>
            </w:r>
          </w:p>
        </w:tc>
        <w:tc>
          <w:tcPr>
            <w:tcW w:w="340" w:type="dxa"/>
            <w:vAlign w:val="bottom"/>
            <w:tcBorders>
              <w:bottom w:val="single" w:sz="8" w:color="7CBD3F"/>
            </w:tcBorders>
          </w:tcPr>
          <w:p>
            <w:pPr>
              <w:spacing w:after="0"/>
              <w:rPr>
                <w:sz w:val="13"/>
                <w:szCs w:val="13"/>
                <w:color w:val="auto"/>
              </w:rPr>
            </w:pPr>
          </w:p>
        </w:tc>
        <w:tc>
          <w:tcPr>
            <w:tcW w:w="880" w:type="dxa"/>
            <w:vAlign w:val="bottom"/>
            <w:tcBorders>
              <w:bottom w:val="single" w:sz="8" w:color="7CBD3F"/>
            </w:tcBorders>
          </w:tcPr>
          <w:p>
            <w:pPr>
              <w:jc w:val="right"/>
              <w:ind w:right="58"/>
              <w:spacing w:after="0"/>
              <w:rPr>
                <w:sz w:val="20"/>
                <w:szCs w:val="20"/>
                <w:color w:val="auto"/>
              </w:rPr>
            </w:pPr>
            <w:r>
              <w:rPr>
                <w:rFonts w:ascii="Arial" w:cs="Arial" w:eastAsia="Arial" w:hAnsi="Arial"/>
                <w:sz w:val="12"/>
                <w:szCs w:val="12"/>
                <w:b w:val="1"/>
                <w:bCs w:val="1"/>
                <w:color w:val="auto"/>
              </w:rPr>
              <w:t>2020</w:t>
            </w:r>
          </w:p>
        </w:tc>
        <w:tc>
          <w:tcPr>
            <w:tcW w:w="0" w:type="dxa"/>
            <w:vAlign w:val="bottom"/>
          </w:tcPr>
          <w:p>
            <w:pPr>
              <w:spacing w:after="0"/>
              <w:rPr>
                <w:sz w:val="1"/>
                <w:szCs w:val="1"/>
                <w:color w:val="auto"/>
              </w:rPr>
            </w:pPr>
          </w:p>
        </w:tc>
      </w:tr>
      <w:tr>
        <w:trPr>
          <w:trHeight w:val="140"/>
        </w:trPr>
        <w:tc>
          <w:tcPr>
            <w:tcW w:w="280" w:type="dxa"/>
            <w:vAlign w:val="bottom"/>
          </w:tcPr>
          <w:p>
            <w:pPr>
              <w:spacing w:after="0"/>
              <w:rPr>
                <w:sz w:val="12"/>
                <w:szCs w:val="12"/>
                <w:color w:val="auto"/>
              </w:rPr>
            </w:pPr>
          </w:p>
        </w:tc>
        <w:tc>
          <w:tcPr>
            <w:tcW w:w="4960" w:type="dxa"/>
            <w:vAlign w:val="bottom"/>
          </w:tcPr>
          <w:p>
            <w:pPr>
              <w:ind w:left="40"/>
              <w:spacing w:after="0"/>
              <w:rPr>
                <w:sz w:val="20"/>
                <w:szCs w:val="20"/>
                <w:color w:val="auto"/>
              </w:rPr>
            </w:pPr>
            <w:r>
              <w:rPr>
                <w:rFonts w:ascii="Arial" w:cs="Arial" w:eastAsia="Arial" w:hAnsi="Arial"/>
                <w:sz w:val="12"/>
                <w:szCs w:val="12"/>
                <w:color w:val="auto"/>
              </w:rPr>
              <w:t>Summary Compensation Table Total</w:t>
            </w:r>
          </w:p>
        </w:tc>
        <w:tc>
          <w:tcPr>
            <w:tcW w:w="260" w:type="dxa"/>
            <w:vAlign w:val="bottom"/>
          </w:tcPr>
          <w:p>
            <w:pPr>
              <w:jc w:val="right"/>
              <w:ind w:right="78"/>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38"/>
              <w:spacing w:after="0"/>
              <w:rPr>
                <w:sz w:val="20"/>
                <w:szCs w:val="20"/>
                <w:color w:val="auto"/>
              </w:rPr>
            </w:pPr>
            <w:r>
              <w:rPr>
                <w:rFonts w:ascii="Arial" w:cs="Arial" w:eastAsia="Arial" w:hAnsi="Arial"/>
                <w:sz w:val="12"/>
                <w:szCs w:val="12"/>
                <w:color w:val="auto"/>
              </w:rPr>
              <w:t>13,717,687</w:t>
            </w:r>
          </w:p>
        </w:tc>
        <w:tc>
          <w:tcPr>
            <w:tcW w:w="320" w:type="dxa"/>
            <w:vAlign w:val="bottom"/>
          </w:tcPr>
          <w:p>
            <w:pPr>
              <w:jc w:val="right"/>
              <w:ind w:right="78"/>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38"/>
              <w:spacing w:after="0"/>
              <w:rPr>
                <w:sz w:val="20"/>
                <w:szCs w:val="20"/>
                <w:color w:val="auto"/>
              </w:rPr>
            </w:pPr>
            <w:r>
              <w:rPr>
                <w:rFonts w:ascii="Arial" w:cs="Arial" w:eastAsia="Arial" w:hAnsi="Arial"/>
                <w:sz w:val="12"/>
                <w:szCs w:val="12"/>
                <w:color w:val="auto"/>
              </w:rPr>
              <w:t>13,077,993</w:t>
            </w:r>
          </w:p>
        </w:tc>
        <w:tc>
          <w:tcPr>
            <w:tcW w:w="30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38"/>
              <w:spacing w:after="0"/>
              <w:rPr>
                <w:sz w:val="20"/>
                <w:szCs w:val="20"/>
                <w:color w:val="auto"/>
              </w:rPr>
            </w:pPr>
            <w:r>
              <w:rPr>
                <w:rFonts w:ascii="Arial" w:cs="Arial" w:eastAsia="Arial" w:hAnsi="Arial"/>
                <w:sz w:val="12"/>
                <w:szCs w:val="12"/>
                <w:color w:val="auto"/>
              </w:rPr>
              <w:t>12,140,330</w:t>
            </w:r>
          </w:p>
        </w:tc>
        <w:tc>
          <w:tcPr>
            <w:tcW w:w="360" w:type="dxa"/>
            <w:vAlign w:val="bottom"/>
          </w:tcPr>
          <w:p>
            <w:pPr>
              <w:jc w:val="right"/>
              <w:ind w:right="118"/>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38"/>
              <w:spacing w:after="0"/>
              <w:rPr>
                <w:sz w:val="20"/>
                <w:szCs w:val="20"/>
                <w:color w:val="auto"/>
              </w:rPr>
            </w:pPr>
            <w:r>
              <w:rPr>
                <w:rFonts w:ascii="Arial" w:cs="Arial" w:eastAsia="Arial" w:hAnsi="Arial"/>
                <w:sz w:val="12"/>
                <w:szCs w:val="12"/>
                <w:color w:val="auto"/>
              </w:rPr>
              <w:t>9,522,738</w:t>
            </w:r>
          </w:p>
        </w:tc>
        <w:tc>
          <w:tcPr>
            <w:tcW w:w="340" w:type="dxa"/>
            <w:vAlign w:val="bottom"/>
          </w:tcPr>
          <w:p>
            <w:pPr>
              <w:jc w:val="right"/>
              <w:ind w:right="98"/>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58"/>
              <w:spacing w:after="0"/>
              <w:rPr>
                <w:sz w:val="20"/>
                <w:szCs w:val="20"/>
                <w:color w:val="auto"/>
              </w:rPr>
            </w:pPr>
            <w:r>
              <w:rPr>
                <w:rFonts w:ascii="Arial" w:cs="Arial" w:eastAsia="Arial" w:hAnsi="Arial"/>
                <w:sz w:val="12"/>
                <w:szCs w:val="12"/>
                <w:color w:val="auto"/>
              </w:rPr>
              <w:t>5,144,220</w:t>
            </w:r>
          </w:p>
        </w:tc>
        <w:tc>
          <w:tcPr>
            <w:tcW w:w="0" w:type="dxa"/>
            <w:vAlign w:val="bottom"/>
          </w:tcPr>
          <w:p>
            <w:pPr>
              <w:spacing w:after="0"/>
              <w:rPr>
                <w:sz w:val="1"/>
                <w:szCs w:val="1"/>
                <w:color w:val="auto"/>
              </w:rPr>
            </w:pPr>
          </w:p>
        </w:tc>
      </w:tr>
      <w:tr>
        <w:trPr>
          <w:trHeight w:val="132"/>
        </w:trPr>
        <w:tc>
          <w:tcPr>
            <w:tcW w:w="280" w:type="dxa"/>
            <w:vAlign w:val="bottom"/>
            <w:shd w:val="clear" w:color="auto" w:fill="F0F7E7"/>
          </w:tcPr>
          <w:p>
            <w:pPr>
              <w:spacing w:after="0"/>
              <w:rPr>
                <w:sz w:val="11"/>
                <w:szCs w:val="11"/>
                <w:color w:val="auto"/>
              </w:rPr>
            </w:pPr>
          </w:p>
        </w:tc>
        <w:tc>
          <w:tcPr>
            <w:tcW w:w="4960" w:type="dxa"/>
            <w:vAlign w:val="bottom"/>
            <w:shd w:val="clear" w:color="auto" w:fill="F0F7E7"/>
          </w:tcPr>
          <w:p>
            <w:pPr>
              <w:ind w:left="40"/>
              <w:spacing w:after="0" w:line="132" w:lineRule="exact"/>
              <w:rPr>
                <w:sz w:val="20"/>
                <w:szCs w:val="20"/>
                <w:color w:val="auto"/>
              </w:rPr>
            </w:pPr>
            <w:r>
              <w:rPr>
                <w:rFonts w:ascii="Arial" w:cs="Arial" w:eastAsia="Arial" w:hAnsi="Arial"/>
                <w:sz w:val="12"/>
                <w:szCs w:val="12"/>
                <w:i w:val="1"/>
                <w:iCs w:val="1"/>
                <w:color w:val="auto"/>
              </w:rPr>
              <w:t xml:space="preserve">Less, </w:t>
            </w:r>
            <w:r>
              <w:rPr>
                <w:rFonts w:ascii="Arial" w:cs="Arial" w:eastAsia="Arial" w:hAnsi="Arial"/>
                <w:sz w:val="12"/>
                <w:szCs w:val="12"/>
                <w:color w:val="auto"/>
              </w:rPr>
              <w:t>value of “Stock Awards” and “Option Awards” reported in Summary Compensation</w:t>
            </w:r>
          </w:p>
        </w:tc>
        <w:tc>
          <w:tcPr>
            <w:tcW w:w="260" w:type="dxa"/>
            <w:vAlign w:val="bottom"/>
            <w:shd w:val="clear" w:color="auto" w:fill="F0F7E7"/>
          </w:tcPr>
          <w:p>
            <w:pPr>
              <w:spacing w:after="0"/>
              <w:rPr>
                <w:sz w:val="11"/>
                <w:szCs w:val="11"/>
                <w:color w:val="auto"/>
              </w:rPr>
            </w:pPr>
          </w:p>
        </w:tc>
        <w:tc>
          <w:tcPr>
            <w:tcW w:w="900" w:type="dxa"/>
            <w:vAlign w:val="bottom"/>
            <w:vMerge w:val="restart"/>
            <w:shd w:val="clear" w:color="auto" w:fill="F0F7E7"/>
          </w:tcPr>
          <w:p>
            <w:pPr>
              <w:jc w:val="right"/>
              <w:ind w:right="38"/>
              <w:spacing w:after="0"/>
              <w:rPr>
                <w:sz w:val="20"/>
                <w:szCs w:val="20"/>
                <w:color w:val="auto"/>
              </w:rPr>
            </w:pPr>
            <w:r>
              <w:rPr>
                <w:rFonts w:ascii="Arial" w:cs="Arial" w:eastAsia="Arial" w:hAnsi="Arial"/>
                <w:sz w:val="12"/>
                <w:szCs w:val="12"/>
                <w:color w:val="auto"/>
              </w:rPr>
              <w:t>(12,090,111)</w:t>
            </w:r>
          </w:p>
        </w:tc>
        <w:tc>
          <w:tcPr>
            <w:tcW w:w="320" w:type="dxa"/>
            <w:vAlign w:val="bottom"/>
            <w:shd w:val="clear" w:color="auto" w:fill="F0F7E7"/>
          </w:tcPr>
          <w:p>
            <w:pPr>
              <w:spacing w:after="0"/>
              <w:rPr>
                <w:sz w:val="11"/>
                <w:szCs w:val="11"/>
                <w:color w:val="auto"/>
              </w:rPr>
            </w:pPr>
          </w:p>
        </w:tc>
        <w:tc>
          <w:tcPr>
            <w:tcW w:w="900" w:type="dxa"/>
            <w:vAlign w:val="bottom"/>
            <w:vMerge w:val="restart"/>
            <w:shd w:val="clear" w:color="auto" w:fill="F0F7E7"/>
          </w:tcPr>
          <w:p>
            <w:pPr>
              <w:jc w:val="right"/>
              <w:ind w:right="38"/>
              <w:spacing w:after="0"/>
              <w:rPr>
                <w:sz w:val="20"/>
                <w:szCs w:val="20"/>
                <w:color w:val="auto"/>
              </w:rPr>
            </w:pPr>
            <w:r>
              <w:rPr>
                <w:rFonts w:ascii="Arial" w:cs="Arial" w:eastAsia="Arial" w:hAnsi="Arial"/>
                <w:sz w:val="12"/>
                <w:szCs w:val="12"/>
                <w:color w:val="auto"/>
              </w:rPr>
              <w:t>(11,618,444)</w:t>
            </w:r>
          </w:p>
        </w:tc>
        <w:tc>
          <w:tcPr>
            <w:tcW w:w="300" w:type="dxa"/>
            <w:vAlign w:val="bottom"/>
            <w:shd w:val="clear" w:color="auto" w:fill="F0F7E7"/>
          </w:tcPr>
          <w:p>
            <w:pPr>
              <w:spacing w:after="0"/>
              <w:rPr>
                <w:sz w:val="11"/>
                <w:szCs w:val="11"/>
                <w:color w:val="auto"/>
              </w:rPr>
            </w:pPr>
          </w:p>
        </w:tc>
        <w:tc>
          <w:tcPr>
            <w:tcW w:w="900" w:type="dxa"/>
            <w:vAlign w:val="bottom"/>
            <w:vMerge w:val="restart"/>
            <w:shd w:val="clear" w:color="auto" w:fill="F0F7E7"/>
          </w:tcPr>
          <w:p>
            <w:pPr>
              <w:jc w:val="right"/>
              <w:ind w:right="38"/>
              <w:spacing w:after="0"/>
              <w:rPr>
                <w:sz w:val="20"/>
                <w:szCs w:val="20"/>
                <w:color w:val="auto"/>
              </w:rPr>
            </w:pPr>
            <w:r>
              <w:rPr>
                <w:rFonts w:ascii="Arial" w:cs="Arial" w:eastAsia="Arial" w:hAnsi="Arial"/>
                <w:sz w:val="12"/>
                <w:szCs w:val="12"/>
                <w:color w:val="auto"/>
              </w:rPr>
              <w:t>(10,773,976)</w:t>
            </w:r>
          </w:p>
        </w:tc>
        <w:tc>
          <w:tcPr>
            <w:tcW w:w="360" w:type="dxa"/>
            <w:vAlign w:val="bottom"/>
            <w:shd w:val="clear" w:color="auto" w:fill="F0F7E7"/>
          </w:tcPr>
          <w:p>
            <w:pPr>
              <w:spacing w:after="0"/>
              <w:rPr>
                <w:sz w:val="11"/>
                <w:szCs w:val="11"/>
                <w:color w:val="auto"/>
              </w:rPr>
            </w:pPr>
          </w:p>
        </w:tc>
        <w:tc>
          <w:tcPr>
            <w:tcW w:w="860" w:type="dxa"/>
            <w:vAlign w:val="bottom"/>
            <w:vMerge w:val="restart"/>
            <w:shd w:val="clear" w:color="auto" w:fill="F0F7E7"/>
          </w:tcPr>
          <w:p>
            <w:pPr>
              <w:jc w:val="right"/>
              <w:ind w:right="38"/>
              <w:spacing w:after="0"/>
              <w:rPr>
                <w:sz w:val="20"/>
                <w:szCs w:val="20"/>
                <w:color w:val="auto"/>
              </w:rPr>
            </w:pPr>
            <w:r>
              <w:rPr>
                <w:rFonts w:ascii="Arial" w:cs="Arial" w:eastAsia="Arial" w:hAnsi="Arial"/>
                <w:sz w:val="12"/>
                <w:szCs w:val="12"/>
                <w:color w:val="auto"/>
              </w:rPr>
              <w:t>(8,246,092)</w:t>
            </w:r>
          </w:p>
        </w:tc>
        <w:tc>
          <w:tcPr>
            <w:tcW w:w="340" w:type="dxa"/>
            <w:vAlign w:val="bottom"/>
            <w:shd w:val="clear" w:color="auto" w:fill="F0F7E7"/>
          </w:tcPr>
          <w:p>
            <w:pPr>
              <w:spacing w:after="0"/>
              <w:rPr>
                <w:sz w:val="11"/>
                <w:szCs w:val="11"/>
                <w:color w:val="auto"/>
              </w:rPr>
            </w:pPr>
          </w:p>
        </w:tc>
        <w:tc>
          <w:tcPr>
            <w:tcW w:w="880" w:type="dxa"/>
            <w:vAlign w:val="bottom"/>
            <w:vMerge w:val="restart"/>
            <w:shd w:val="clear" w:color="auto" w:fill="F0F7E7"/>
          </w:tcPr>
          <w:p>
            <w:pPr>
              <w:jc w:val="right"/>
              <w:ind w:right="58"/>
              <w:spacing w:after="0"/>
              <w:rPr>
                <w:sz w:val="20"/>
                <w:szCs w:val="20"/>
                <w:color w:val="auto"/>
              </w:rPr>
            </w:pPr>
            <w:r>
              <w:rPr>
                <w:rFonts w:ascii="Arial" w:cs="Arial" w:eastAsia="Arial" w:hAnsi="Arial"/>
                <w:sz w:val="12"/>
                <w:szCs w:val="12"/>
                <w:color w:val="auto"/>
              </w:rPr>
              <w:t>(3,709,589)</w:t>
            </w:r>
          </w:p>
        </w:tc>
        <w:tc>
          <w:tcPr>
            <w:tcW w:w="0" w:type="dxa"/>
            <w:vAlign w:val="bottom"/>
          </w:tcPr>
          <w:p>
            <w:pPr>
              <w:spacing w:after="0"/>
              <w:rPr>
                <w:sz w:val="1"/>
                <w:szCs w:val="1"/>
                <w:color w:val="auto"/>
              </w:rPr>
            </w:pPr>
          </w:p>
        </w:tc>
      </w:tr>
      <w:tr>
        <w:trPr>
          <w:trHeight w:val="128"/>
        </w:trPr>
        <w:tc>
          <w:tcPr>
            <w:tcW w:w="280" w:type="dxa"/>
            <w:vAlign w:val="bottom"/>
            <w:tcBorders>
              <w:bottom w:val="single" w:sz="8" w:color="F0F7E7"/>
            </w:tcBorders>
            <w:shd w:val="clear" w:color="auto" w:fill="F0F7E7"/>
          </w:tcPr>
          <w:p>
            <w:pPr>
              <w:spacing w:after="0"/>
              <w:rPr>
                <w:sz w:val="11"/>
                <w:szCs w:val="11"/>
                <w:color w:val="auto"/>
              </w:rPr>
            </w:pPr>
          </w:p>
        </w:tc>
        <w:tc>
          <w:tcPr>
            <w:tcW w:w="4960" w:type="dxa"/>
            <w:vAlign w:val="bottom"/>
            <w:tcBorders>
              <w:bottom w:val="single" w:sz="8" w:color="F0F7E7"/>
            </w:tcBorders>
            <w:shd w:val="clear" w:color="auto" w:fill="F0F7E7"/>
          </w:tcPr>
          <w:p>
            <w:pPr>
              <w:ind w:left="40"/>
              <w:spacing w:after="0" w:line="128" w:lineRule="exact"/>
              <w:rPr>
                <w:sz w:val="20"/>
                <w:szCs w:val="20"/>
                <w:color w:val="auto"/>
              </w:rPr>
            </w:pPr>
            <w:r>
              <w:rPr>
                <w:rFonts w:ascii="Arial" w:cs="Arial" w:eastAsia="Arial" w:hAnsi="Arial"/>
                <w:sz w:val="12"/>
                <w:szCs w:val="12"/>
                <w:color w:val="auto"/>
              </w:rPr>
              <w:t>Table</w:t>
            </w:r>
          </w:p>
        </w:tc>
        <w:tc>
          <w:tcPr>
            <w:tcW w:w="260" w:type="dxa"/>
            <w:vAlign w:val="bottom"/>
            <w:tcBorders>
              <w:bottom w:val="single" w:sz="8" w:color="F0F7E7"/>
            </w:tcBorders>
            <w:shd w:val="clear" w:color="auto" w:fill="F0F7E7"/>
          </w:tcPr>
          <w:p>
            <w:pPr>
              <w:spacing w:after="0"/>
              <w:rPr>
                <w:sz w:val="11"/>
                <w:szCs w:val="11"/>
                <w:color w:val="auto"/>
              </w:rPr>
            </w:pPr>
          </w:p>
        </w:tc>
        <w:tc>
          <w:tcPr>
            <w:tcW w:w="900" w:type="dxa"/>
            <w:vAlign w:val="bottom"/>
            <w:tcBorders>
              <w:bottom w:val="single" w:sz="8" w:color="F0F7E7"/>
            </w:tcBorders>
            <w:vMerge w:val="continue"/>
            <w:shd w:val="clear" w:color="auto" w:fill="F0F7E7"/>
          </w:tcPr>
          <w:p>
            <w:pPr>
              <w:spacing w:after="0"/>
              <w:rPr>
                <w:sz w:val="11"/>
                <w:szCs w:val="11"/>
                <w:color w:val="auto"/>
              </w:rPr>
            </w:pPr>
          </w:p>
        </w:tc>
        <w:tc>
          <w:tcPr>
            <w:tcW w:w="320" w:type="dxa"/>
            <w:vAlign w:val="bottom"/>
            <w:tcBorders>
              <w:bottom w:val="single" w:sz="8" w:color="F0F7E7"/>
            </w:tcBorders>
            <w:shd w:val="clear" w:color="auto" w:fill="F0F7E7"/>
          </w:tcPr>
          <w:p>
            <w:pPr>
              <w:spacing w:after="0"/>
              <w:rPr>
                <w:sz w:val="11"/>
                <w:szCs w:val="11"/>
                <w:color w:val="auto"/>
              </w:rPr>
            </w:pPr>
          </w:p>
        </w:tc>
        <w:tc>
          <w:tcPr>
            <w:tcW w:w="900" w:type="dxa"/>
            <w:vAlign w:val="bottom"/>
            <w:tcBorders>
              <w:bottom w:val="single" w:sz="8" w:color="F0F7E7"/>
            </w:tcBorders>
            <w:vMerge w:val="continue"/>
            <w:shd w:val="clear" w:color="auto" w:fill="F0F7E7"/>
          </w:tcPr>
          <w:p>
            <w:pPr>
              <w:spacing w:after="0"/>
              <w:rPr>
                <w:sz w:val="11"/>
                <w:szCs w:val="11"/>
                <w:color w:val="auto"/>
              </w:rPr>
            </w:pPr>
          </w:p>
        </w:tc>
        <w:tc>
          <w:tcPr>
            <w:tcW w:w="300" w:type="dxa"/>
            <w:vAlign w:val="bottom"/>
            <w:tcBorders>
              <w:bottom w:val="single" w:sz="8" w:color="F0F7E7"/>
            </w:tcBorders>
            <w:shd w:val="clear" w:color="auto" w:fill="F0F7E7"/>
          </w:tcPr>
          <w:p>
            <w:pPr>
              <w:spacing w:after="0"/>
              <w:rPr>
                <w:sz w:val="11"/>
                <w:szCs w:val="11"/>
                <w:color w:val="auto"/>
              </w:rPr>
            </w:pPr>
          </w:p>
        </w:tc>
        <w:tc>
          <w:tcPr>
            <w:tcW w:w="900" w:type="dxa"/>
            <w:vAlign w:val="bottom"/>
            <w:tcBorders>
              <w:bottom w:val="single" w:sz="8" w:color="F0F7E7"/>
            </w:tcBorders>
            <w:vMerge w:val="continue"/>
            <w:shd w:val="clear" w:color="auto" w:fill="F0F7E7"/>
          </w:tcPr>
          <w:p>
            <w:pPr>
              <w:spacing w:after="0"/>
              <w:rPr>
                <w:sz w:val="11"/>
                <w:szCs w:val="11"/>
                <w:color w:val="auto"/>
              </w:rPr>
            </w:pPr>
          </w:p>
        </w:tc>
        <w:tc>
          <w:tcPr>
            <w:tcW w:w="360" w:type="dxa"/>
            <w:vAlign w:val="bottom"/>
            <w:tcBorders>
              <w:bottom w:val="single" w:sz="8" w:color="F0F7E7"/>
            </w:tcBorders>
            <w:shd w:val="clear" w:color="auto" w:fill="F0F7E7"/>
          </w:tcPr>
          <w:p>
            <w:pPr>
              <w:spacing w:after="0"/>
              <w:rPr>
                <w:sz w:val="11"/>
                <w:szCs w:val="11"/>
                <w:color w:val="auto"/>
              </w:rPr>
            </w:pPr>
          </w:p>
        </w:tc>
        <w:tc>
          <w:tcPr>
            <w:tcW w:w="860" w:type="dxa"/>
            <w:vAlign w:val="bottom"/>
            <w:tcBorders>
              <w:bottom w:val="single" w:sz="8" w:color="F0F7E7"/>
            </w:tcBorders>
            <w:vMerge w:val="continue"/>
            <w:shd w:val="clear" w:color="auto" w:fill="F0F7E7"/>
          </w:tcPr>
          <w:p>
            <w:pPr>
              <w:spacing w:after="0"/>
              <w:rPr>
                <w:sz w:val="11"/>
                <w:szCs w:val="11"/>
                <w:color w:val="auto"/>
              </w:rPr>
            </w:pPr>
          </w:p>
        </w:tc>
        <w:tc>
          <w:tcPr>
            <w:tcW w:w="340" w:type="dxa"/>
            <w:vAlign w:val="bottom"/>
            <w:tcBorders>
              <w:bottom w:val="single" w:sz="8" w:color="F0F7E7"/>
            </w:tcBorders>
            <w:shd w:val="clear" w:color="auto" w:fill="F0F7E7"/>
          </w:tcPr>
          <w:p>
            <w:pPr>
              <w:spacing w:after="0"/>
              <w:rPr>
                <w:sz w:val="11"/>
                <w:szCs w:val="11"/>
                <w:color w:val="auto"/>
              </w:rPr>
            </w:pPr>
          </w:p>
        </w:tc>
        <w:tc>
          <w:tcPr>
            <w:tcW w:w="880" w:type="dxa"/>
            <w:vAlign w:val="bottom"/>
            <w:tcBorders>
              <w:bottom w:val="single" w:sz="8" w:color="F0F7E7"/>
            </w:tcBorders>
            <w:vMerge w:val="continue"/>
            <w:shd w:val="clear" w:color="auto" w:fill="F0F7E7"/>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80" w:type="dxa"/>
            <w:vAlign w:val="bottom"/>
          </w:tcPr>
          <w:p>
            <w:pPr>
              <w:spacing w:after="0"/>
              <w:rPr>
                <w:sz w:val="11"/>
                <w:szCs w:val="11"/>
                <w:color w:val="auto"/>
              </w:rPr>
            </w:pPr>
          </w:p>
        </w:tc>
        <w:tc>
          <w:tcPr>
            <w:tcW w:w="4960" w:type="dxa"/>
            <w:vAlign w:val="bottom"/>
          </w:tcPr>
          <w:p>
            <w:pPr>
              <w:ind w:left="40"/>
              <w:spacing w:after="0" w:line="132" w:lineRule="exact"/>
              <w:rPr>
                <w:sz w:val="20"/>
                <w:szCs w:val="20"/>
                <w:color w:val="auto"/>
              </w:rPr>
            </w:pPr>
            <w:r>
              <w:rPr>
                <w:rFonts w:ascii="Arial" w:cs="Arial" w:eastAsia="Arial" w:hAnsi="Arial"/>
                <w:sz w:val="12"/>
                <w:szCs w:val="12"/>
                <w:i w:val="1"/>
                <w:iCs w:val="1"/>
                <w:color w:val="auto"/>
              </w:rPr>
              <w:t xml:space="preserve">Plus, </w:t>
            </w:r>
            <w:r>
              <w:rPr>
                <w:rFonts w:ascii="Arial" w:cs="Arial" w:eastAsia="Arial" w:hAnsi="Arial"/>
                <w:sz w:val="12"/>
                <w:szCs w:val="12"/>
                <w:color w:val="auto"/>
              </w:rPr>
              <w:t>year end fair value of outstanding and unvested equity awards granted during the</w:t>
            </w:r>
          </w:p>
        </w:tc>
        <w:tc>
          <w:tcPr>
            <w:tcW w:w="260" w:type="dxa"/>
            <w:vAlign w:val="bottom"/>
          </w:tcPr>
          <w:p>
            <w:pPr>
              <w:spacing w:after="0"/>
              <w:rPr>
                <w:sz w:val="11"/>
                <w:szCs w:val="11"/>
                <w:color w:val="auto"/>
              </w:rPr>
            </w:pPr>
          </w:p>
        </w:tc>
        <w:tc>
          <w:tcPr>
            <w:tcW w:w="900" w:type="dxa"/>
            <w:vAlign w:val="bottom"/>
            <w:vMerge w:val="restart"/>
          </w:tcPr>
          <w:p>
            <w:pPr>
              <w:jc w:val="right"/>
              <w:ind w:right="38"/>
              <w:spacing w:after="0"/>
              <w:rPr>
                <w:sz w:val="20"/>
                <w:szCs w:val="20"/>
                <w:color w:val="auto"/>
              </w:rPr>
            </w:pPr>
            <w:r>
              <w:rPr>
                <w:rFonts w:ascii="Arial" w:cs="Arial" w:eastAsia="Arial" w:hAnsi="Arial"/>
                <w:sz w:val="12"/>
                <w:szCs w:val="12"/>
                <w:color w:val="auto"/>
              </w:rPr>
              <w:t>8,562,675</w:t>
            </w:r>
          </w:p>
        </w:tc>
        <w:tc>
          <w:tcPr>
            <w:tcW w:w="320" w:type="dxa"/>
            <w:vAlign w:val="bottom"/>
          </w:tcPr>
          <w:p>
            <w:pPr>
              <w:spacing w:after="0"/>
              <w:rPr>
                <w:sz w:val="11"/>
                <w:szCs w:val="11"/>
                <w:color w:val="auto"/>
              </w:rPr>
            </w:pPr>
          </w:p>
        </w:tc>
        <w:tc>
          <w:tcPr>
            <w:tcW w:w="900" w:type="dxa"/>
            <w:vAlign w:val="bottom"/>
            <w:vMerge w:val="restart"/>
          </w:tcPr>
          <w:p>
            <w:pPr>
              <w:jc w:val="right"/>
              <w:ind w:right="38"/>
              <w:spacing w:after="0"/>
              <w:rPr>
                <w:sz w:val="20"/>
                <w:szCs w:val="20"/>
                <w:color w:val="auto"/>
              </w:rPr>
            </w:pPr>
            <w:r>
              <w:rPr>
                <w:rFonts w:ascii="Arial" w:cs="Arial" w:eastAsia="Arial" w:hAnsi="Arial"/>
                <w:sz w:val="12"/>
                <w:szCs w:val="12"/>
                <w:color w:val="auto"/>
              </w:rPr>
              <w:t>11,288,072</w:t>
            </w:r>
          </w:p>
        </w:tc>
        <w:tc>
          <w:tcPr>
            <w:tcW w:w="300" w:type="dxa"/>
            <w:vAlign w:val="bottom"/>
          </w:tcPr>
          <w:p>
            <w:pPr>
              <w:spacing w:after="0"/>
              <w:rPr>
                <w:sz w:val="11"/>
                <w:szCs w:val="11"/>
                <w:color w:val="auto"/>
              </w:rPr>
            </w:pPr>
          </w:p>
        </w:tc>
        <w:tc>
          <w:tcPr>
            <w:tcW w:w="900" w:type="dxa"/>
            <w:vAlign w:val="bottom"/>
            <w:vMerge w:val="restart"/>
          </w:tcPr>
          <w:p>
            <w:pPr>
              <w:jc w:val="right"/>
              <w:ind w:right="38"/>
              <w:spacing w:after="0"/>
              <w:rPr>
                <w:sz w:val="20"/>
                <w:szCs w:val="20"/>
                <w:color w:val="auto"/>
              </w:rPr>
            </w:pPr>
            <w:r>
              <w:rPr>
                <w:rFonts w:ascii="Arial" w:cs="Arial" w:eastAsia="Arial" w:hAnsi="Arial"/>
                <w:sz w:val="12"/>
                <w:szCs w:val="12"/>
                <w:color w:val="auto"/>
              </w:rPr>
              <w:t>(6,264,762)</w:t>
            </w:r>
          </w:p>
        </w:tc>
        <w:tc>
          <w:tcPr>
            <w:tcW w:w="360" w:type="dxa"/>
            <w:vAlign w:val="bottom"/>
          </w:tcPr>
          <w:p>
            <w:pPr>
              <w:spacing w:after="0"/>
              <w:rPr>
                <w:sz w:val="11"/>
                <w:szCs w:val="11"/>
                <w:color w:val="auto"/>
              </w:rPr>
            </w:pPr>
          </w:p>
        </w:tc>
        <w:tc>
          <w:tcPr>
            <w:tcW w:w="860" w:type="dxa"/>
            <w:vAlign w:val="bottom"/>
            <w:vMerge w:val="restart"/>
          </w:tcPr>
          <w:p>
            <w:pPr>
              <w:jc w:val="right"/>
              <w:ind w:right="38"/>
              <w:spacing w:after="0"/>
              <w:rPr>
                <w:sz w:val="20"/>
                <w:szCs w:val="20"/>
                <w:color w:val="auto"/>
              </w:rPr>
            </w:pPr>
            <w:r>
              <w:rPr>
                <w:rFonts w:ascii="Arial" w:cs="Arial" w:eastAsia="Arial" w:hAnsi="Arial"/>
                <w:sz w:val="12"/>
                <w:szCs w:val="12"/>
                <w:color w:val="auto"/>
              </w:rPr>
              <w:t>4,152,033</w:t>
            </w:r>
          </w:p>
        </w:tc>
        <w:tc>
          <w:tcPr>
            <w:tcW w:w="340" w:type="dxa"/>
            <w:vAlign w:val="bottom"/>
          </w:tcPr>
          <w:p>
            <w:pPr>
              <w:spacing w:after="0"/>
              <w:rPr>
                <w:sz w:val="11"/>
                <w:szCs w:val="11"/>
                <w:color w:val="auto"/>
              </w:rPr>
            </w:pPr>
          </w:p>
        </w:tc>
        <w:tc>
          <w:tcPr>
            <w:tcW w:w="880" w:type="dxa"/>
            <w:vAlign w:val="bottom"/>
            <w:vMerge w:val="restart"/>
          </w:tcPr>
          <w:p>
            <w:pPr>
              <w:jc w:val="right"/>
              <w:ind w:right="58"/>
              <w:spacing w:after="0"/>
              <w:rPr>
                <w:sz w:val="20"/>
                <w:szCs w:val="20"/>
                <w:color w:val="auto"/>
              </w:rPr>
            </w:pPr>
            <w:r>
              <w:rPr>
                <w:rFonts w:ascii="Arial" w:cs="Arial" w:eastAsia="Arial" w:hAnsi="Arial"/>
                <w:sz w:val="12"/>
                <w:szCs w:val="12"/>
                <w:color w:val="auto"/>
              </w:rPr>
              <w:t>10,163,438</w:t>
            </w:r>
          </w:p>
        </w:tc>
        <w:tc>
          <w:tcPr>
            <w:tcW w:w="0" w:type="dxa"/>
            <w:vAlign w:val="bottom"/>
          </w:tcPr>
          <w:p>
            <w:pPr>
              <w:spacing w:after="0"/>
              <w:rPr>
                <w:sz w:val="1"/>
                <w:szCs w:val="1"/>
                <w:color w:val="auto"/>
              </w:rPr>
            </w:pPr>
          </w:p>
        </w:tc>
      </w:tr>
      <w:tr>
        <w:trPr>
          <w:trHeight w:val="95"/>
        </w:trPr>
        <w:tc>
          <w:tcPr>
            <w:tcW w:w="280" w:type="dxa"/>
            <w:vAlign w:val="bottom"/>
          </w:tcPr>
          <w:p>
            <w:pPr>
              <w:spacing w:after="0"/>
              <w:rPr>
                <w:sz w:val="8"/>
                <w:szCs w:val="8"/>
                <w:color w:val="auto"/>
              </w:rPr>
            </w:pPr>
          </w:p>
        </w:tc>
        <w:tc>
          <w:tcPr>
            <w:tcW w:w="4960" w:type="dxa"/>
            <w:vAlign w:val="bottom"/>
            <w:vMerge w:val="restart"/>
          </w:tcPr>
          <w:p>
            <w:pPr>
              <w:ind w:left="40"/>
              <w:spacing w:after="0"/>
              <w:rPr>
                <w:sz w:val="20"/>
                <w:szCs w:val="20"/>
                <w:color w:val="auto"/>
              </w:rPr>
            </w:pPr>
            <w:r>
              <w:rPr>
                <w:rFonts w:ascii="Arial" w:cs="Arial" w:eastAsia="Arial" w:hAnsi="Arial"/>
                <w:sz w:val="12"/>
                <w:szCs w:val="12"/>
                <w:color w:val="auto"/>
              </w:rPr>
              <w:t>year</w:t>
            </w:r>
          </w:p>
        </w:tc>
        <w:tc>
          <w:tcPr>
            <w:tcW w:w="26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36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3"/>
        </w:trPr>
        <w:tc>
          <w:tcPr>
            <w:tcW w:w="280" w:type="dxa"/>
            <w:vAlign w:val="bottom"/>
          </w:tcPr>
          <w:p>
            <w:pPr>
              <w:spacing w:after="0"/>
              <w:rPr>
                <w:sz w:val="4"/>
                <w:szCs w:val="4"/>
                <w:color w:val="auto"/>
              </w:rPr>
            </w:pPr>
          </w:p>
        </w:tc>
        <w:tc>
          <w:tcPr>
            <w:tcW w:w="496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320" w:type="dxa"/>
            <w:vAlign w:val="bottom"/>
          </w:tcPr>
          <w:p>
            <w:pPr>
              <w:spacing w:after="0"/>
              <w:rPr>
                <w:sz w:val="4"/>
                <w:szCs w:val="4"/>
                <w:color w:val="auto"/>
              </w:rPr>
            </w:pPr>
          </w:p>
        </w:tc>
        <w:tc>
          <w:tcPr>
            <w:tcW w:w="9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60" w:type="dxa"/>
            <w:vAlign w:val="bottom"/>
          </w:tcPr>
          <w:p>
            <w:pPr>
              <w:spacing w:after="0"/>
              <w:rPr>
                <w:sz w:val="4"/>
                <w:szCs w:val="4"/>
                <w:color w:val="auto"/>
              </w:rPr>
            </w:pPr>
          </w:p>
        </w:tc>
        <w:tc>
          <w:tcPr>
            <w:tcW w:w="34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2"/>
        </w:trPr>
        <w:tc>
          <w:tcPr>
            <w:tcW w:w="280" w:type="dxa"/>
            <w:vAlign w:val="bottom"/>
            <w:shd w:val="clear" w:color="auto" w:fill="F0F7E7"/>
          </w:tcPr>
          <w:p>
            <w:pPr>
              <w:spacing w:after="0"/>
              <w:rPr>
                <w:sz w:val="11"/>
                <w:szCs w:val="11"/>
                <w:color w:val="auto"/>
              </w:rPr>
            </w:pPr>
          </w:p>
        </w:tc>
        <w:tc>
          <w:tcPr>
            <w:tcW w:w="4960" w:type="dxa"/>
            <w:vAlign w:val="bottom"/>
            <w:shd w:val="clear" w:color="auto" w:fill="F0F7E7"/>
          </w:tcPr>
          <w:p>
            <w:pPr>
              <w:ind w:left="40"/>
              <w:spacing w:after="0" w:line="132" w:lineRule="exact"/>
              <w:rPr>
                <w:sz w:val="20"/>
                <w:szCs w:val="20"/>
                <w:color w:val="auto"/>
              </w:rPr>
            </w:pPr>
            <w:r>
              <w:rPr>
                <w:rFonts w:ascii="Arial" w:cs="Arial" w:eastAsia="Arial" w:hAnsi="Arial"/>
                <w:sz w:val="12"/>
                <w:szCs w:val="12"/>
                <w:i w:val="1"/>
                <w:iCs w:val="1"/>
                <w:color w:val="auto"/>
              </w:rPr>
              <w:t xml:space="preserve">Plus (less), </w:t>
            </w:r>
            <w:r>
              <w:rPr>
                <w:rFonts w:ascii="Arial" w:cs="Arial" w:eastAsia="Arial" w:hAnsi="Arial"/>
                <w:sz w:val="12"/>
                <w:szCs w:val="12"/>
                <w:color w:val="auto"/>
              </w:rPr>
              <w:t>change in fair value from prior year end to current year end of outstanding</w:t>
            </w:r>
          </w:p>
        </w:tc>
        <w:tc>
          <w:tcPr>
            <w:tcW w:w="260" w:type="dxa"/>
            <w:vAlign w:val="bottom"/>
            <w:shd w:val="clear" w:color="auto" w:fill="F0F7E7"/>
          </w:tcPr>
          <w:p>
            <w:pPr>
              <w:spacing w:after="0"/>
              <w:rPr>
                <w:sz w:val="11"/>
                <w:szCs w:val="11"/>
                <w:color w:val="auto"/>
              </w:rPr>
            </w:pPr>
          </w:p>
        </w:tc>
        <w:tc>
          <w:tcPr>
            <w:tcW w:w="900" w:type="dxa"/>
            <w:vAlign w:val="bottom"/>
            <w:vMerge w:val="restart"/>
            <w:shd w:val="clear" w:color="auto" w:fill="F0F7E7"/>
          </w:tcPr>
          <w:p>
            <w:pPr>
              <w:jc w:val="right"/>
              <w:ind w:right="38"/>
              <w:spacing w:after="0"/>
              <w:rPr>
                <w:sz w:val="20"/>
                <w:szCs w:val="20"/>
                <w:color w:val="auto"/>
              </w:rPr>
            </w:pPr>
            <w:r>
              <w:rPr>
                <w:rFonts w:ascii="Arial" w:cs="Arial" w:eastAsia="Arial" w:hAnsi="Arial"/>
                <w:sz w:val="12"/>
                <w:szCs w:val="12"/>
                <w:color w:val="auto"/>
              </w:rPr>
              <w:t>(2,033,745)</w:t>
            </w:r>
          </w:p>
        </w:tc>
        <w:tc>
          <w:tcPr>
            <w:tcW w:w="320" w:type="dxa"/>
            <w:vAlign w:val="bottom"/>
            <w:shd w:val="clear" w:color="auto" w:fill="F0F7E7"/>
          </w:tcPr>
          <w:p>
            <w:pPr>
              <w:spacing w:after="0"/>
              <w:rPr>
                <w:sz w:val="11"/>
                <w:szCs w:val="11"/>
                <w:color w:val="auto"/>
              </w:rPr>
            </w:pPr>
          </w:p>
        </w:tc>
        <w:tc>
          <w:tcPr>
            <w:tcW w:w="900" w:type="dxa"/>
            <w:vAlign w:val="bottom"/>
            <w:vMerge w:val="restart"/>
            <w:shd w:val="clear" w:color="auto" w:fill="F0F7E7"/>
          </w:tcPr>
          <w:p>
            <w:pPr>
              <w:jc w:val="right"/>
              <w:ind w:right="38"/>
              <w:spacing w:after="0"/>
              <w:rPr>
                <w:sz w:val="20"/>
                <w:szCs w:val="20"/>
                <w:color w:val="auto"/>
              </w:rPr>
            </w:pPr>
            <w:r>
              <w:rPr>
                <w:rFonts w:ascii="Arial" w:cs="Arial" w:eastAsia="Arial" w:hAnsi="Arial"/>
                <w:sz w:val="12"/>
                <w:szCs w:val="12"/>
                <w:color w:val="auto"/>
              </w:rPr>
              <w:t>(1,167,400)</w:t>
            </w:r>
          </w:p>
        </w:tc>
        <w:tc>
          <w:tcPr>
            <w:tcW w:w="300" w:type="dxa"/>
            <w:vAlign w:val="bottom"/>
            <w:shd w:val="clear" w:color="auto" w:fill="F0F7E7"/>
          </w:tcPr>
          <w:p>
            <w:pPr>
              <w:spacing w:after="0"/>
              <w:rPr>
                <w:sz w:val="11"/>
                <w:szCs w:val="11"/>
                <w:color w:val="auto"/>
              </w:rPr>
            </w:pPr>
          </w:p>
        </w:tc>
        <w:tc>
          <w:tcPr>
            <w:tcW w:w="900" w:type="dxa"/>
            <w:vAlign w:val="bottom"/>
            <w:vMerge w:val="restart"/>
            <w:shd w:val="clear" w:color="auto" w:fill="F0F7E7"/>
          </w:tcPr>
          <w:p>
            <w:pPr>
              <w:jc w:val="right"/>
              <w:ind w:right="38"/>
              <w:spacing w:after="0"/>
              <w:rPr>
                <w:sz w:val="20"/>
                <w:szCs w:val="20"/>
                <w:color w:val="auto"/>
              </w:rPr>
            </w:pPr>
            <w:r>
              <w:rPr>
                <w:rFonts w:ascii="Arial" w:cs="Arial" w:eastAsia="Arial" w:hAnsi="Arial"/>
                <w:sz w:val="12"/>
                <w:szCs w:val="12"/>
                <w:color w:val="auto"/>
              </w:rPr>
              <w:t>(2,934,552)</w:t>
            </w:r>
          </w:p>
        </w:tc>
        <w:tc>
          <w:tcPr>
            <w:tcW w:w="360" w:type="dxa"/>
            <w:vAlign w:val="bottom"/>
            <w:shd w:val="clear" w:color="auto" w:fill="F0F7E7"/>
          </w:tcPr>
          <w:p>
            <w:pPr>
              <w:spacing w:after="0"/>
              <w:rPr>
                <w:sz w:val="11"/>
                <w:szCs w:val="11"/>
                <w:color w:val="auto"/>
              </w:rPr>
            </w:pPr>
          </w:p>
        </w:tc>
        <w:tc>
          <w:tcPr>
            <w:tcW w:w="860" w:type="dxa"/>
            <w:vAlign w:val="bottom"/>
            <w:vMerge w:val="restart"/>
            <w:shd w:val="clear" w:color="auto" w:fill="F0F7E7"/>
          </w:tcPr>
          <w:p>
            <w:pPr>
              <w:jc w:val="right"/>
              <w:ind w:right="38"/>
              <w:spacing w:after="0"/>
              <w:rPr>
                <w:sz w:val="20"/>
                <w:szCs w:val="20"/>
                <w:color w:val="auto"/>
              </w:rPr>
            </w:pPr>
            <w:r>
              <w:rPr>
                <w:rFonts w:ascii="Arial" w:cs="Arial" w:eastAsia="Arial" w:hAnsi="Arial"/>
                <w:sz w:val="12"/>
                <w:szCs w:val="12"/>
                <w:color w:val="auto"/>
              </w:rPr>
              <w:t>(5,753,632)</w:t>
            </w:r>
          </w:p>
        </w:tc>
        <w:tc>
          <w:tcPr>
            <w:tcW w:w="340" w:type="dxa"/>
            <w:vAlign w:val="bottom"/>
            <w:shd w:val="clear" w:color="auto" w:fill="F0F7E7"/>
          </w:tcPr>
          <w:p>
            <w:pPr>
              <w:spacing w:after="0"/>
              <w:rPr>
                <w:sz w:val="11"/>
                <w:szCs w:val="11"/>
                <w:color w:val="auto"/>
              </w:rPr>
            </w:pPr>
          </w:p>
        </w:tc>
        <w:tc>
          <w:tcPr>
            <w:tcW w:w="880" w:type="dxa"/>
            <w:vAlign w:val="bottom"/>
            <w:vMerge w:val="restart"/>
            <w:shd w:val="clear" w:color="auto" w:fill="F0F7E7"/>
          </w:tcPr>
          <w:p>
            <w:pPr>
              <w:jc w:val="right"/>
              <w:ind w:right="58"/>
              <w:spacing w:after="0"/>
              <w:rPr>
                <w:sz w:val="20"/>
                <w:szCs w:val="20"/>
                <w:color w:val="auto"/>
              </w:rPr>
            </w:pPr>
            <w:r>
              <w:rPr>
                <w:rFonts w:ascii="Arial" w:cs="Arial" w:eastAsia="Arial" w:hAnsi="Arial"/>
                <w:sz w:val="12"/>
                <w:szCs w:val="12"/>
                <w:color w:val="auto"/>
              </w:rPr>
              <w:t>9,346,926</w:t>
            </w:r>
          </w:p>
        </w:tc>
        <w:tc>
          <w:tcPr>
            <w:tcW w:w="0" w:type="dxa"/>
            <w:vAlign w:val="bottom"/>
          </w:tcPr>
          <w:p>
            <w:pPr>
              <w:spacing w:after="0"/>
              <w:rPr>
                <w:sz w:val="1"/>
                <w:szCs w:val="1"/>
                <w:color w:val="auto"/>
              </w:rPr>
            </w:pPr>
          </w:p>
        </w:tc>
      </w:tr>
      <w:tr>
        <w:trPr>
          <w:trHeight w:val="128"/>
        </w:trPr>
        <w:tc>
          <w:tcPr>
            <w:tcW w:w="280" w:type="dxa"/>
            <w:vAlign w:val="bottom"/>
            <w:tcBorders>
              <w:bottom w:val="single" w:sz="8" w:color="F0F7E7"/>
            </w:tcBorders>
            <w:shd w:val="clear" w:color="auto" w:fill="F0F7E7"/>
          </w:tcPr>
          <w:p>
            <w:pPr>
              <w:spacing w:after="0"/>
              <w:rPr>
                <w:sz w:val="11"/>
                <w:szCs w:val="11"/>
                <w:color w:val="auto"/>
              </w:rPr>
            </w:pPr>
          </w:p>
        </w:tc>
        <w:tc>
          <w:tcPr>
            <w:tcW w:w="4960" w:type="dxa"/>
            <w:vAlign w:val="bottom"/>
            <w:tcBorders>
              <w:bottom w:val="single" w:sz="8" w:color="F0F7E7"/>
            </w:tcBorders>
            <w:shd w:val="clear" w:color="auto" w:fill="F0F7E7"/>
          </w:tcPr>
          <w:p>
            <w:pPr>
              <w:ind w:left="40"/>
              <w:spacing w:after="0" w:line="128" w:lineRule="exact"/>
              <w:rPr>
                <w:sz w:val="20"/>
                <w:szCs w:val="20"/>
                <w:color w:val="auto"/>
              </w:rPr>
            </w:pPr>
            <w:r>
              <w:rPr>
                <w:rFonts w:ascii="Arial" w:cs="Arial" w:eastAsia="Arial" w:hAnsi="Arial"/>
                <w:sz w:val="12"/>
                <w:szCs w:val="12"/>
                <w:color w:val="auto"/>
              </w:rPr>
              <w:t>and unvested equity awards granted in prior years</w:t>
            </w:r>
          </w:p>
        </w:tc>
        <w:tc>
          <w:tcPr>
            <w:tcW w:w="260" w:type="dxa"/>
            <w:vAlign w:val="bottom"/>
            <w:tcBorders>
              <w:bottom w:val="single" w:sz="8" w:color="F0F7E7"/>
            </w:tcBorders>
            <w:shd w:val="clear" w:color="auto" w:fill="F0F7E7"/>
          </w:tcPr>
          <w:p>
            <w:pPr>
              <w:spacing w:after="0"/>
              <w:rPr>
                <w:sz w:val="11"/>
                <w:szCs w:val="11"/>
                <w:color w:val="auto"/>
              </w:rPr>
            </w:pPr>
          </w:p>
        </w:tc>
        <w:tc>
          <w:tcPr>
            <w:tcW w:w="900" w:type="dxa"/>
            <w:vAlign w:val="bottom"/>
            <w:tcBorders>
              <w:bottom w:val="single" w:sz="8" w:color="F0F7E7"/>
            </w:tcBorders>
            <w:vMerge w:val="continue"/>
            <w:shd w:val="clear" w:color="auto" w:fill="F0F7E7"/>
          </w:tcPr>
          <w:p>
            <w:pPr>
              <w:spacing w:after="0"/>
              <w:rPr>
                <w:sz w:val="11"/>
                <w:szCs w:val="11"/>
                <w:color w:val="auto"/>
              </w:rPr>
            </w:pPr>
          </w:p>
        </w:tc>
        <w:tc>
          <w:tcPr>
            <w:tcW w:w="320" w:type="dxa"/>
            <w:vAlign w:val="bottom"/>
            <w:tcBorders>
              <w:bottom w:val="single" w:sz="8" w:color="F0F7E7"/>
            </w:tcBorders>
            <w:shd w:val="clear" w:color="auto" w:fill="F0F7E7"/>
          </w:tcPr>
          <w:p>
            <w:pPr>
              <w:spacing w:after="0"/>
              <w:rPr>
                <w:sz w:val="11"/>
                <w:szCs w:val="11"/>
                <w:color w:val="auto"/>
              </w:rPr>
            </w:pPr>
          </w:p>
        </w:tc>
        <w:tc>
          <w:tcPr>
            <w:tcW w:w="900" w:type="dxa"/>
            <w:vAlign w:val="bottom"/>
            <w:tcBorders>
              <w:bottom w:val="single" w:sz="8" w:color="F0F7E7"/>
            </w:tcBorders>
            <w:vMerge w:val="continue"/>
            <w:shd w:val="clear" w:color="auto" w:fill="F0F7E7"/>
          </w:tcPr>
          <w:p>
            <w:pPr>
              <w:spacing w:after="0"/>
              <w:rPr>
                <w:sz w:val="11"/>
                <w:szCs w:val="11"/>
                <w:color w:val="auto"/>
              </w:rPr>
            </w:pPr>
          </w:p>
        </w:tc>
        <w:tc>
          <w:tcPr>
            <w:tcW w:w="300" w:type="dxa"/>
            <w:vAlign w:val="bottom"/>
            <w:tcBorders>
              <w:bottom w:val="single" w:sz="8" w:color="F0F7E7"/>
            </w:tcBorders>
            <w:shd w:val="clear" w:color="auto" w:fill="F0F7E7"/>
          </w:tcPr>
          <w:p>
            <w:pPr>
              <w:spacing w:after="0"/>
              <w:rPr>
                <w:sz w:val="11"/>
                <w:szCs w:val="11"/>
                <w:color w:val="auto"/>
              </w:rPr>
            </w:pPr>
          </w:p>
        </w:tc>
        <w:tc>
          <w:tcPr>
            <w:tcW w:w="900" w:type="dxa"/>
            <w:vAlign w:val="bottom"/>
            <w:tcBorders>
              <w:bottom w:val="single" w:sz="8" w:color="F0F7E7"/>
            </w:tcBorders>
            <w:vMerge w:val="continue"/>
            <w:shd w:val="clear" w:color="auto" w:fill="F0F7E7"/>
          </w:tcPr>
          <w:p>
            <w:pPr>
              <w:spacing w:after="0"/>
              <w:rPr>
                <w:sz w:val="11"/>
                <w:szCs w:val="11"/>
                <w:color w:val="auto"/>
              </w:rPr>
            </w:pPr>
          </w:p>
        </w:tc>
        <w:tc>
          <w:tcPr>
            <w:tcW w:w="360" w:type="dxa"/>
            <w:vAlign w:val="bottom"/>
            <w:tcBorders>
              <w:bottom w:val="single" w:sz="8" w:color="F0F7E7"/>
            </w:tcBorders>
            <w:shd w:val="clear" w:color="auto" w:fill="F0F7E7"/>
          </w:tcPr>
          <w:p>
            <w:pPr>
              <w:spacing w:after="0"/>
              <w:rPr>
                <w:sz w:val="11"/>
                <w:szCs w:val="11"/>
                <w:color w:val="auto"/>
              </w:rPr>
            </w:pPr>
          </w:p>
        </w:tc>
        <w:tc>
          <w:tcPr>
            <w:tcW w:w="860" w:type="dxa"/>
            <w:vAlign w:val="bottom"/>
            <w:tcBorders>
              <w:bottom w:val="single" w:sz="8" w:color="F0F7E7"/>
            </w:tcBorders>
            <w:vMerge w:val="continue"/>
            <w:shd w:val="clear" w:color="auto" w:fill="F0F7E7"/>
          </w:tcPr>
          <w:p>
            <w:pPr>
              <w:spacing w:after="0"/>
              <w:rPr>
                <w:sz w:val="11"/>
                <w:szCs w:val="11"/>
                <w:color w:val="auto"/>
              </w:rPr>
            </w:pPr>
          </w:p>
        </w:tc>
        <w:tc>
          <w:tcPr>
            <w:tcW w:w="340" w:type="dxa"/>
            <w:vAlign w:val="bottom"/>
            <w:tcBorders>
              <w:bottom w:val="single" w:sz="8" w:color="F0F7E7"/>
            </w:tcBorders>
            <w:shd w:val="clear" w:color="auto" w:fill="F0F7E7"/>
          </w:tcPr>
          <w:p>
            <w:pPr>
              <w:spacing w:after="0"/>
              <w:rPr>
                <w:sz w:val="11"/>
                <w:szCs w:val="11"/>
                <w:color w:val="auto"/>
              </w:rPr>
            </w:pPr>
          </w:p>
        </w:tc>
        <w:tc>
          <w:tcPr>
            <w:tcW w:w="880" w:type="dxa"/>
            <w:vAlign w:val="bottom"/>
            <w:tcBorders>
              <w:bottom w:val="single" w:sz="8" w:color="F0F7E7"/>
            </w:tcBorders>
            <w:vMerge w:val="continue"/>
            <w:shd w:val="clear" w:color="auto" w:fill="F0F7E7"/>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80" w:type="dxa"/>
            <w:vAlign w:val="bottom"/>
          </w:tcPr>
          <w:p>
            <w:pPr>
              <w:spacing w:after="0"/>
              <w:rPr>
                <w:sz w:val="11"/>
                <w:szCs w:val="11"/>
                <w:color w:val="auto"/>
              </w:rPr>
            </w:pPr>
          </w:p>
        </w:tc>
        <w:tc>
          <w:tcPr>
            <w:tcW w:w="4960" w:type="dxa"/>
            <w:vAlign w:val="bottom"/>
          </w:tcPr>
          <w:p>
            <w:pPr>
              <w:ind w:left="40"/>
              <w:spacing w:after="0" w:line="132" w:lineRule="exact"/>
              <w:rPr>
                <w:sz w:val="20"/>
                <w:szCs w:val="20"/>
                <w:color w:val="auto"/>
              </w:rPr>
            </w:pPr>
            <w:r>
              <w:rPr>
                <w:rFonts w:ascii="Arial" w:cs="Arial" w:eastAsia="Arial" w:hAnsi="Arial"/>
                <w:sz w:val="12"/>
                <w:szCs w:val="12"/>
                <w:i w:val="1"/>
                <w:iCs w:val="1"/>
                <w:color w:val="auto"/>
              </w:rPr>
              <w:t xml:space="preserve">Plus (less), </w:t>
            </w:r>
            <w:r>
              <w:rPr>
                <w:rFonts w:ascii="Arial" w:cs="Arial" w:eastAsia="Arial" w:hAnsi="Arial"/>
                <w:sz w:val="12"/>
                <w:szCs w:val="12"/>
                <w:color w:val="auto"/>
              </w:rPr>
              <w:t>change in fair value from prior year end to vesting date of equity awards</w:t>
            </w:r>
          </w:p>
        </w:tc>
        <w:tc>
          <w:tcPr>
            <w:tcW w:w="260" w:type="dxa"/>
            <w:vAlign w:val="bottom"/>
          </w:tcPr>
          <w:p>
            <w:pPr>
              <w:spacing w:after="0"/>
              <w:rPr>
                <w:sz w:val="11"/>
                <w:szCs w:val="11"/>
                <w:color w:val="auto"/>
              </w:rPr>
            </w:pPr>
          </w:p>
        </w:tc>
        <w:tc>
          <w:tcPr>
            <w:tcW w:w="900" w:type="dxa"/>
            <w:vAlign w:val="bottom"/>
            <w:vMerge w:val="restart"/>
          </w:tcPr>
          <w:p>
            <w:pPr>
              <w:jc w:val="right"/>
              <w:ind w:right="38"/>
              <w:spacing w:after="0"/>
              <w:rPr>
                <w:sz w:val="20"/>
                <w:szCs w:val="20"/>
                <w:color w:val="auto"/>
              </w:rPr>
            </w:pPr>
            <w:r>
              <w:rPr>
                <w:rFonts w:ascii="Arial" w:cs="Arial" w:eastAsia="Arial" w:hAnsi="Arial"/>
                <w:sz w:val="12"/>
                <w:szCs w:val="12"/>
                <w:color w:val="auto"/>
              </w:rPr>
              <w:t>29,755</w:t>
            </w:r>
          </w:p>
        </w:tc>
        <w:tc>
          <w:tcPr>
            <w:tcW w:w="320" w:type="dxa"/>
            <w:vAlign w:val="bottom"/>
          </w:tcPr>
          <w:p>
            <w:pPr>
              <w:spacing w:after="0"/>
              <w:rPr>
                <w:sz w:val="11"/>
                <w:szCs w:val="11"/>
                <w:color w:val="auto"/>
              </w:rPr>
            </w:pPr>
          </w:p>
        </w:tc>
        <w:tc>
          <w:tcPr>
            <w:tcW w:w="900" w:type="dxa"/>
            <w:vAlign w:val="bottom"/>
            <w:vMerge w:val="restart"/>
          </w:tcPr>
          <w:p>
            <w:pPr>
              <w:jc w:val="right"/>
              <w:ind w:right="38"/>
              <w:spacing w:after="0"/>
              <w:rPr>
                <w:sz w:val="20"/>
                <w:szCs w:val="20"/>
                <w:color w:val="auto"/>
              </w:rPr>
            </w:pPr>
            <w:r>
              <w:rPr>
                <w:rFonts w:ascii="Arial" w:cs="Arial" w:eastAsia="Arial" w:hAnsi="Arial"/>
                <w:sz w:val="12"/>
                <w:szCs w:val="12"/>
                <w:color w:val="auto"/>
              </w:rPr>
              <w:t>(286,732)</w:t>
            </w:r>
          </w:p>
        </w:tc>
        <w:tc>
          <w:tcPr>
            <w:tcW w:w="300" w:type="dxa"/>
            <w:vAlign w:val="bottom"/>
          </w:tcPr>
          <w:p>
            <w:pPr>
              <w:spacing w:after="0"/>
              <w:rPr>
                <w:sz w:val="11"/>
                <w:szCs w:val="11"/>
                <w:color w:val="auto"/>
              </w:rPr>
            </w:pPr>
          </w:p>
        </w:tc>
        <w:tc>
          <w:tcPr>
            <w:tcW w:w="900" w:type="dxa"/>
            <w:vAlign w:val="bottom"/>
            <w:vMerge w:val="restart"/>
          </w:tcPr>
          <w:p>
            <w:pPr>
              <w:jc w:val="right"/>
              <w:ind w:right="38"/>
              <w:spacing w:after="0"/>
              <w:rPr>
                <w:sz w:val="20"/>
                <w:szCs w:val="20"/>
                <w:color w:val="auto"/>
              </w:rPr>
            </w:pPr>
            <w:r>
              <w:rPr>
                <w:rFonts w:ascii="Arial" w:cs="Arial" w:eastAsia="Arial" w:hAnsi="Arial"/>
                <w:sz w:val="12"/>
                <w:szCs w:val="12"/>
                <w:color w:val="auto"/>
              </w:rPr>
              <w:t>(1,385,132)</w:t>
            </w:r>
          </w:p>
        </w:tc>
        <w:tc>
          <w:tcPr>
            <w:tcW w:w="360" w:type="dxa"/>
            <w:vAlign w:val="bottom"/>
          </w:tcPr>
          <w:p>
            <w:pPr>
              <w:spacing w:after="0"/>
              <w:rPr>
                <w:sz w:val="11"/>
                <w:szCs w:val="11"/>
                <w:color w:val="auto"/>
              </w:rPr>
            </w:pPr>
          </w:p>
        </w:tc>
        <w:tc>
          <w:tcPr>
            <w:tcW w:w="860" w:type="dxa"/>
            <w:vAlign w:val="bottom"/>
            <w:vMerge w:val="restart"/>
          </w:tcPr>
          <w:p>
            <w:pPr>
              <w:jc w:val="right"/>
              <w:ind w:right="38"/>
              <w:spacing w:after="0"/>
              <w:rPr>
                <w:sz w:val="20"/>
                <w:szCs w:val="20"/>
                <w:color w:val="auto"/>
              </w:rPr>
            </w:pPr>
            <w:r>
              <w:rPr>
                <w:rFonts w:ascii="Arial" w:cs="Arial" w:eastAsia="Arial" w:hAnsi="Arial"/>
                <w:sz w:val="12"/>
                <w:szCs w:val="12"/>
                <w:color w:val="auto"/>
              </w:rPr>
              <w:t>(1,827,851)</w:t>
            </w:r>
          </w:p>
        </w:tc>
        <w:tc>
          <w:tcPr>
            <w:tcW w:w="340" w:type="dxa"/>
            <w:vAlign w:val="bottom"/>
          </w:tcPr>
          <w:p>
            <w:pPr>
              <w:spacing w:after="0"/>
              <w:rPr>
                <w:sz w:val="11"/>
                <w:szCs w:val="11"/>
                <w:color w:val="auto"/>
              </w:rPr>
            </w:pPr>
          </w:p>
        </w:tc>
        <w:tc>
          <w:tcPr>
            <w:tcW w:w="880" w:type="dxa"/>
            <w:vAlign w:val="bottom"/>
            <w:vMerge w:val="restart"/>
          </w:tcPr>
          <w:p>
            <w:pPr>
              <w:jc w:val="right"/>
              <w:ind w:right="58"/>
              <w:spacing w:after="0"/>
              <w:rPr>
                <w:sz w:val="20"/>
                <w:szCs w:val="20"/>
                <w:color w:val="auto"/>
              </w:rPr>
            </w:pPr>
            <w:r>
              <w:rPr>
                <w:rFonts w:ascii="Arial" w:cs="Arial" w:eastAsia="Arial" w:hAnsi="Arial"/>
                <w:sz w:val="12"/>
                <w:szCs w:val="12"/>
                <w:color w:val="auto"/>
              </w:rPr>
              <w:t>1,781,748</w:t>
            </w:r>
          </w:p>
        </w:tc>
        <w:tc>
          <w:tcPr>
            <w:tcW w:w="0" w:type="dxa"/>
            <w:vAlign w:val="bottom"/>
          </w:tcPr>
          <w:p>
            <w:pPr>
              <w:spacing w:after="0"/>
              <w:rPr>
                <w:sz w:val="1"/>
                <w:szCs w:val="1"/>
                <w:color w:val="auto"/>
              </w:rPr>
            </w:pPr>
          </w:p>
        </w:tc>
      </w:tr>
      <w:tr>
        <w:trPr>
          <w:trHeight w:val="95"/>
        </w:trPr>
        <w:tc>
          <w:tcPr>
            <w:tcW w:w="280" w:type="dxa"/>
            <w:vAlign w:val="bottom"/>
          </w:tcPr>
          <w:p>
            <w:pPr>
              <w:spacing w:after="0"/>
              <w:rPr>
                <w:sz w:val="8"/>
                <w:szCs w:val="8"/>
                <w:color w:val="auto"/>
              </w:rPr>
            </w:pPr>
          </w:p>
        </w:tc>
        <w:tc>
          <w:tcPr>
            <w:tcW w:w="4960" w:type="dxa"/>
            <w:vAlign w:val="bottom"/>
            <w:vMerge w:val="restart"/>
          </w:tcPr>
          <w:p>
            <w:pPr>
              <w:ind w:left="40"/>
              <w:spacing w:after="0"/>
              <w:rPr>
                <w:sz w:val="20"/>
                <w:szCs w:val="20"/>
                <w:color w:val="auto"/>
              </w:rPr>
            </w:pPr>
            <w:r>
              <w:rPr>
                <w:rFonts w:ascii="Arial" w:cs="Arial" w:eastAsia="Arial" w:hAnsi="Arial"/>
                <w:sz w:val="12"/>
                <w:szCs w:val="12"/>
                <w:color w:val="auto"/>
              </w:rPr>
              <w:t>granted in prior years that vested in the year</w:t>
            </w:r>
          </w:p>
        </w:tc>
        <w:tc>
          <w:tcPr>
            <w:tcW w:w="26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36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3"/>
        </w:trPr>
        <w:tc>
          <w:tcPr>
            <w:tcW w:w="280" w:type="dxa"/>
            <w:vAlign w:val="bottom"/>
          </w:tcPr>
          <w:p>
            <w:pPr>
              <w:spacing w:after="0"/>
              <w:rPr>
                <w:sz w:val="4"/>
                <w:szCs w:val="4"/>
                <w:color w:val="auto"/>
              </w:rPr>
            </w:pPr>
          </w:p>
        </w:tc>
        <w:tc>
          <w:tcPr>
            <w:tcW w:w="496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320" w:type="dxa"/>
            <w:vAlign w:val="bottom"/>
          </w:tcPr>
          <w:p>
            <w:pPr>
              <w:spacing w:after="0"/>
              <w:rPr>
                <w:sz w:val="4"/>
                <w:szCs w:val="4"/>
                <w:color w:val="auto"/>
              </w:rPr>
            </w:pPr>
          </w:p>
        </w:tc>
        <w:tc>
          <w:tcPr>
            <w:tcW w:w="9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60" w:type="dxa"/>
            <w:vAlign w:val="bottom"/>
          </w:tcPr>
          <w:p>
            <w:pPr>
              <w:spacing w:after="0"/>
              <w:rPr>
                <w:sz w:val="4"/>
                <w:szCs w:val="4"/>
                <w:color w:val="auto"/>
              </w:rPr>
            </w:pPr>
          </w:p>
        </w:tc>
        <w:tc>
          <w:tcPr>
            <w:tcW w:w="34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2"/>
        </w:trPr>
        <w:tc>
          <w:tcPr>
            <w:tcW w:w="280" w:type="dxa"/>
            <w:vAlign w:val="bottom"/>
            <w:shd w:val="clear" w:color="auto" w:fill="F0F7E7"/>
          </w:tcPr>
          <w:p>
            <w:pPr>
              <w:spacing w:after="0"/>
              <w:rPr>
                <w:sz w:val="11"/>
                <w:szCs w:val="11"/>
                <w:color w:val="auto"/>
              </w:rPr>
            </w:pPr>
          </w:p>
        </w:tc>
        <w:tc>
          <w:tcPr>
            <w:tcW w:w="4960" w:type="dxa"/>
            <w:vAlign w:val="bottom"/>
            <w:shd w:val="clear" w:color="auto" w:fill="F0F7E7"/>
          </w:tcPr>
          <w:p>
            <w:pPr>
              <w:ind w:left="40"/>
              <w:spacing w:after="0" w:line="132" w:lineRule="exact"/>
              <w:rPr>
                <w:sz w:val="20"/>
                <w:szCs w:val="20"/>
                <w:color w:val="auto"/>
              </w:rPr>
            </w:pPr>
            <w:r>
              <w:rPr>
                <w:rFonts w:ascii="Arial" w:cs="Arial" w:eastAsia="Arial" w:hAnsi="Arial"/>
                <w:sz w:val="12"/>
                <w:szCs w:val="12"/>
                <w:i w:val="1"/>
                <w:iCs w:val="1"/>
                <w:color w:val="auto"/>
              </w:rPr>
              <w:t xml:space="preserve">Less, </w:t>
            </w:r>
            <w:r>
              <w:rPr>
                <w:rFonts w:ascii="Arial" w:cs="Arial" w:eastAsia="Arial" w:hAnsi="Arial"/>
                <w:sz w:val="12"/>
                <w:szCs w:val="12"/>
                <w:color w:val="auto"/>
              </w:rPr>
              <w:t>prior year-end fair value of any equity awards that failed to meet vesting conditions</w:t>
            </w:r>
          </w:p>
        </w:tc>
        <w:tc>
          <w:tcPr>
            <w:tcW w:w="260" w:type="dxa"/>
            <w:vAlign w:val="bottom"/>
            <w:shd w:val="clear" w:color="auto" w:fill="F0F7E7"/>
          </w:tcPr>
          <w:p>
            <w:pPr>
              <w:spacing w:after="0"/>
              <w:rPr>
                <w:sz w:val="11"/>
                <w:szCs w:val="11"/>
                <w:color w:val="auto"/>
              </w:rPr>
            </w:pPr>
          </w:p>
        </w:tc>
        <w:tc>
          <w:tcPr>
            <w:tcW w:w="900" w:type="dxa"/>
            <w:vAlign w:val="bottom"/>
            <w:vMerge w:val="restart"/>
            <w:shd w:val="clear" w:color="auto" w:fill="F0F7E7"/>
          </w:tcPr>
          <w:p>
            <w:pPr>
              <w:jc w:val="right"/>
              <w:ind w:right="38"/>
              <w:spacing w:after="0"/>
              <w:rPr>
                <w:sz w:val="20"/>
                <w:szCs w:val="20"/>
                <w:color w:val="auto"/>
              </w:rPr>
            </w:pPr>
            <w:r>
              <w:rPr>
                <w:rFonts w:ascii="Arial" w:cs="Arial" w:eastAsia="Arial" w:hAnsi="Arial"/>
                <w:sz w:val="12"/>
                <w:szCs w:val="12"/>
                <w:color w:val="auto"/>
              </w:rPr>
              <w:t>—</w:t>
            </w:r>
          </w:p>
        </w:tc>
        <w:tc>
          <w:tcPr>
            <w:tcW w:w="320" w:type="dxa"/>
            <w:vAlign w:val="bottom"/>
            <w:shd w:val="clear" w:color="auto" w:fill="F0F7E7"/>
          </w:tcPr>
          <w:p>
            <w:pPr>
              <w:spacing w:after="0"/>
              <w:rPr>
                <w:sz w:val="11"/>
                <w:szCs w:val="11"/>
                <w:color w:val="auto"/>
              </w:rPr>
            </w:pPr>
          </w:p>
        </w:tc>
        <w:tc>
          <w:tcPr>
            <w:tcW w:w="900" w:type="dxa"/>
            <w:vAlign w:val="bottom"/>
            <w:vMerge w:val="restart"/>
            <w:shd w:val="clear" w:color="auto" w:fill="F0F7E7"/>
          </w:tcPr>
          <w:p>
            <w:pPr>
              <w:jc w:val="right"/>
              <w:ind w:right="38"/>
              <w:spacing w:after="0"/>
              <w:rPr>
                <w:sz w:val="20"/>
                <w:szCs w:val="20"/>
                <w:color w:val="auto"/>
              </w:rPr>
            </w:pPr>
            <w:r>
              <w:rPr>
                <w:rFonts w:ascii="Arial" w:cs="Arial" w:eastAsia="Arial" w:hAnsi="Arial"/>
                <w:sz w:val="12"/>
                <w:szCs w:val="12"/>
                <w:color w:val="auto"/>
              </w:rPr>
              <w:t>—</w:t>
            </w:r>
          </w:p>
        </w:tc>
        <w:tc>
          <w:tcPr>
            <w:tcW w:w="300" w:type="dxa"/>
            <w:vAlign w:val="bottom"/>
            <w:shd w:val="clear" w:color="auto" w:fill="F0F7E7"/>
          </w:tcPr>
          <w:p>
            <w:pPr>
              <w:spacing w:after="0"/>
              <w:rPr>
                <w:sz w:val="11"/>
                <w:szCs w:val="11"/>
                <w:color w:val="auto"/>
              </w:rPr>
            </w:pPr>
          </w:p>
        </w:tc>
        <w:tc>
          <w:tcPr>
            <w:tcW w:w="900" w:type="dxa"/>
            <w:vAlign w:val="bottom"/>
            <w:vMerge w:val="restart"/>
            <w:shd w:val="clear" w:color="auto" w:fill="F0F7E7"/>
          </w:tcPr>
          <w:p>
            <w:pPr>
              <w:jc w:val="right"/>
              <w:ind w:right="38"/>
              <w:spacing w:after="0"/>
              <w:rPr>
                <w:sz w:val="20"/>
                <w:szCs w:val="20"/>
                <w:color w:val="auto"/>
              </w:rPr>
            </w:pPr>
            <w:r>
              <w:rPr>
                <w:rFonts w:ascii="Arial" w:cs="Arial" w:eastAsia="Arial" w:hAnsi="Arial"/>
                <w:sz w:val="12"/>
                <w:szCs w:val="12"/>
                <w:color w:val="auto"/>
              </w:rPr>
              <w:t>—</w:t>
            </w:r>
          </w:p>
        </w:tc>
        <w:tc>
          <w:tcPr>
            <w:tcW w:w="360" w:type="dxa"/>
            <w:vAlign w:val="bottom"/>
            <w:shd w:val="clear" w:color="auto" w:fill="F0F7E7"/>
          </w:tcPr>
          <w:p>
            <w:pPr>
              <w:spacing w:after="0"/>
              <w:rPr>
                <w:sz w:val="11"/>
                <w:szCs w:val="11"/>
                <w:color w:val="auto"/>
              </w:rPr>
            </w:pPr>
          </w:p>
        </w:tc>
        <w:tc>
          <w:tcPr>
            <w:tcW w:w="860" w:type="dxa"/>
            <w:vAlign w:val="bottom"/>
            <w:vMerge w:val="restart"/>
            <w:shd w:val="clear" w:color="auto" w:fill="F0F7E7"/>
          </w:tcPr>
          <w:p>
            <w:pPr>
              <w:jc w:val="right"/>
              <w:ind w:right="38"/>
              <w:spacing w:after="0"/>
              <w:rPr>
                <w:sz w:val="20"/>
                <w:szCs w:val="20"/>
                <w:color w:val="auto"/>
              </w:rPr>
            </w:pPr>
            <w:r>
              <w:rPr>
                <w:rFonts w:ascii="Arial" w:cs="Arial" w:eastAsia="Arial" w:hAnsi="Arial"/>
                <w:sz w:val="12"/>
                <w:szCs w:val="12"/>
                <w:color w:val="auto"/>
              </w:rPr>
              <w:t>—</w:t>
            </w:r>
          </w:p>
        </w:tc>
        <w:tc>
          <w:tcPr>
            <w:tcW w:w="340" w:type="dxa"/>
            <w:vAlign w:val="bottom"/>
            <w:shd w:val="clear" w:color="auto" w:fill="F0F7E7"/>
          </w:tcPr>
          <w:p>
            <w:pPr>
              <w:spacing w:after="0"/>
              <w:rPr>
                <w:sz w:val="11"/>
                <w:szCs w:val="11"/>
                <w:color w:val="auto"/>
              </w:rPr>
            </w:pPr>
          </w:p>
        </w:tc>
        <w:tc>
          <w:tcPr>
            <w:tcW w:w="880" w:type="dxa"/>
            <w:vAlign w:val="bottom"/>
            <w:vMerge w:val="restart"/>
            <w:shd w:val="clear" w:color="auto" w:fill="F0F7E7"/>
          </w:tcPr>
          <w:p>
            <w:pPr>
              <w:jc w:val="right"/>
              <w:ind w:right="58"/>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8"/>
        </w:trPr>
        <w:tc>
          <w:tcPr>
            <w:tcW w:w="280" w:type="dxa"/>
            <w:vAlign w:val="bottom"/>
            <w:tcBorders>
              <w:bottom w:val="single" w:sz="8" w:color="F0F7E7"/>
            </w:tcBorders>
            <w:shd w:val="clear" w:color="auto" w:fill="F0F7E7"/>
          </w:tcPr>
          <w:p>
            <w:pPr>
              <w:spacing w:after="0"/>
              <w:rPr>
                <w:sz w:val="11"/>
                <w:szCs w:val="11"/>
                <w:color w:val="auto"/>
              </w:rPr>
            </w:pPr>
          </w:p>
        </w:tc>
        <w:tc>
          <w:tcPr>
            <w:tcW w:w="4960" w:type="dxa"/>
            <w:vAlign w:val="bottom"/>
            <w:tcBorders>
              <w:bottom w:val="single" w:sz="8" w:color="F0F7E7"/>
            </w:tcBorders>
            <w:shd w:val="clear" w:color="auto" w:fill="F0F7E7"/>
          </w:tcPr>
          <w:p>
            <w:pPr>
              <w:ind w:left="40"/>
              <w:spacing w:after="0" w:line="128" w:lineRule="exact"/>
              <w:rPr>
                <w:sz w:val="20"/>
                <w:szCs w:val="20"/>
                <w:color w:val="auto"/>
              </w:rPr>
            </w:pPr>
            <w:r>
              <w:rPr>
                <w:rFonts w:ascii="Arial" w:cs="Arial" w:eastAsia="Arial" w:hAnsi="Arial"/>
                <w:sz w:val="12"/>
                <w:szCs w:val="12"/>
                <w:color w:val="auto"/>
              </w:rPr>
              <w:t>in the year</w:t>
            </w:r>
          </w:p>
        </w:tc>
        <w:tc>
          <w:tcPr>
            <w:tcW w:w="260" w:type="dxa"/>
            <w:vAlign w:val="bottom"/>
            <w:tcBorders>
              <w:bottom w:val="single" w:sz="8" w:color="F0F7E7"/>
            </w:tcBorders>
            <w:shd w:val="clear" w:color="auto" w:fill="F0F7E7"/>
          </w:tcPr>
          <w:p>
            <w:pPr>
              <w:spacing w:after="0"/>
              <w:rPr>
                <w:sz w:val="11"/>
                <w:szCs w:val="11"/>
                <w:color w:val="auto"/>
              </w:rPr>
            </w:pPr>
          </w:p>
        </w:tc>
        <w:tc>
          <w:tcPr>
            <w:tcW w:w="900" w:type="dxa"/>
            <w:vAlign w:val="bottom"/>
            <w:tcBorders>
              <w:bottom w:val="single" w:sz="8" w:color="F0F7E7"/>
            </w:tcBorders>
            <w:vMerge w:val="continue"/>
            <w:shd w:val="clear" w:color="auto" w:fill="F0F7E7"/>
          </w:tcPr>
          <w:p>
            <w:pPr>
              <w:spacing w:after="0"/>
              <w:rPr>
                <w:sz w:val="11"/>
                <w:szCs w:val="11"/>
                <w:color w:val="auto"/>
              </w:rPr>
            </w:pPr>
          </w:p>
        </w:tc>
        <w:tc>
          <w:tcPr>
            <w:tcW w:w="320" w:type="dxa"/>
            <w:vAlign w:val="bottom"/>
            <w:tcBorders>
              <w:bottom w:val="single" w:sz="8" w:color="F0F7E7"/>
            </w:tcBorders>
            <w:shd w:val="clear" w:color="auto" w:fill="F0F7E7"/>
          </w:tcPr>
          <w:p>
            <w:pPr>
              <w:spacing w:after="0"/>
              <w:rPr>
                <w:sz w:val="11"/>
                <w:szCs w:val="11"/>
                <w:color w:val="auto"/>
              </w:rPr>
            </w:pPr>
          </w:p>
        </w:tc>
        <w:tc>
          <w:tcPr>
            <w:tcW w:w="900" w:type="dxa"/>
            <w:vAlign w:val="bottom"/>
            <w:tcBorders>
              <w:bottom w:val="single" w:sz="8" w:color="F0F7E7"/>
            </w:tcBorders>
            <w:vMerge w:val="continue"/>
            <w:shd w:val="clear" w:color="auto" w:fill="F0F7E7"/>
          </w:tcPr>
          <w:p>
            <w:pPr>
              <w:spacing w:after="0"/>
              <w:rPr>
                <w:sz w:val="11"/>
                <w:szCs w:val="11"/>
                <w:color w:val="auto"/>
              </w:rPr>
            </w:pPr>
          </w:p>
        </w:tc>
        <w:tc>
          <w:tcPr>
            <w:tcW w:w="300" w:type="dxa"/>
            <w:vAlign w:val="bottom"/>
            <w:tcBorders>
              <w:bottom w:val="single" w:sz="8" w:color="F0F7E7"/>
            </w:tcBorders>
            <w:shd w:val="clear" w:color="auto" w:fill="F0F7E7"/>
          </w:tcPr>
          <w:p>
            <w:pPr>
              <w:spacing w:after="0"/>
              <w:rPr>
                <w:sz w:val="11"/>
                <w:szCs w:val="11"/>
                <w:color w:val="auto"/>
              </w:rPr>
            </w:pPr>
          </w:p>
        </w:tc>
        <w:tc>
          <w:tcPr>
            <w:tcW w:w="900" w:type="dxa"/>
            <w:vAlign w:val="bottom"/>
            <w:tcBorders>
              <w:bottom w:val="single" w:sz="8" w:color="F0F7E7"/>
            </w:tcBorders>
            <w:vMerge w:val="continue"/>
            <w:shd w:val="clear" w:color="auto" w:fill="F0F7E7"/>
          </w:tcPr>
          <w:p>
            <w:pPr>
              <w:spacing w:after="0"/>
              <w:rPr>
                <w:sz w:val="11"/>
                <w:szCs w:val="11"/>
                <w:color w:val="auto"/>
              </w:rPr>
            </w:pPr>
          </w:p>
        </w:tc>
        <w:tc>
          <w:tcPr>
            <w:tcW w:w="360" w:type="dxa"/>
            <w:vAlign w:val="bottom"/>
            <w:tcBorders>
              <w:bottom w:val="single" w:sz="8" w:color="F0F7E7"/>
            </w:tcBorders>
            <w:shd w:val="clear" w:color="auto" w:fill="F0F7E7"/>
          </w:tcPr>
          <w:p>
            <w:pPr>
              <w:spacing w:after="0"/>
              <w:rPr>
                <w:sz w:val="11"/>
                <w:szCs w:val="11"/>
                <w:color w:val="auto"/>
              </w:rPr>
            </w:pPr>
          </w:p>
        </w:tc>
        <w:tc>
          <w:tcPr>
            <w:tcW w:w="860" w:type="dxa"/>
            <w:vAlign w:val="bottom"/>
            <w:tcBorders>
              <w:bottom w:val="single" w:sz="8" w:color="F0F7E7"/>
            </w:tcBorders>
            <w:vMerge w:val="continue"/>
            <w:shd w:val="clear" w:color="auto" w:fill="F0F7E7"/>
          </w:tcPr>
          <w:p>
            <w:pPr>
              <w:spacing w:after="0"/>
              <w:rPr>
                <w:sz w:val="11"/>
                <w:szCs w:val="11"/>
                <w:color w:val="auto"/>
              </w:rPr>
            </w:pPr>
          </w:p>
        </w:tc>
        <w:tc>
          <w:tcPr>
            <w:tcW w:w="340" w:type="dxa"/>
            <w:vAlign w:val="bottom"/>
            <w:tcBorders>
              <w:bottom w:val="single" w:sz="8" w:color="F0F7E7"/>
            </w:tcBorders>
            <w:shd w:val="clear" w:color="auto" w:fill="F0F7E7"/>
          </w:tcPr>
          <w:p>
            <w:pPr>
              <w:spacing w:after="0"/>
              <w:rPr>
                <w:sz w:val="11"/>
                <w:szCs w:val="11"/>
                <w:color w:val="auto"/>
              </w:rPr>
            </w:pPr>
          </w:p>
        </w:tc>
        <w:tc>
          <w:tcPr>
            <w:tcW w:w="880" w:type="dxa"/>
            <w:vAlign w:val="bottom"/>
            <w:tcBorders>
              <w:bottom w:val="single" w:sz="8" w:color="F0F7E7"/>
            </w:tcBorders>
            <w:vMerge w:val="continue"/>
            <w:shd w:val="clear" w:color="auto" w:fill="F0F7E7"/>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80" w:type="dxa"/>
            <w:vAlign w:val="bottom"/>
          </w:tcPr>
          <w:p>
            <w:pPr>
              <w:spacing w:after="0"/>
              <w:rPr>
                <w:sz w:val="12"/>
                <w:szCs w:val="12"/>
                <w:color w:val="auto"/>
              </w:rPr>
            </w:pPr>
          </w:p>
        </w:tc>
        <w:tc>
          <w:tcPr>
            <w:tcW w:w="4960" w:type="dxa"/>
            <w:vAlign w:val="bottom"/>
            <w:tcBorders>
              <w:bottom w:val="single" w:sz="8" w:color="7CBD3F"/>
            </w:tcBorders>
          </w:tcPr>
          <w:p>
            <w:pPr>
              <w:ind w:left="40"/>
              <w:spacing w:after="0"/>
              <w:rPr>
                <w:sz w:val="20"/>
                <w:szCs w:val="20"/>
                <w:color w:val="auto"/>
              </w:rPr>
            </w:pPr>
            <w:r>
              <w:rPr>
                <w:rFonts w:ascii="Arial" w:cs="Arial" w:eastAsia="Arial" w:hAnsi="Arial"/>
                <w:sz w:val="12"/>
                <w:szCs w:val="12"/>
                <w:b w:val="1"/>
                <w:bCs w:val="1"/>
                <w:color w:val="auto"/>
              </w:rPr>
              <w:t>Compensation Actually Paid to Dr. Kakkis</w:t>
            </w:r>
          </w:p>
        </w:tc>
        <w:tc>
          <w:tcPr>
            <w:tcW w:w="260" w:type="dxa"/>
            <w:vAlign w:val="bottom"/>
            <w:tcBorders>
              <w:bottom w:val="single" w:sz="8" w:color="7CBD3F"/>
            </w:tcBorders>
          </w:tcPr>
          <w:p>
            <w:pPr>
              <w:jc w:val="right"/>
              <w:ind w:right="38"/>
              <w:spacing w:after="0"/>
              <w:rPr>
                <w:sz w:val="20"/>
                <w:szCs w:val="20"/>
                <w:color w:val="auto"/>
              </w:rPr>
            </w:pPr>
            <w:r>
              <w:rPr>
                <w:rFonts w:ascii="Arial" w:cs="Arial" w:eastAsia="Arial" w:hAnsi="Arial"/>
                <w:sz w:val="12"/>
                <w:szCs w:val="12"/>
                <w:b w:val="1"/>
                <w:bCs w:val="1"/>
                <w:color w:val="auto"/>
              </w:rPr>
              <w:t>$</w:t>
            </w:r>
          </w:p>
        </w:tc>
        <w:tc>
          <w:tcPr>
            <w:tcW w:w="900" w:type="dxa"/>
            <w:vAlign w:val="bottom"/>
            <w:tcBorders>
              <w:bottom w:val="single" w:sz="8" w:color="7CBD3F"/>
            </w:tcBorders>
          </w:tcPr>
          <w:p>
            <w:pPr>
              <w:jc w:val="right"/>
              <w:ind w:right="38"/>
              <w:spacing w:after="0"/>
              <w:rPr>
                <w:sz w:val="20"/>
                <w:szCs w:val="20"/>
                <w:color w:val="auto"/>
              </w:rPr>
            </w:pPr>
            <w:r>
              <w:rPr>
                <w:rFonts w:ascii="Arial" w:cs="Arial" w:eastAsia="Arial" w:hAnsi="Arial"/>
                <w:sz w:val="12"/>
                <w:szCs w:val="12"/>
                <w:b w:val="1"/>
                <w:bCs w:val="1"/>
                <w:color w:val="auto"/>
              </w:rPr>
              <w:t>8,186,261</w:t>
            </w:r>
          </w:p>
        </w:tc>
        <w:tc>
          <w:tcPr>
            <w:tcW w:w="320" w:type="dxa"/>
            <w:vAlign w:val="bottom"/>
            <w:tcBorders>
              <w:bottom w:val="single" w:sz="8" w:color="7CBD3F"/>
            </w:tcBorders>
          </w:tcPr>
          <w:p>
            <w:pPr>
              <w:jc w:val="right"/>
              <w:ind w:right="38"/>
              <w:spacing w:after="0"/>
              <w:rPr>
                <w:sz w:val="20"/>
                <w:szCs w:val="20"/>
                <w:color w:val="auto"/>
              </w:rPr>
            </w:pPr>
            <w:r>
              <w:rPr>
                <w:rFonts w:ascii="Arial" w:cs="Arial" w:eastAsia="Arial" w:hAnsi="Arial"/>
                <w:sz w:val="12"/>
                <w:szCs w:val="12"/>
                <w:b w:val="1"/>
                <w:bCs w:val="1"/>
                <w:color w:val="auto"/>
              </w:rPr>
              <w:t>$</w:t>
            </w:r>
          </w:p>
        </w:tc>
        <w:tc>
          <w:tcPr>
            <w:tcW w:w="900" w:type="dxa"/>
            <w:vAlign w:val="bottom"/>
            <w:tcBorders>
              <w:bottom w:val="single" w:sz="8" w:color="7CBD3F"/>
            </w:tcBorders>
          </w:tcPr>
          <w:p>
            <w:pPr>
              <w:jc w:val="right"/>
              <w:ind w:right="38"/>
              <w:spacing w:after="0"/>
              <w:rPr>
                <w:sz w:val="20"/>
                <w:szCs w:val="20"/>
                <w:color w:val="auto"/>
              </w:rPr>
            </w:pPr>
            <w:r>
              <w:rPr>
                <w:rFonts w:ascii="Arial" w:cs="Arial" w:eastAsia="Arial" w:hAnsi="Arial"/>
                <w:sz w:val="12"/>
                <w:szCs w:val="12"/>
                <w:b w:val="1"/>
                <w:bCs w:val="1"/>
                <w:color w:val="auto"/>
              </w:rPr>
              <w:t>11,293,489</w:t>
            </w:r>
          </w:p>
        </w:tc>
        <w:tc>
          <w:tcPr>
            <w:tcW w:w="300" w:type="dxa"/>
            <w:vAlign w:val="bottom"/>
            <w:tcBorders>
              <w:bottom w:val="single" w:sz="8" w:color="7CBD3F"/>
            </w:tcBorders>
          </w:tcPr>
          <w:p>
            <w:pPr>
              <w:jc w:val="right"/>
              <w:ind w:right="38"/>
              <w:spacing w:after="0"/>
              <w:rPr>
                <w:sz w:val="20"/>
                <w:szCs w:val="20"/>
                <w:color w:val="auto"/>
              </w:rPr>
            </w:pPr>
            <w:r>
              <w:rPr>
                <w:rFonts w:ascii="Arial" w:cs="Arial" w:eastAsia="Arial" w:hAnsi="Arial"/>
                <w:sz w:val="12"/>
                <w:szCs w:val="12"/>
                <w:b w:val="1"/>
                <w:bCs w:val="1"/>
                <w:color w:val="auto"/>
              </w:rPr>
              <w:t>$</w:t>
            </w:r>
          </w:p>
        </w:tc>
        <w:tc>
          <w:tcPr>
            <w:tcW w:w="900" w:type="dxa"/>
            <w:vAlign w:val="bottom"/>
            <w:tcBorders>
              <w:bottom w:val="single" w:sz="8" w:color="7CBD3F"/>
            </w:tcBorders>
          </w:tcPr>
          <w:p>
            <w:pPr>
              <w:jc w:val="right"/>
              <w:ind w:right="38"/>
              <w:spacing w:after="0"/>
              <w:rPr>
                <w:sz w:val="20"/>
                <w:szCs w:val="20"/>
                <w:color w:val="auto"/>
              </w:rPr>
            </w:pPr>
            <w:r>
              <w:rPr>
                <w:rFonts w:ascii="Arial" w:cs="Arial" w:eastAsia="Arial" w:hAnsi="Arial"/>
                <w:sz w:val="12"/>
                <w:szCs w:val="12"/>
                <w:b w:val="1"/>
                <w:bCs w:val="1"/>
                <w:color w:val="auto"/>
              </w:rPr>
              <w:t>3,311,432</w:t>
            </w:r>
          </w:p>
        </w:tc>
        <w:tc>
          <w:tcPr>
            <w:tcW w:w="360" w:type="dxa"/>
            <w:vAlign w:val="bottom"/>
            <w:tcBorders>
              <w:bottom w:val="single" w:sz="8" w:color="7CBD3F"/>
            </w:tcBorders>
          </w:tcPr>
          <w:p>
            <w:pPr>
              <w:jc w:val="right"/>
              <w:ind w:right="78"/>
              <w:spacing w:after="0"/>
              <w:rPr>
                <w:sz w:val="20"/>
                <w:szCs w:val="20"/>
                <w:color w:val="auto"/>
              </w:rPr>
            </w:pPr>
            <w:r>
              <w:rPr>
                <w:rFonts w:ascii="Arial" w:cs="Arial" w:eastAsia="Arial" w:hAnsi="Arial"/>
                <w:sz w:val="12"/>
                <w:szCs w:val="12"/>
                <w:b w:val="1"/>
                <w:bCs w:val="1"/>
                <w:color w:val="auto"/>
              </w:rPr>
              <w:t>$</w:t>
            </w:r>
          </w:p>
        </w:tc>
        <w:tc>
          <w:tcPr>
            <w:tcW w:w="860" w:type="dxa"/>
            <w:vAlign w:val="bottom"/>
            <w:tcBorders>
              <w:bottom w:val="single" w:sz="8" w:color="7CBD3F"/>
            </w:tcBorders>
          </w:tcPr>
          <w:p>
            <w:pPr>
              <w:jc w:val="right"/>
              <w:ind w:right="38"/>
              <w:spacing w:after="0"/>
              <w:rPr>
                <w:sz w:val="20"/>
                <w:szCs w:val="20"/>
                <w:color w:val="auto"/>
              </w:rPr>
            </w:pPr>
            <w:r>
              <w:rPr>
                <w:rFonts w:ascii="Arial" w:cs="Arial" w:eastAsia="Arial" w:hAnsi="Arial"/>
                <w:sz w:val="12"/>
                <w:szCs w:val="12"/>
                <w:b w:val="1"/>
                <w:bCs w:val="1"/>
                <w:color w:val="auto"/>
              </w:rPr>
              <w:t>(2,152,804)</w:t>
            </w:r>
          </w:p>
        </w:tc>
        <w:tc>
          <w:tcPr>
            <w:tcW w:w="340" w:type="dxa"/>
            <w:vAlign w:val="bottom"/>
            <w:tcBorders>
              <w:bottom w:val="single" w:sz="8" w:color="7CBD3F"/>
            </w:tcBorders>
          </w:tcPr>
          <w:p>
            <w:pPr>
              <w:jc w:val="right"/>
              <w:ind w:right="58"/>
              <w:spacing w:after="0"/>
              <w:rPr>
                <w:sz w:val="20"/>
                <w:szCs w:val="20"/>
                <w:color w:val="auto"/>
              </w:rPr>
            </w:pPr>
            <w:r>
              <w:rPr>
                <w:rFonts w:ascii="Arial" w:cs="Arial" w:eastAsia="Arial" w:hAnsi="Arial"/>
                <w:sz w:val="12"/>
                <w:szCs w:val="12"/>
                <w:b w:val="1"/>
                <w:bCs w:val="1"/>
                <w:color w:val="auto"/>
              </w:rPr>
              <w:t>$</w:t>
            </w:r>
          </w:p>
        </w:tc>
        <w:tc>
          <w:tcPr>
            <w:tcW w:w="880" w:type="dxa"/>
            <w:vAlign w:val="bottom"/>
            <w:tcBorders>
              <w:bottom w:val="single" w:sz="8" w:color="7CBD3F"/>
            </w:tcBorders>
          </w:tcPr>
          <w:p>
            <w:pPr>
              <w:jc w:val="right"/>
              <w:ind w:right="58"/>
              <w:spacing w:after="0"/>
              <w:rPr>
                <w:sz w:val="20"/>
                <w:szCs w:val="20"/>
                <w:color w:val="auto"/>
              </w:rPr>
            </w:pPr>
            <w:r>
              <w:rPr>
                <w:rFonts w:ascii="Arial" w:cs="Arial" w:eastAsia="Arial" w:hAnsi="Arial"/>
                <w:sz w:val="12"/>
                <w:szCs w:val="12"/>
                <w:b w:val="1"/>
                <w:bCs w:val="1"/>
                <w:color w:val="auto"/>
              </w:rPr>
              <w:t>22,726,743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-1183640</wp:posOffset>
            </wp:positionV>
            <wp:extent cx="177800" cy="11772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77800" cy="1177290"/>
                    </a:xfrm>
                    <a:prstGeom prst="rect">
                      <a:avLst/>
                    </a:prstGeom>
                    <a:noFill/>
                  </pic:spPr>
                </pic:pic>
              </a:graphicData>
            </a:graphic>
          </wp:anchor>
        </w:drawing>
      </w:r>
    </w:p>
    <w:p>
      <w:pPr>
        <w:spacing w:after="0" w:line="30" w:lineRule="exact"/>
        <w:rPr>
          <w:sz w:val="20"/>
          <w:szCs w:val="20"/>
          <w:color w:val="auto"/>
        </w:rPr>
      </w:pPr>
    </w:p>
    <w:p>
      <w:pPr>
        <w:jc w:val="both"/>
        <w:ind w:left="287" w:hanging="287"/>
        <w:spacing w:after="0" w:line="258" w:lineRule="auto"/>
        <w:tabs>
          <w:tab w:leader="none" w:pos="287" w:val="left"/>
        </w:tabs>
        <w:numPr>
          <w:ilvl w:val="0"/>
          <w:numId w:val="45"/>
        </w:numPr>
        <w:rPr>
          <w:rFonts w:ascii="Arial" w:cs="Arial" w:eastAsia="Arial" w:hAnsi="Arial"/>
          <w:sz w:val="12"/>
          <w:szCs w:val="12"/>
          <w:color w:val="auto"/>
        </w:rPr>
      </w:pPr>
      <w:r>
        <w:rPr>
          <w:rFonts w:ascii="Arial" w:cs="Arial" w:eastAsia="Arial" w:hAnsi="Arial"/>
          <w:sz w:val="12"/>
          <w:szCs w:val="12"/>
          <w:color w:val="auto"/>
        </w:rPr>
        <w:t>The dollar amounts reported represent the average of the amounts reported for the Company’s named executive officers (NEOs) as a group (excluding our CEO) in the “Total” column of the Summary Compensation Table in each applicable year. The names of each of the NEOs (excluding our CEO) included for purposes of calculating the average amounts in each applicable year are as follows: (i) for 2024, Mr. Horn, Erik Harris, Dr. Crombez and Mr. Pinion, (ii) for 2023, Mr. Horn, Mr. Harris, Mr. Pinion and Ms. Parschauer, (iii) for 2022 and 2021, Dr. Camille Bedrosian, Mr. Harris, Mr. Pinion and Mardi Dier; and (iv) for 2020, Dr. Bedrosian, Ms. Dier, Mr. Harris, Mr. Pinion, and Shalini Sharp.</w:t>
      </w:r>
    </w:p>
    <w:p>
      <w:pPr>
        <w:spacing w:after="0" w:line="12" w:lineRule="exact"/>
        <w:rPr>
          <w:rFonts w:ascii="Arial" w:cs="Arial" w:eastAsia="Arial" w:hAnsi="Arial"/>
          <w:sz w:val="12"/>
          <w:szCs w:val="12"/>
          <w:color w:val="auto"/>
        </w:rPr>
      </w:pPr>
    </w:p>
    <w:p>
      <w:pPr>
        <w:jc w:val="both"/>
        <w:ind w:left="287" w:hanging="287"/>
        <w:spacing w:after="0" w:line="266" w:lineRule="auto"/>
        <w:tabs>
          <w:tab w:leader="none" w:pos="287" w:val="left"/>
        </w:tabs>
        <w:numPr>
          <w:ilvl w:val="0"/>
          <w:numId w:val="45"/>
        </w:numPr>
        <w:rPr>
          <w:rFonts w:ascii="Arial" w:cs="Arial" w:eastAsia="Arial" w:hAnsi="Arial"/>
          <w:sz w:val="12"/>
          <w:szCs w:val="12"/>
          <w:color w:val="auto"/>
        </w:rPr>
      </w:pPr>
      <w:r>
        <w:rPr>
          <w:rFonts w:ascii="Arial" w:cs="Arial" w:eastAsia="Arial" w:hAnsi="Arial"/>
          <w:sz w:val="12"/>
          <w:szCs w:val="12"/>
          <w:color w:val="auto"/>
        </w:rPr>
        <w:t>The dollar amounts reported represent the average amount of CAP to the NEOs as a group (excluding our CEO), as computed in accordance with SEC rules. The dollar amounts do not reflect the actual average amount of compensation earned by or paid to the NEOs as a group (excluding our CEO) during the applicable year. In accordance with the SEC rules, the following adjustments were made to average total compensation for the NEOs as a group (excluding our CEO) for each year to determine the compensation actually paid, using the same methodology described above in Note 2:</w:t>
      </w:r>
    </w:p>
    <w:p>
      <w:pPr>
        <w:spacing w:after="0" w:line="120"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auto"/>
        </w:rPr>
        <w:t xml:space="preserve">ULTRAGENYX PHARMACEUTICAL INC. </w:t>
      </w:r>
      <w:r>
        <w:rPr>
          <w:rFonts w:ascii="Arial" w:cs="Arial" w:eastAsia="Arial" w:hAnsi="Arial"/>
          <w:sz w:val="14"/>
          <w:szCs w:val="14"/>
          <w:color w:val="7CBD3F"/>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2025 Proxy Statement</w:t>
      </w:r>
      <w:r>
        <w:rPr>
          <w:rFonts w:ascii="Arial" w:cs="Arial" w:eastAsia="Arial" w:hAnsi="Arial"/>
          <w:sz w:val="14"/>
          <w:szCs w:val="14"/>
          <w:b w:val="1"/>
          <w:bCs w:val="1"/>
          <w:color w:val="auto"/>
        </w:rPr>
        <w:tab/>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150735" cy="298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0735" cy="29845"/>
                    </a:xfrm>
                    <a:prstGeom prst="rect">
                      <a:avLst/>
                    </a:prstGeom>
                    <a:noFill/>
                  </pic:spPr>
                </pic:pic>
              </a:graphicData>
            </a:graphic>
          </wp:anchor>
        </w:drawing>
      </w:r>
    </w:p>
    <w:p>
      <w:pPr>
        <w:sectPr>
          <w:pgSz w:w="11900" w:h="16838" w:orient="portrait"/>
          <w:cols w:equalWidth="0" w:num="1">
            <w:col w:w="11267"/>
          </w:cols>
          <w:pgMar w:left="313" w:top="225" w:right="319" w:bottom="1440" w:gutter="0" w:footer="0" w:header="0"/>
        </w:sectPr>
      </w:pPr>
    </w:p>
    <w:bookmarkStart w:id="67" w:name="page68"/>
    <w:bookmarkEnd w:id="67"/>
    <w:tbl>
      <w:tblPr>
        <w:tblLayout w:type="fixed"/>
        <w:tblInd w:w="7" w:type="dxa"/>
        <w:tblCellMar>
          <w:top w:w="0" w:type="dxa"/>
          <w:left w:w="0" w:type="dxa"/>
          <w:bottom w:w="0" w:type="dxa"/>
          <w:right w:w="0" w:type="dxa"/>
        </w:tblCellMar>
      </w:tblPr>
      <w:tr>
        <w:trPr>
          <w:trHeight w:val="138"/>
        </w:trPr>
        <w:tc>
          <w:tcPr>
            <w:tcW w:w="1020" w:type="dxa"/>
            <w:vAlign w:val="bottom"/>
            <w:tcBorders>
              <w:bottom w:val="single" w:sz="8" w:color="0000EE"/>
            </w:tcBorders>
            <w:gridSpan w:val="2"/>
          </w:tcPr>
          <w:p>
            <w:pPr>
              <w:spacing w:after="0"/>
              <w:rPr>
                <w:sz w:val="20"/>
                <w:szCs w:val="20"/>
                <w:color w:val="auto"/>
              </w:rPr>
            </w:pPr>
            <w:r>
              <w:rPr>
                <w:rFonts w:ascii="Arial" w:cs="Arial" w:eastAsia="Arial" w:hAnsi="Arial"/>
                <w:sz w:val="12"/>
                <w:szCs w:val="12"/>
                <w:b w:val="1"/>
                <w:bCs w:val="1"/>
                <w:color w:val="0000EE"/>
              </w:rPr>
              <w:t>Back to Contents</w:t>
            </w:r>
          </w:p>
        </w:tc>
        <w:tc>
          <w:tcPr>
            <w:tcW w:w="4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6"/>
        </w:trPr>
        <w:tc>
          <w:tcPr>
            <w:tcW w:w="280" w:type="dxa"/>
            <w:vAlign w:val="bottom"/>
          </w:tcPr>
          <w:p>
            <w:pPr>
              <w:spacing w:after="0"/>
              <w:rPr>
                <w:sz w:val="24"/>
                <w:szCs w:val="24"/>
                <w:color w:val="auto"/>
              </w:rPr>
            </w:pPr>
          </w:p>
        </w:tc>
        <w:tc>
          <w:tcPr>
            <w:tcW w:w="4940" w:type="dxa"/>
            <w:vAlign w:val="bottom"/>
            <w:tcBorders>
              <w:bottom w:val="single" w:sz="8" w:color="7CBD3F"/>
            </w:tcBorders>
            <w:gridSpan w:val="2"/>
          </w:tcPr>
          <w:p>
            <w:pPr>
              <w:spacing w:after="0"/>
              <w:rPr>
                <w:sz w:val="20"/>
                <w:szCs w:val="20"/>
                <w:color w:val="auto"/>
              </w:rPr>
            </w:pPr>
            <w:r>
              <w:rPr>
                <w:rFonts w:ascii="Arial" w:cs="Arial" w:eastAsia="Arial" w:hAnsi="Arial"/>
                <w:sz w:val="12"/>
                <w:szCs w:val="12"/>
                <w:b w:val="1"/>
                <w:bCs w:val="1"/>
                <w:color w:val="auto"/>
              </w:rPr>
              <w:t>Compensation Actually Paid to Non-PEO NEOs</w:t>
            </w:r>
          </w:p>
        </w:tc>
        <w:tc>
          <w:tcPr>
            <w:tcW w:w="320" w:type="dxa"/>
            <w:vAlign w:val="bottom"/>
            <w:tcBorders>
              <w:bottom w:val="single" w:sz="8" w:color="7CBD3F"/>
            </w:tcBorders>
          </w:tcPr>
          <w:p>
            <w:pPr>
              <w:spacing w:after="0"/>
              <w:rPr>
                <w:sz w:val="24"/>
                <w:szCs w:val="24"/>
                <w:color w:val="auto"/>
              </w:rPr>
            </w:pPr>
          </w:p>
        </w:tc>
        <w:tc>
          <w:tcPr>
            <w:tcW w:w="860" w:type="dxa"/>
            <w:vAlign w:val="bottom"/>
            <w:tcBorders>
              <w:bottom w:val="single" w:sz="8" w:color="7CBD3F"/>
            </w:tcBorders>
          </w:tcPr>
          <w:p>
            <w:pPr>
              <w:jc w:val="right"/>
              <w:ind w:right="38"/>
              <w:spacing w:after="0"/>
              <w:rPr>
                <w:sz w:val="20"/>
                <w:szCs w:val="20"/>
                <w:color w:val="auto"/>
              </w:rPr>
            </w:pPr>
            <w:r>
              <w:rPr>
                <w:rFonts w:ascii="Arial" w:cs="Arial" w:eastAsia="Arial" w:hAnsi="Arial"/>
                <w:sz w:val="12"/>
                <w:szCs w:val="12"/>
                <w:b w:val="1"/>
                <w:bCs w:val="1"/>
                <w:color w:val="auto"/>
              </w:rPr>
              <w:t>2024</w:t>
            </w:r>
          </w:p>
        </w:tc>
        <w:tc>
          <w:tcPr>
            <w:tcW w:w="340" w:type="dxa"/>
            <w:vAlign w:val="bottom"/>
            <w:tcBorders>
              <w:bottom w:val="single" w:sz="8" w:color="7CBD3F"/>
            </w:tcBorders>
          </w:tcPr>
          <w:p>
            <w:pPr>
              <w:spacing w:after="0"/>
              <w:rPr>
                <w:sz w:val="24"/>
                <w:szCs w:val="24"/>
                <w:color w:val="auto"/>
              </w:rPr>
            </w:pPr>
          </w:p>
        </w:tc>
        <w:tc>
          <w:tcPr>
            <w:tcW w:w="880" w:type="dxa"/>
            <w:vAlign w:val="bottom"/>
            <w:tcBorders>
              <w:bottom w:val="single" w:sz="8" w:color="7CBD3F"/>
            </w:tcBorders>
          </w:tcPr>
          <w:p>
            <w:pPr>
              <w:jc w:val="right"/>
              <w:ind w:right="38"/>
              <w:spacing w:after="0"/>
              <w:rPr>
                <w:sz w:val="20"/>
                <w:szCs w:val="20"/>
                <w:color w:val="auto"/>
              </w:rPr>
            </w:pPr>
            <w:r>
              <w:rPr>
                <w:rFonts w:ascii="Arial" w:cs="Arial" w:eastAsia="Arial" w:hAnsi="Arial"/>
                <w:sz w:val="12"/>
                <w:szCs w:val="12"/>
                <w:b w:val="1"/>
                <w:bCs w:val="1"/>
                <w:color w:val="auto"/>
              </w:rPr>
              <w:t>2023</w:t>
            </w:r>
          </w:p>
        </w:tc>
        <w:tc>
          <w:tcPr>
            <w:tcW w:w="340" w:type="dxa"/>
            <w:vAlign w:val="bottom"/>
            <w:tcBorders>
              <w:bottom w:val="single" w:sz="8" w:color="7CBD3F"/>
            </w:tcBorders>
          </w:tcPr>
          <w:p>
            <w:pPr>
              <w:spacing w:after="0"/>
              <w:rPr>
                <w:sz w:val="24"/>
                <w:szCs w:val="24"/>
                <w:color w:val="auto"/>
              </w:rPr>
            </w:pPr>
          </w:p>
        </w:tc>
        <w:tc>
          <w:tcPr>
            <w:tcW w:w="860" w:type="dxa"/>
            <w:vAlign w:val="bottom"/>
            <w:tcBorders>
              <w:bottom w:val="single" w:sz="8" w:color="7CBD3F"/>
            </w:tcBorders>
          </w:tcPr>
          <w:p>
            <w:pPr>
              <w:jc w:val="right"/>
              <w:ind w:right="38"/>
              <w:spacing w:after="0"/>
              <w:rPr>
                <w:sz w:val="20"/>
                <w:szCs w:val="20"/>
                <w:color w:val="auto"/>
              </w:rPr>
            </w:pPr>
            <w:r>
              <w:rPr>
                <w:rFonts w:ascii="Arial" w:cs="Arial" w:eastAsia="Arial" w:hAnsi="Arial"/>
                <w:sz w:val="12"/>
                <w:szCs w:val="12"/>
                <w:b w:val="1"/>
                <w:bCs w:val="1"/>
                <w:color w:val="auto"/>
              </w:rPr>
              <w:t>2022</w:t>
            </w:r>
          </w:p>
        </w:tc>
        <w:tc>
          <w:tcPr>
            <w:tcW w:w="360" w:type="dxa"/>
            <w:vAlign w:val="bottom"/>
            <w:tcBorders>
              <w:bottom w:val="single" w:sz="8" w:color="7CBD3F"/>
            </w:tcBorders>
          </w:tcPr>
          <w:p>
            <w:pPr>
              <w:spacing w:after="0"/>
              <w:rPr>
                <w:sz w:val="24"/>
                <w:szCs w:val="24"/>
                <w:color w:val="auto"/>
              </w:rPr>
            </w:pPr>
          </w:p>
        </w:tc>
        <w:tc>
          <w:tcPr>
            <w:tcW w:w="860" w:type="dxa"/>
            <w:vAlign w:val="bottom"/>
            <w:tcBorders>
              <w:bottom w:val="single" w:sz="8" w:color="7CBD3F"/>
            </w:tcBorders>
          </w:tcPr>
          <w:p>
            <w:pPr>
              <w:jc w:val="right"/>
              <w:ind w:right="38"/>
              <w:spacing w:after="0"/>
              <w:rPr>
                <w:sz w:val="20"/>
                <w:szCs w:val="20"/>
                <w:color w:val="auto"/>
              </w:rPr>
            </w:pPr>
            <w:r>
              <w:rPr>
                <w:rFonts w:ascii="Arial" w:cs="Arial" w:eastAsia="Arial" w:hAnsi="Arial"/>
                <w:sz w:val="12"/>
                <w:szCs w:val="12"/>
                <w:b w:val="1"/>
                <w:bCs w:val="1"/>
                <w:color w:val="auto"/>
              </w:rPr>
              <w:t>2021</w:t>
            </w:r>
          </w:p>
        </w:tc>
        <w:tc>
          <w:tcPr>
            <w:tcW w:w="340" w:type="dxa"/>
            <w:vAlign w:val="bottom"/>
            <w:tcBorders>
              <w:bottom w:val="single" w:sz="8" w:color="7CBD3F"/>
            </w:tcBorders>
          </w:tcPr>
          <w:p>
            <w:pPr>
              <w:spacing w:after="0"/>
              <w:rPr>
                <w:sz w:val="24"/>
                <w:szCs w:val="24"/>
                <w:color w:val="auto"/>
              </w:rPr>
            </w:pPr>
          </w:p>
        </w:tc>
        <w:tc>
          <w:tcPr>
            <w:tcW w:w="880" w:type="dxa"/>
            <w:vAlign w:val="bottom"/>
            <w:tcBorders>
              <w:bottom w:val="single" w:sz="8" w:color="7CBD3F"/>
            </w:tcBorders>
          </w:tcPr>
          <w:p>
            <w:pPr>
              <w:jc w:val="right"/>
              <w:ind w:right="58"/>
              <w:spacing w:after="0"/>
              <w:rPr>
                <w:sz w:val="20"/>
                <w:szCs w:val="20"/>
                <w:color w:val="auto"/>
              </w:rPr>
            </w:pPr>
            <w:r>
              <w:rPr>
                <w:rFonts w:ascii="Arial" w:cs="Arial" w:eastAsia="Arial" w:hAnsi="Arial"/>
                <w:sz w:val="12"/>
                <w:szCs w:val="12"/>
                <w:b w:val="1"/>
                <w:bCs w:val="1"/>
                <w:color w:val="auto"/>
              </w:rPr>
              <w:t>2020</w:t>
            </w:r>
          </w:p>
        </w:tc>
        <w:tc>
          <w:tcPr>
            <w:tcW w:w="0" w:type="dxa"/>
            <w:vAlign w:val="bottom"/>
          </w:tcPr>
          <w:p>
            <w:pPr>
              <w:spacing w:after="0"/>
              <w:rPr>
                <w:sz w:val="1"/>
                <w:szCs w:val="1"/>
                <w:color w:val="auto"/>
              </w:rPr>
            </w:pPr>
          </w:p>
        </w:tc>
      </w:tr>
      <w:tr>
        <w:trPr>
          <w:trHeight w:val="140"/>
        </w:trPr>
        <w:tc>
          <w:tcPr>
            <w:tcW w:w="280" w:type="dxa"/>
            <w:vAlign w:val="bottom"/>
          </w:tcPr>
          <w:p>
            <w:pPr>
              <w:spacing w:after="0"/>
              <w:rPr>
                <w:sz w:val="12"/>
                <w:szCs w:val="12"/>
                <w:color w:val="auto"/>
              </w:rPr>
            </w:pPr>
          </w:p>
        </w:tc>
        <w:tc>
          <w:tcPr>
            <w:tcW w:w="4940" w:type="dxa"/>
            <w:vAlign w:val="bottom"/>
            <w:gridSpan w:val="2"/>
          </w:tcPr>
          <w:p>
            <w:pPr>
              <w:spacing w:after="0"/>
              <w:rPr>
                <w:sz w:val="20"/>
                <w:szCs w:val="20"/>
                <w:color w:val="auto"/>
              </w:rPr>
            </w:pPr>
            <w:r>
              <w:rPr>
                <w:rFonts w:ascii="Arial" w:cs="Arial" w:eastAsia="Arial" w:hAnsi="Arial"/>
                <w:sz w:val="12"/>
                <w:szCs w:val="12"/>
                <w:color w:val="auto"/>
              </w:rPr>
              <w:t>Summary Compensation Table Total</w:t>
            </w:r>
          </w:p>
        </w:tc>
        <w:tc>
          <w:tcPr>
            <w:tcW w:w="320" w:type="dxa"/>
            <w:vAlign w:val="bottom"/>
          </w:tcPr>
          <w:p>
            <w:pPr>
              <w:jc w:val="right"/>
              <w:ind w:right="118"/>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38"/>
              <w:spacing w:after="0"/>
              <w:rPr>
                <w:sz w:val="20"/>
                <w:szCs w:val="20"/>
                <w:color w:val="auto"/>
              </w:rPr>
            </w:pPr>
            <w:r>
              <w:rPr>
                <w:rFonts w:ascii="Arial" w:cs="Arial" w:eastAsia="Arial" w:hAnsi="Arial"/>
                <w:sz w:val="12"/>
                <w:szCs w:val="12"/>
                <w:color w:val="auto"/>
              </w:rPr>
              <w:t>4,254,959</w:t>
            </w:r>
          </w:p>
        </w:tc>
        <w:tc>
          <w:tcPr>
            <w:tcW w:w="340" w:type="dxa"/>
            <w:vAlign w:val="bottom"/>
          </w:tcPr>
          <w:p>
            <w:pPr>
              <w:jc w:val="right"/>
              <w:ind w:right="98"/>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38"/>
              <w:spacing w:after="0"/>
              <w:rPr>
                <w:sz w:val="20"/>
                <w:szCs w:val="20"/>
                <w:color w:val="auto"/>
              </w:rPr>
            </w:pPr>
            <w:r>
              <w:rPr>
                <w:rFonts w:ascii="Arial" w:cs="Arial" w:eastAsia="Arial" w:hAnsi="Arial"/>
                <w:sz w:val="12"/>
                <w:szCs w:val="12"/>
                <w:color w:val="auto"/>
              </w:rPr>
              <w:t>4,524,001</w:t>
            </w:r>
          </w:p>
        </w:tc>
        <w:tc>
          <w:tcPr>
            <w:tcW w:w="340" w:type="dxa"/>
            <w:vAlign w:val="bottom"/>
          </w:tcPr>
          <w:p>
            <w:pPr>
              <w:jc w:val="right"/>
              <w:ind w:right="98"/>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38"/>
              <w:spacing w:after="0"/>
              <w:rPr>
                <w:sz w:val="20"/>
                <w:szCs w:val="20"/>
                <w:color w:val="auto"/>
              </w:rPr>
            </w:pPr>
            <w:r>
              <w:rPr>
                <w:rFonts w:ascii="Arial" w:cs="Arial" w:eastAsia="Arial" w:hAnsi="Arial"/>
                <w:sz w:val="12"/>
                <w:szCs w:val="12"/>
                <w:color w:val="auto"/>
              </w:rPr>
              <w:t>3,911,773</w:t>
            </w:r>
          </w:p>
        </w:tc>
        <w:tc>
          <w:tcPr>
            <w:tcW w:w="360" w:type="dxa"/>
            <w:vAlign w:val="bottom"/>
          </w:tcPr>
          <w:p>
            <w:pPr>
              <w:jc w:val="right"/>
              <w:ind w:right="118"/>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38"/>
              <w:spacing w:after="0"/>
              <w:rPr>
                <w:sz w:val="20"/>
                <w:szCs w:val="20"/>
                <w:color w:val="auto"/>
              </w:rPr>
            </w:pPr>
            <w:r>
              <w:rPr>
                <w:rFonts w:ascii="Arial" w:cs="Arial" w:eastAsia="Arial" w:hAnsi="Arial"/>
                <w:sz w:val="12"/>
                <w:szCs w:val="12"/>
                <w:color w:val="auto"/>
              </w:rPr>
              <w:t>3,314,256</w:t>
            </w:r>
          </w:p>
        </w:tc>
        <w:tc>
          <w:tcPr>
            <w:tcW w:w="340" w:type="dxa"/>
            <w:vAlign w:val="bottom"/>
          </w:tcPr>
          <w:p>
            <w:pPr>
              <w:jc w:val="right"/>
              <w:ind w:right="98"/>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58"/>
              <w:spacing w:after="0"/>
              <w:rPr>
                <w:sz w:val="20"/>
                <w:szCs w:val="20"/>
                <w:color w:val="auto"/>
              </w:rPr>
            </w:pPr>
            <w:r>
              <w:rPr>
                <w:rFonts w:ascii="Arial" w:cs="Arial" w:eastAsia="Arial" w:hAnsi="Arial"/>
                <w:sz w:val="12"/>
                <w:szCs w:val="12"/>
                <w:color w:val="auto"/>
              </w:rPr>
              <w:t>2,706,102</w:t>
            </w:r>
          </w:p>
        </w:tc>
        <w:tc>
          <w:tcPr>
            <w:tcW w:w="0" w:type="dxa"/>
            <w:vAlign w:val="bottom"/>
          </w:tcPr>
          <w:p>
            <w:pPr>
              <w:spacing w:after="0"/>
              <w:rPr>
                <w:sz w:val="1"/>
                <w:szCs w:val="1"/>
                <w:color w:val="auto"/>
              </w:rPr>
            </w:pPr>
          </w:p>
        </w:tc>
      </w:tr>
      <w:tr>
        <w:trPr>
          <w:trHeight w:val="132"/>
        </w:trPr>
        <w:tc>
          <w:tcPr>
            <w:tcW w:w="280" w:type="dxa"/>
            <w:vAlign w:val="bottom"/>
            <w:shd w:val="clear" w:color="auto" w:fill="F0F7E7"/>
          </w:tcPr>
          <w:p>
            <w:pPr>
              <w:spacing w:after="0"/>
              <w:rPr>
                <w:sz w:val="11"/>
                <w:szCs w:val="11"/>
                <w:color w:val="auto"/>
              </w:rPr>
            </w:pPr>
          </w:p>
        </w:tc>
        <w:tc>
          <w:tcPr>
            <w:tcW w:w="4940" w:type="dxa"/>
            <w:vAlign w:val="bottom"/>
            <w:gridSpan w:val="2"/>
            <w:shd w:val="clear" w:color="auto" w:fill="F0F7E7"/>
          </w:tcPr>
          <w:p>
            <w:pPr>
              <w:spacing w:after="0" w:line="132" w:lineRule="exact"/>
              <w:rPr>
                <w:sz w:val="20"/>
                <w:szCs w:val="20"/>
                <w:color w:val="auto"/>
              </w:rPr>
            </w:pPr>
            <w:r>
              <w:rPr>
                <w:rFonts w:ascii="Arial" w:cs="Arial" w:eastAsia="Arial" w:hAnsi="Arial"/>
                <w:sz w:val="12"/>
                <w:szCs w:val="12"/>
                <w:i w:val="1"/>
                <w:iCs w:val="1"/>
                <w:color w:val="auto"/>
              </w:rPr>
              <w:t xml:space="preserve">Less, </w:t>
            </w:r>
            <w:r>
              <w:rPr>
                <w:rFonts w:ascii="Arial" w:cs="Arial" w:eastAsia="Arial" w:hAnsi="Arial"/>
                <w:sz w:val="12"/>
                <w:szCs w:val="12"/>
                <w:color w:val="auto"/>
              </w:rPr>
              <w:t>value of “Stock Awards” and “Option Awards” reported in Summary Compensation</w:t>
            </w:r>
          </w:p>
        </w:tc>
        <w:tc>
          <w:tcPr>
            <w:tcW w:w="320" w:type="dxa"/>
            <w:vAlign w:val="bottom"/>
            <w:shd w:val="clear" w:color="auto" w:fill="F0F7E7"/>
          </w:tcPr>
          <w:p>
            <w:pPr>
              <w:spacing w:after="0"/>
              <w:rPr>
                <w:sz w:val="11"/>
                <w:szCs w:val="11"/>
                <w:color w:val="auto"/>
              </w:rPr>
            </w:pPr>
          </w:p>
        </w:tc>
        <w:tc>
          <w:tcPr>
            <w:tcW w:w="860" w:type="dxa"/>
            <w:vAlign w:val="bottom"/>
            <w:vMerge w:val="restart"/>
            <w:shd w:val="clear" w:color="auto" w:fill="F0F7E7"/>
          </w:tcPr>
          <w:p>
            <w:pPr>
              <w:jc w:val="right"/>
              <w:ind w:right="38"/>
              <w:spacing w:after="0"/>
              <w:rPr>
                <w:sz w:val="20"/>
                <w:szCs w:val="20"/>
                <w:color w:val="auto"/>
              </w:rPr>
            </w:pPr>
            <w:r>
              <w:rPr>
                <w:rFonts w:ascii="Arial" w:cs="Arial" w:eastAsia="Arial" w:hAnsi="Arial"/>
                <w:sz w:val="12"/>
                <w:szCs w:val="12"/>
                <w:color w:val="auto"/>
              </w:rPr>
              <w:t>(3,293,798)</w:t>
            </w:r>
          </w:p>
        </w:tc>
        <w:tc>
          <w:tcPr>
            <w:tcW w:w="340" w:type="dxa"/>
            <w:vAlign w:val="bottom"/>
            <w:shd w:val="clear" w:color="auto" w:fill="F0F7E7"/>
          </w:tcPr>
          <w:p>
            <w:pPr>
              <w:spacing w:after="0"/>
              <w:rPr>
                <w:sz w:val="11"/>
                <w:szCs w:val="11"/>
                <w:color w:val="auto"/>
              </w:rPr>
            </w:pPr>
          </w:p>
        </w:tc>
        <w:tc>
          <w:tcPr>
            <w:tcW w:w="880" w:type="dxa"/>
            <w:vAlign w:val="bottom"/>
            <w:vMerge w:val="restart"/>
            <w:shd w:val="clear" w:color="auto" w:fill="F0F7E7"/>
          </w:tcPr>
          <w:p>
            <w:pPr>
              <w:jc w:val="right"/>
              <w:ind w:right="38"/>
              <w:spacing w:after="0"/>
              <w:rPr>
                <w:sz w:val="20"/>
                <w:szCs w:val="20"/>
                <w:color w:val="auto"/>
              </w:rPr>
            </w:pPr>
            <w:r>
              <w:rPr>
                <w:rFonts w:ascii="Arial" w:cs="Arial" w:eastAsia="Arial" w:hAnsi="Arial"/>
                <w:sz w:val="12"/>
                <w:szCs w:val="12"/>
                <w:color w:val="auto"/>
              </w:rPr>
              <w:t>(3,831,408)</w:t>
            </w:r>
          </w:p>
        </w:tc>
        <w:tc>
          <w:tcPr>
            <w:tcW w:w="340" w:type="dxa"/>
            <w:vAlign w:val="bottom"/>
            <w:shd w:val="clear" w:color="auto" w:fill="F0F7E7"/>
          </w:tcPr>
          <w:p>
            <w:pPr>
              <w:spacing w:after="0"/>
              <w:rPr>
                <w:sz w:val="11"/>
                <w:szCs w:val="11"/>
                <w:color w:val="auto"/>
              </w:rPr>
            </w:pPr>
          </w:p>
        </w:tc>
        <w:tc>
          <w:tcPr>
            <w:tcW w:w="860" w:type="dxa"/>
            <w:vAlign w:val="bottom"/>
            <w:vMerge w:val="restart"/>
            <w:shd w:val="clear" w:color="auto" w:fill="F0F7E7"/>
          </w:tcPr>
          <w:p>
            <w:pPr>
              <w:jc w:val="right"/>
              <w:ind w:right="38"/>
              <w:spacing w:after="0"/>
              <w:rPr>
                <w:sz w:val="20"/>
                <w:szCs w:val="20"/>
                <w:color w:val="auto"/>
              </w:rPr>
            </w:pPr>
            <w:r>
              <w:rPr>
                <w:rFonts w:ascii="Arial" w:cs="Arial" w:eastAsia="Arial" w:hAnsi="Arial"/>
                <w:sz w:val="12"/>
                <w:szCs w:val="12"/>
                <w:color w:val="auto"/>
              </w:rPr>
              <w:t>(3,130,468)</w:t>
            </w:r>
          </w:p>
        </w:tc>
        <w:tc>
          <w:tcPr>
            <w:tcW w:w="360" w:type="dxa"/>
            <w:vAlign w:val="bottom"/>
            <w:shd w:val="clear" w:color="auto" w:fill="F0F7E7"/>
          </w:tcPr>
          <w:p>
            <w:pPr>
              <w:spacing w:after="0"/>
              <w:rPr>
                <w:sz w:val="11"/>
                <w:szCs w:val="11"/>
                <w:color w:val="auto"/>
              </w:rPr>
            </w:pPr>
          </w:p>
        </w:tc>
        <w:tc>
          <w:tcPr>
            <w:tcW w:w="860" w:type="dxa"/>
            <w:vAlign w:val="bottom"/>
            <w:vMerge w:val="restart"/>
            <w:shd w:val="clear" w:color="auto" w:fill="F0F7E7"/>
          </w:tcPr>
          <w:p>
            <w:pPr>
              <w:jc w:val="right"/>
              <w:ind w:right="38"/>
              <w:spacing w:after="0"/>
              <w:rPr>
                <w:sz w:val="20"/>
                <w:szCs w:val="20"/>
                <w:color w:val="auto"/>
              </w:rPr>
            </w:pPr>
            <w:r>
              <w:rPr>
                <w:rFonts w:ascii="Arial" w:cs="Arial" w:eastAsia="Arial" w:hAnsi="Arial"/>
                <w:sz w:val="12"/>
                <w:szCs w:val="12"/>
                <w:color w:val="auto"/>
              </w:rPr>
              <w:t>(2,519,639)</w:t>
            </w:r>
          </w:p>
        </w:tc>
        <w:tc>
          <w:tcPr>
            <w:tcW w:w="340" w:type="dxa"/>
            <w:vAlign w:val="bottom"/>
            <w:shd w:val="clear" w:color="auto" w:fill="F0F7E7"/>
          </w:tcPr>
          <w:p>
            <w:pPr>
              <w:spacing w:after="0"/>
              <w:rPr>
                <w:sz w:val="11"/>
                <w:szCs w:val="11"/>
                <w:color w:val="auto"/>
              </w:rPr>
            </w:pPr>
          </w:p>
        </w:tc>
        <w:tc>
          <w:tcPr>
            <w:tcW w:w="880" w:type="dxa"/>
            <w:vAlign w:val="bottom"/>
            <w:vMerge w:val="restart"/>
            <w:shd w:val="clear" w:color="auto" w:fill="F0F7E7"/>
          </w:tcPr>
          <w:p>
            <w:pPr>
              <w:jc w:val="right"/>
              <w:ind w:right="58"/>
              <w:spacing w:after="0"/>
              <w:rPr>
                <w:sz w:val="20"/>
                <w:szCs w:val="20"/>
                <w:color w:val="auto"/>
              </w:rPr>
            </w:pPr>
            <w:r>
              <w:rPr>
                <w:rFonts w:ascii="Arial" w:cs="Arial" w:eastAsia="Arial" w:hAnsi="Arial"/>
                <w:sz w:val="12"/>
                <w:szCs w:val="12"/>
                <w:color w:val="auto"/>
              </w:rPr>
              <w:t>(2,027,088)</w:t>
            </w:r>
          </w:p>
        </w:tc>
        <w:tc>
          <w:tcPr>
            <w:tcW w:w="0" w:type="dxa"/>
            <w:vAlign w:val="bottom"/>
          </w:tcPr>
          <w:p>
            <w:pPr>
              <w:spacing w:after="0"/>
              <w:rPr>
                <w:sz w:val="1"/>
                <w:szCs w:val="1"/>
                <w:color w:val="auto"/>
              </w:rPr>
            </w:pPr>
          </w:p>
        </w:tc>
      </w:tr>
      <w:tr>
        <w:trPr>
          <w:trHeight w:val="128"/>
        </w:trPr>
        <w:tc>
          <w:tcPr>
            <w:tcW w:w="280" w:type="dxa"/>
            <w:vAlign w:val="bottom"/>
            <w:tcBorders>
              <w:bottom w:val="single" w:sz="8" w:color="F0F7E7"/>
            </w:tcBorders>
            <w:shd w:val="clear" w:color="auto" w:fill="F0F7E7"/>
          </w:tcPr>
          <w:p>
            <w:pPr>
              <w:spacing w:after="0"/>
              <w:rPr>
                <w:sz w:val="11"/>
                <w:szCs w:val="11"/>
                <w:color w:val="auto"/>
              </w:rPr>
            </w:pPr>
          </w:p>
        </w:tc>
        <w:tc>
          <w:tcPr>
            <w:tcW w:w="4940" w:type="dxa"/>
            <w:vAlign w:val="bottom"/>
            <w:tcBorders>
              <w:bottom w:val="single" w:sz="8" w:color="F0F7E7"/>
            </w:tcBorders>
            <w:gridSpan w:val="2"/>
            <w:shd w:val="clear" w:color="auto" w:fill="F0F7E7"/>
          </w:tcPr>
          <w:p>
            <w:pPr>
              <w:spacing w:after="0" w:line="128" w:lineRule="exact"/>
              <w:rPr>
                <w:sz w:val="20"/>
                <w:szCs w:val="20"/>
                <w:color w:val="auto"/>
              </w:rPr>
            </w:pPr>
            <w:r>
              <w:rPr>
                <w:rFonts w:ascii="Arial" w:cs="Arial" w:eastAsia="Arial" w:hAnsi="Arial"/>
                <w:sz w:val="12"/>
                <w:szCs w:val="12"/>
                <w:color w:val="auto"/>
              </w:rPr>
              <w:t>Table</w:t>
            </w:r>
          </w:p>
        </w:tc>
        <w:tc>
          <w:tcPr>
            <w:tcW w:w="320" w:type="dxa"/>
            <w:vAlign w:val="bottom"/>
            <w:tcBorders>
              <w:bottom w:val="single" w:sz="8" w:color="F0F7E7"/>
            </w:tcBorders>
            <w:shd w:val="clear" w:color="auto" w:fill="F0F7E7"/>
          </w:tcPr>
          <w:p>
            <w:pPr>
              <w:spacing w:after="0"/>
              <w:rPr>
                <w:sz w:val="11"/>
                <w:szCs w:val="11"/>
                <w:color w:val="auto"/>
              </w:rPr>
            </w:pPr>
          </w:p>
        </w:tc>
        <w:tc>
          <w:tcPr>
            <w:tcW w:w="860" w:type="dxa"/>
            <w:vAlign w:val="bottom"/>
            <w:tcBorders>
              <w:bottom w:val="single" w:sz="8" w:color="F0F7E7"/>
            </w:tcBorders>
            <w:vMerge w:val="continue"/>
            <w:shd w:val="clear" w:color="auto" w:fill="F0F7E7"/>
          </w:tcPr>
          <w:p>
            <w:pPr>
              <w:spacing w:after="0"/>
              <w:rPr>
                <w:sz w:val="11"/>
                <w:szCs w:val="11"/>
                <w:color w:val="auto"/>
              </w:rPr>
            </w:pPr>
          </w:p>
        </w:tc>
        <w:tc>
          <w:tcPr>
            <w:tcW w:w="340" w:type="dxa"/>
            <w:vAlign w:val="bottom"/>
            <w:tcBorders>
              <w:bottom w:val="single" w:sz="8" w:color="F0F7E7"/>
            </w:tcBorders>
            <w:shd w:val="clear" w:color="auto" w:fill="F0F7E7"/>
          </w:tcPr>
          <w:p>
            <w:pPr>
              <w:spacing w:after="0"/>
              <w:rPr>
                <w:sz w:val="11"/>
                <w:szCs w:val="11"/>
                <w:color w:val="auto"/>
              </w:rPr>
            </w:pPr>
          </w:p>
        </w:tc>
        <w:tc>
          <w:tcPr>
            <w:tcW w:w="880" w:type="dxa"/>
            <w:vAlign w:val="bottom"/>
            <w:tcBorders>
              <w:bottom w:val="single" w:sz="8" w:color="F0F7E7"/>
            </w:tcBorders>
            <w:vMerge w:val="continue"/>
            <w:shd w:val="clear" w:color="auto" w:fill="F0F7E7"/>
          </w:tcPr>
          <w:p>
            <w:pPr>
              <w:spacing w:after="0"/>
              <w:rPr>
                <w:sz w:val="11"/>
                <w:szCs w:val="11"/>
                <w:color w:val="auto"/>
              </w:rPr>
            </w:pPr>
          </w:p>
        </w:tc>
        <w:tc>
          <w:tcPr>
            <w:tcW w:w="340" w:type="dxa"/>
            <w:vAlign w:val="bottom"/>
            <w:tcBorders>
              <w:bottom w:val="single" w:sz="8" w:color="F0F7E7"/>
            </w:tcBorders>
            <w:shd w:val="clear" w:color="auto" w:fill="F0F7E7"/>
          </w:tcPr>
          <w:p>
            <w:pPr>
              <w:spacing w:after="0"/>
              <w:rPr>
                <w:sz w:val="11"/>
                <w:szCs w:val="11"/>
                <w:color w:val="auto"/>
              </w:rPr>
            </w:pPr>
          </w:p>
        </w:tc>
        <w:tc>
          <w:tcPr>
            <w:tcW w:w="860" w:type="dxa"/>
            <w:vAlign w:val="bottom"/>
            <w:tcBorders>
              <w:bottom w:val="single" w:sz="8" w:color="F0F7E7"/>
            </w:tcBorders>
            <w:vMerge w:val="continue"/>
            <w:shd w:val="clear" w:color="auto" w:fill="F0F7E7"/>
          </w:tcPr>
          <w:p>
            <w:pPr>
              <w:spacing w:after="0"/>
              <w:rPr>
                <w:sz w:val="11"/>
                <w:szCs w:val="11"/>
                <w:color w:val="auto"/>
              </w:rPr>
            </w:pPr>
          </w:p>
        </w:tc>
        <w:tc>
          <w:tcPr>
            <w:tcW w:w="360" w:type="dxa"/>
            <w:vAlign w:val="bottom"/>
            <w:tcBorders>
              <w:bottom w:val="single" w:sz="8" w:color="F0F7E7"/>
            </w:tcBorders>
            <w:shd w:val="clear" w:color="auto" w:fill="F0F7E7"/>
          </w:tcPr>
          <w:p>
            <w:pPr>
              <w:spacing w:after="0"/>
              <w:rPr>
                <w:sz w:val="11"/>
                <w:szCs w:val="11"/>
                <w:color w:val="auto"/>
              </w:rPr>
            </w:pPr>
          </w:p>
        </w:tc>
        <w:tc>
          <w:tcPr>
            <w:tcW w:w="860" w:type="dxa"/>
            <w:vAlign w:val="bottom"/>
            <w:tcBorders>
              <w:bottom w:val="single" w:sz="8" w:color="F0F7E7"/>
            </w:tcBorders>
            <w:vMerge w:val="continue"/>
            <w:shd w:val="clear" w:color="auto" w:fill="F0F7E7"/>
          </w:tcPr>
          <w:p>
            <w:pPr>
              <w:spacing w:after="0"/>
              <w:rPr>
                <w:sz w:val="11"/>
                <w:szCs w:val="11"/>
                <w:color w:val="auto"/>
              </w:rPr>
            </w:pPr>
          </w:p>
        </w:tc>
        <w:tc>
          <w:tcPr>
            <w:tcW w:w="340" w:type="dxa"/>
            <w:vAlign w:val="bottom"/>
            <w:tcBorders>
              <w:bottom w:val="single" w:sz="8" w:color="F0F7E7"/>
            </w:tcBorders>
            <w:shd w:val="clear" w:color="auto" w:fill="F0F7E7"/>
          </w:tcPr>
          <w:p>
            <w:pPr>
              <w:spacing w:after="0"/>
              <w:rPr>
                <w:sz w:val="11"/>
                <w:szCs w:val="11"/>
                <w:color w:val="auto"/>
              </w:rPr>
            </w:pPr>
          </w:p>
        </w:tc>
        <w:tc>
          <w:tcPr>
            <w:tcW w:w="880" w:type="dxa"/>
            <w:vAlign w:val="bottom"/>
            <w:tcBorders>
              <w:bottom w:val="single" w:sz="8" w:color="F0F7E7"/>
            </w:tcBorders>
            <w:vMerge w:val="continue"/>
            <w:shd w:val="clear" w:color="auto" w:fill="F0F7E7"/>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80" w:type="dxa"/>
            <w:vAlign w:val="bottom"/>
          </w:tcPr>
          <w:p>
            <w:pPr>
              <w:spacing w:after="0"/>
              <w:rPr>
                <w:sz w:val="11"/>
                <w:szCs w:val="11"/>
                <w:color w:val="auto"/>
              </w:rPr>
            </w:pPr>
          </w:p>
        </w:tc>
        <w:tc>
          <w:tcPr>
            <w:tcW w:w="4940" w:type="dxa"/>
            <w:vAlign w:val="bottom"/>
            <w:gridSpan w:val="2"/>
          </w:tcPr>
          <w:p>
            <w:pPr>
              <w:spacing w:after="0" w:line="132" w:lineRule="exact"/>
              <w:rPr>
                <w:sz w:val="20"/>
                <w:szCs w:val="20"/>
                <w:color w:val="auto"/>
              </w:rPr>
            </w:pPr>
            <w:r>
              <w:rPr>
                <w:rFonts w:ascii="Arial" w:cs="Arial" w:eastAsia="Arial" w:hAnsi="Arial"/>
                <w:sz w:val="12"/>
                <w:szCs w:val="12"/>
                <w:i w:val="1"/>
                <w:iCs w:val="1"/>
                <w:color w:val="auto"/>
              </w:rPr>
              <w:t xml:space="preserve">Plus, </w:t>
            </w:r>
            <w:r>
              <w:rPr>
                <w:rFonts w:ascii="Arial" w:cs="Arial" w:eastAsia="Arial" w:hAnsi="Arial"/>
                <w:sz w:val="12"/>
                <w:szCs w:val="12"/>
                <w:color w:val="auto"/>
              </w:rPr>
              <w:t>year end fair value of outstanding and unvested equity awards granted during the</w:t>
            </w:r>
          </w:p>
        </w:tc>
        <w:tc>
          <w:tcPr>
            <w:tcW w:w="320" w:type="dxa"/>
            <w:vAlign w:val="bottom"/>
          </w:tcPr>
          <w:p>
            <w:pPr>
              <w:spacing w:after="0"/>
              <w:rPr>
                <w:sz w:val="11"/>
                <w:szCs w:val="11"/>
                <w:color w:val="auto"/>
              </w:rPr>
            </w:pPr>
          </w:p>
        </w:tc>
        <w:tc>
          <w:tcPr>
            <w:tcW w:w="860" w:type="dxa"/>
            <w:vAlign w:val="bottom"/>
            <w:vMerge w:val="restart"/>
          </w:tcPr>
          <w:p>
            <w:pPr>
              <w:jc w:val="right"/>
              <w:ind w:right="38"/>
              <w:spacing w:after="0"/>
              <w:rPr>
                <w:sz w:val="20"/>
                <w:szCs w:val="20"/>
                <w:color w:val="auto"/>
              </w:rPr>
            </w:pPr>
            <w:r>
              <w:rPr>
                <w:rFonts w:ascii="Arial" w:cs="Arial" w:eastAsia="Arial" w:hAnsi="Arial"/>
                <w:sz w:val="12"/>
                <w:szCs w:val="12"/>
                <w:color w:val="auto"/>
              </w:rPr>
              <w:t>2,412,702</w:t>
            </w:r>
          </w:p>
        </w:tc>
        <w:tc>
          <w:tcPr>
            <w:tcW w:w="340" w:type="dxa"/>
            <w:vAlign w:val="bottom"/>
          </w:tcPr>
          <w:p>
            <w:pPr>
              <w:spacing w:after="0"/>
              <w:rPr>
                <w:sz w:val="11"/>
                <w:szCs w:val="11"/>
                <w:color w:val="auto"/>
              </w:rPr>
            </w:pPr>
          </w:p>
        </w:tc>
        <w:tc>
          <w:tcPr>
            <w:tcW w:w="880" w:type="dxa"/>
            <w:vAlign w:val="bottom"/>
            <w:vMerge w:val="restart"/>
          </w:tcPr>
          <w:p>
            <w:pPr>
              <w:jc w:val="right"/>
              <w:ind w:right="38"/>
              <w:spacing w:after="0"/>
              <w:rPr>
                <w:sz w:val="20"/>
                <w:szCs w:val="20"/>
                <w:color w:val="auto"/>
              </w:rPr>
            </w:pPr>
            <w:r>
              <w:rPr>
                <w:rFonts w:ascii="Arial" w:cs="Arial" w:eastAsia="Arial" w:hAnsi="Arial"/>
                <w:sz w:val="12"/>
                <w:szCs w:val="12"/>
                <w:color w:val="auto"/>
              </w:rPr>
              <w:t>4,476,201</w:t>
            </w:r>
          </w:p>
        </w:tc>
        <w:tc>
          <w:tcPr>
            <w:tcW w:w="340" w:type="dxa"/>
            <w:vAlign w:val="bottom"/>
          </w:tcPr>
          <w:p>
            <w:pPr>
              <w:spacing w:after="0"/>
              <w:rPr>
                <w:sz w:val="11"/>
                <w:szCs w:val="11"/>
                <w:color w:val="auto"/>
              </w:rPr>
            </w:pPr>
          </w:p>
        </w:tc>
        <w:tc>
          <w:tcPr>
            <w:tcW w:w="860" w:type="dxa"/>
            <w:vAlign w:val="bottom"/>
            <w:vMerge w:val="restart"/>
          </w:tcPr>
          <w:p>
            <w:pPr>
              <w:jc w:val="right"/>
              <w:ind w:right="38"/>
              <w:spacing w:after="0"/>
              <w:rPr>
                <w:sz w:val="20"/>
                <w:szCs w:val="20"/>
                <w:color w:val="auto"/>
              </w:rPr>
            </w:pPr>
            <w:r>
              <w:rPr>
                <w:rFonts w:ascii="Arial" w:cs="Arial" w:eastAsia="Arial" w:hAnsi="Arial"/>
                <w:sz w:val="12"/>
                <w:szCs w:val="12"/>
                <w:color w:val="auto"/>
              </w:rPr>
              <w:t>1,264,910</w:t>
            </w:r>
          </w:p>
        </w:tc>
        <w:tc>
          <w:tcPr>
            <w:tcW w:w="360" w:type="dxa"/>
            <w:vAlign w:val="bottom"/>
          </w:tcPr>
          <w:p>
            <w:pPr>
              <w:spacing w:after="0"/>
              <w:rPr>
                <w:sz w:val="11"/>
                <w:szCs w:val="11"/>
                <w:color w:val="auto"/>
              </w:rPr>
            </w:pPr>
          </w:p>
        </w:tc>
        <w:tc>
          <w:tcPr>
            <w:tcW w:w="860" w:type="dxa"/>
            <w:vAlign w:val="bottom"/>
            <w:vMerge w:val="restart"/>
          </w:tcPr>
          <w:p>
            <w:pPr>
              <w:jc w:val="right"/>
              <w:ind w:right="38"/>
              <w:spacing w:after="0"/>
              <w:rPr>
                <w:sz w:val="20"/>
                <w:szCs w:val="20"/>
                <w:color w:val="auto"/>
              </w:rPr>
            </w:pPr>
            <w:r>
              <w:rPr>
                <w:rFonts w:ascii="Arial" w:cs="Arial" w:eastAsia="Arial" w:hAnsi="Arial"/>
                <w:sz w:val="12"/>
                <w:szCs w:val="12"/>
                <w:color w:val="auto"/>
              </w:rPr>
              <w:t>1,268,695</w:t>
            </w:r>
          </w:p>
        </w:tc>
        <w:tc>
          <w:tcPr>
            <w:tcW w:w="340" w:type="dxa"/>
            <w:vAlign w:val="bottom"/>
          </w:tcPr>
          <w:p>
            <w:pPr>
              <w:spacing w:after="0"/>
              <w:rPr>
                <w:sz w:val="11"/>
                <w:szCs w:val="11"/>
                <w:color w:val="auto"/>
              </w:rPr>
            </w:pPr>
          </w:p>
        </w:tc>
        <w:tc>
          <w:tcPr>
            <w:tcW w:w="880" w:type="dxa"/>
            <w:vAlign w:val="bottom"/>
            <w:vMerge w:val="restart"/>
          </w:tcPr>
          <w:p>
            <w:pPr>
              <w:jc w:val="right"/>
              <w:ind w:right="58"/>
              <w:spacing w:after="0"/>
              <w:rPr>
                <w:sz w:val="20"/>
                <w:szCs w:val="20"/>
                <w:color w:val="auto"/>
              </w:rPr>
            </w:pPr>
            <w:r>
              <w:rPr>
                <w:rFonts w:ascii="Arial" w:cs="Arial" w:eastAsia="Arial" w:hAnsi="Arial"/>
                <w:sz w:val="12"/>
                <w:szCs w:val="12"/>
                <w:color w:val="auto"/>
              </w:rPr>
              <w:t>4,150,071</w:t>
            </w:r>
          </w:p>
        </w:tc>
        <w:tc>
          <w:tcPr>
            <w:tcW w:w="0" w:type="dxa"/>
            <w:vAlign w:val="bottom"/>
          </w:tcPr>
          <w:p>
            <w:pPr>
              <w:spacing w:after="0"/>
              <w:rPr>
                <w:sz w:val="1"/>
                <w:szCs w:val="1"/>
                <w:color w:val="auto"/>
              </w:rPr>
            </w:pPr>
          </w:p>
        </w:tc>
      </w:tr>
      <w:tr>
        <w:trPr>
          <w:trHeight w:val="95"/>
        </w:trPr>
        <w:tc>
          <w:tcPr>
            <w:tcW w:w="280" w:type="dxa"/>
            <w:vAlign w:val="bottom"/>
          </w:tcPr>
          <w:p>
            <w:pPr>
              <w:spacing w:after="0"/>
              <w:rPr>
                <w:sz w:val="8"/>
                <w:szCs w:val="8"/>
                <w:color w:val="auto"/>
              </w:rPr>
            </w:pPr>
          </w:p>
        </w:tc>
        <w:tc>
          <w:tcPr>
            <w:tcW w:w="4940" w:type="dxa"/>
            <w:vAlign w:val="bottom"/>
            <w:gridSpan w:val="2"/>
            <w:vMerge w:val="restart"/>
          </w:tcPr>
          <w:p>
            <w:pPr>
              <w:spacing w:after="0"/>
              <w:rPr>
                <w:sz w:val="20"/>
                <w:szCs w:val="20"/>
                <w:color w:val="auto"/>
              </w:rPr>
            </w:pPr>
            <w:r>
              <w:rPr>
                <w:rFonts w:ascii="Arial" w:cs="Arial" w:eastAsia="Arial" w:hAnsi="Arial"/>
                <w:sz w:val="12"/>
                <w:szCs w:val="12"/>
                <w:color w:val="auto"/>
              </w:rPr>
              <w:t>year</w:t>
            </w:r>
          </w:p>
        </w:tc>
        <w:tc>
          <w:tcPr>
            <w:tcW w:w="32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36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3"/>
        </w:trPr>
        <w:tc>
          <w:tcPr>
            <w:tcW w:w="280" w:type="dxa"/>
            <w:vAlign w:val="bottom"/>
          </w:tcPr>
          <w:p>
            <w:pPr>
              <w:spacing w:after="0"/>
              <w:rPr>
                <w:sz w:val="4"/>
                <w:szCs w:val="4"/>
                <w:color w:val="auto"/>
              </w:rPr>
            </w:pPr>
          </w:p>
        </w:tc>
        <w:tc>
          <w:tcPr>
            <w:tcW w:w="4940" w:type="dxa"/>
            <w:vAlign w:val="bottom"/>
            <w:gridSpan w:val="2"/>
            <w:vMerge w:val="continue"/>
          </w:tcPr>
          <w:p>
            <w:pPr>
              <w:spacing w:after="0"/>
              <w:rPr>
                <w:sz w:val="4"/>
                <w:szCs w:val="4"/>
                <w:color w:val="auto"/>
              </w:rPr>
            </w:pPr>
          </w:p>
        </w:tc>
        <w:tc>
          <w:tcPr>
            <w:tcW w:w="320" w:type="dxa"/>
            <w:vAlign w:val="bottom"/>
          </w:tcPr>
          <w:p>
            <w:pPr>
              <w:spacing w:after="0"/>
              <w:rPr>
                <w:sz w:val="4"/>
                <w:szCs w:val="4"/>
                <w:color w:val="auto"/>
              </w:rPr>
            </w:pPr>
          </w:p>
        </w:tc>
        <w:tc>
          <w:tcPr>
            <w:tcW w:w="860" w:type="dxa"/>
            <w:vAlign w:val="bottom"/>
          </w:tcPr>
          <w:p>
            <w:pPr>
              <w:spacing w:after="0"/>
              <w:rPr>
                <w:sz w:val="4"/>
                <w:szCs w:val="4"/>
                <w:color w:val="auto"/>
              </w:rPr>
            </w:pPr>
          </w:p>
        </w:tc>
        <w:tc>
          <w:tcPr>
            <w:tcW w:w="340" w:type="dxa"/>
            <w:vAlign w:val="bottom"/>
          </w:tcPr>
          <w:p>
            <w:pPr>
              <w:spacing w:after="0"/>
              <w:rPr>
                <w:sz w:val="4"/>
                <w:szCs w:val="4"/>
                <w:color w:val="auto"/>
              </w:rPr>
            </w:pPr>
          </w:p>
        </w:tc>
        <w:tc>
          <w:tcPr>
            <w:tcW w:w="8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60" w:type="dxa"/>
            <w:vAlign w:val="bottom"/>
          </w:tcPr>
          <w:p>
            <w:pPr>
              <w:spacing w:after="0"/>
              <w:rPr>
                <w:sz w:val="4"/>
                <w:szCs w:val="4"/>
                <w:color w:val="auto"/>
              </w:rPr>
            </w:pPr>
          </w:p>
        </w:tc>
        <w:tc>
          <w:tcPr>
            <w:tcW w:w="360" w:type="dxa"/>
            <w:vAlign w:val="bottom"/>
          </w:tcPr>
          <w:p>
            <w:pPr>
              <w:spacing w:after="0"/>
              <w:rPr>
                <w:sz w:val="4"/>
                <w:szCs w:val="4"/>
                <w:color w:val="auto"/>
              </w:rPr>
            </w:pPr>
          </w:p>
        </w:tc>
        <w:tc>
          <w:tcPr>
            <w:tcW w:w="860" w:type="dxa"/>
            <w:vAlign w:val="bottom"/>
          </w:tcPr>
          <w:p>
            <w:pPr>
              <w:spacing w:after="0"/>
              <w:rPr>
                <w:sz w:val="4"/>
                <w:szCs w:val="4"/>
                <w:color w:val="auto"/>
              </w:rPr>
            </w:pPr>
          </w:p>
        </w:tc>
        <w:tc>
          <w:tcPr>
            <w:tcW w:w="34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2"/>
        </w:trPr>
        <w:tc>
          <w:tcPr>
            <w:tcW w:w="280" w:type="dxa"/>
            <w:vAlign w:val="bottom"/>
            <w:shd w:val="clear" w:color="auto" w:fill="F0F7E7"/>
          </w:tcPr>
          <w:p>
            <w:pPr>
              <w:spacing w:after="0"/>
              <w:rPr>
                <w:sz w:val="11"/>
                <w:szCs w:val="11"/>
                <w:color w:val="auto"/>
              </w:rPr>
            </w:pPr>
          </w:p>
        </w:tc>
        <w:tc>
          <w:tcPr>
            <w:tcW w:w="4940" w:type="dxa"/>
            <w:vAlign w:val="bottom"/>
            <w:gridSpan w:val="2"/>
            <w:shd w:val="clear" w:color="auto" w:fill="F0F7E7"/>
          </w:tcPr>
          <w:p>
            <w:pPr>
              <w:spacing w:after="0" w:line="132" w:lineRule="exact"/>
              <w:rPr>
                <w:sz w:val="20"/>
                <w:szCs w:val="20"/>
                <w:color w:val="auto"/>
              </w:rPr>
            </w:pPr>
            <w:r>
              <w:rPr>
                <w:rFonts w:ascii="Arial" w:cs="Arial" w:eastAsia="Arial" w:hAnsi="Arial"/>
                <w:sz w:val="12"/>
                <w:szCs w:val="12"/>
                <w:i w:val="1"/>
                <w:iCs w:val="1"/>
                <w:color w:val="auto"/>
              </w:rPr>
              <w:t xml:space="preserve">Plus (less), </w:t>
            </w:r>
            <w:r>
              <w:rPr>
                <w:rFonts w:ascii="Arial" w:cs="Arial" w:eastAsia="Arial" w:hAnsi="Arial"/>
                <w:sz w:val="12"/>
                <w:szCs w:val="12"/>
                <w:color w:val="auto"/>
              </w:rPr>
              <w:t>change in fair value from prior year end to current year end of outstanding</w:t>
            </w:r>
          </w:p>
        </w:tc>
        <w:tc>
          <w:tcPr>
            <w:tcW w:w="320" w:type="dxa"/>
            <w:vAlign w:val="bottom"/>
            <w:shd w:val="clear" w:color="auto" w:fill="F0F7E7"/>
          </w:tcPr>
          <w:p>
            <w:pPr>
              <w:spacing w:after="0"/>
              <w:rPr>
                <w:sz w:val="11"/>
                <w:szCs w:val="11"/>
                <w:color w:val="auto"/>
              </w:rPr>
            </w:pPr>
          </w:p>
        </w:tc>
        <w:tc>
          <w:tcPr>
            <w:tcW w:w="860" w:type="dxa"/>
            <w:vAlign w:val="bottom"/>
            <w:vMerge w:val="restart"/>
            <w:shd w:val="clear" w:color="auto" w:fill="F0F7E7"/>
          </w:tcPr>
          <w:p>
            <w:pPr>
              <w:jc w:val="right"/>
              <w:ind w:right="38"/>
              <w:spacing w:after="0"/>
              <w:rPr>
                <w:sz w:val="20"/>
                <w:szCs w:val="20"/>
                <w:color w:val="auto"/>
              </w:rPr>
            </w:pPr>
            <w:r>
              <w:rPr>
                <w:rFonts w:ascii="Arial" w:cs="Arial" w:eastAsia="Arial" w:hAnsi="Arial"/>
                <w:sz w:val="12"/>
                <w:szCs w:val="12"/>
                <w:color w:val="auto"/>
              </w:rPr>
              <w:t>(607,133)</w:t>
            </w:r>
          </w:p>
        </w:tc>
        <w:tc>
          <w:tcPr>
            <w:tcW w:w="340" w:type="dxa"/>
            <w:vAlign w:val="bottom"/>
            <w:shd w:val="clear" w:color="auto" w:fill="F0F7E7"/>
          </w:tcPr>
          <w:p>
            <w:pPr>
              <w:spacing w:after="0"/>
              <w:rPr>
                <w:sz w:val="11"/>
                <w:szCs w:val="11"/>
                <w:color w:val="auto"/>
              </w:rPr>
            </w:pPr>
          </w:p>
        </w:tc>
        <w:tc>
          <w:tcPr>
            <w:tcW w:w="880" w:type="dxa"/>
            <w:vAlign w:val="bottom"/>
            <w:vMerge w:val="restart"/>
            <w:shd w:val="clear" w:color="auto" w:fill="F0F7E7"/>
          </w:tcPr>
          <w:p>
            <w:pPr>
              <w:jc w:val="right"/>
              <w:ind w:right="38"/>
              <w:spacing w:after="0"/>
              <w:rPr>
                <w:sz w:val="20"/>
                <w:szCs w:val="20"/>
                <w:color w:val="auto"/>
              </w:rPr>
            </w:pPr>
            <w:r>
              <w:rPr>
                <w:rFonts w:ascii="Arial" w:cs="Arial" w:eastAsia="Arial" w:hAnsi="Arial"/>
                <w:sz w:val="12"/>
                <w:szCs w:val="12"/>
                <w:color w:val="auto"/>
              </w:rPr>
              <w:t>(237,537)</w:t>
            </w:r>
          </w:p>
        </w:tc>
        <w:tc>
          <w:tcPr>
            <w:tcW w:w="340" w:type="dxa"/>
            <w:vAlign w:val="bottom"/>
            <w:shd w:val="clear" w:color="auto" w:fill="F0F7E7"/>
          </w:tcPr>
          <w:p>
            <w:pPr>
              <w:spacing w:after="0"/>
              <w:rPr>
                <w:sz w:val="11"/>
                <w:szCs w:val="11"/>
                <w:color w:val="auto"/>
              </w:rPr>
            </w:pPr>
          </w:p>
        </w:tc>
        <w:tc>
          <w:tcPr>
            <w:tcW w:w="860" w:type="dxa"/>
            <w:vAlign w:val="bottom"/>
            <w:vMerge w:val="restart"/>
            <w:shd w:val="clear" w:color="auto" w:fill="F0F7E7"/>
          </w:tcPr>
          <w:p>
            <w:pPr>
              <w:jc w:val="right"/>
              <w:ind w:right="38"/>
              <w:spacing w:after="0"/>
              <w:rPr>
                <w:sz w:val="20"/>
                <w:szCs w:val="20"/>
                <w:color w:val="auto"/>
              </w:rPr>
            </w:pPr>
            <w:r>
              <w:rPr>
                <w:rFonts w:ascii="Arial" w:cs="Arial" w:eastAsia="Arial" w:hAnsi="Arial"/>
                <w:sz w:val="12"/>
                <w:szCs w:val="12"/>
                <w:color w:val="auto"/>
              </w:rPr>
              <w:t>(784,234)</w:t>
            </w:r>
          </w:p>
        </w:tc>
        <w:tc>
          <w:tcPr>
            <w:tcW w:w="360" w:type="dxa"/>
            <w:vAlign w:val="bottom"/>
            <w:shd w:val="clear" w:color="auto" w:fill="F0F7E7"/>
          </w:tcPr>
          <w:p>
            <w:pPr>
              <w:spacing w:after="0"/>
              <w:rPr>
                <w:sz w:val="11"/>
                <w:szCs w:val="11"/>
                <w:color w:val="auto"/>
              </w:rPr>
            </w:pPr>
          </w:p>
        </w:tc>
        <w:tc>
          <w:tcPr>
            <w:tcW w:w="860" w:type="dxa"/>
            <w:vAlign w:val="bottom"/>
            <w:vMerge w:val="restart"/>
            <w:shd w:val="clear" w:color="auto" w:fill="F0F7E7"/>
          </w:tcPr>
          <w:p>
            <w:pPr>
              <w:jc w:val="right"/>
              <w:ind w:right="38"/>
              <w:spacing w:after="0"/>
              <w:rPr>
                <w:sz w:val="20"/>
                <w:szCs w:val="20"/>
                <w:color w:val="auto"/>
              </w:rPr>
            </w:pPr>
            <w:r>
              <w:rPr>
                <w:rFonts w:ascii="Arial" w:cs="Arial" w:eastAsia="Arial" w:hAnsi="Arial"/>
                <w:sz w:val="12"/>
                <w:szCs w:val="12"/>
                <w:color w:val="auto"/>
              </w:rPr>
              <w:t>(2,359,539)</w:t>
            </w:r>
          </w:p>
        </w:tc>
        <w:tc>
          <w:tcPr>
            <w:tcW w:w="340" w:type="dxa"/>
            <w:vAlign w:val="bottom"/>
            <w:shd w:val="clear" w:color="auto" w:fill="F0F7E7"/>
          </w:tcPr>
          <w:p>
            <w:pPr>
              <w:spacing w:after="0"/>
              <w:rPr>
                <w:sz w:val="11"/>
                <w:szCs w:val="11"/>
                <w:color w:val="auto"/>
              </w:rPr>
            </w:pPr>
          </w:p>
        </w:tc>
        <w:tc>
          <w:tcPr>
            <w:tcW w:w="880" w:type="dxa"/>
            <w:vAlign w:val="bottom"/>
            <w:vMerge w:val="restart"/>
            <w:shd w:val="clear" w:color="auto" w:fill="F0F7E7"/>
          </w:tcPr>
          <w:p>
            <w:pPr>
              <w:jc w:val="right"/>
              <w:ind w:right="58"/>
              <w:spacing w:after="0"/>
              <w:rPr>
                <w:sz w:val="20"/>
                <w:szCs w:val="20"/>
                <w:color w:val="auto"/>
              </w:rPr>
            </w:pPr>
            <w:r>
              <w:rPr>
                <w:rFonts w:ascii="Arial" w:cs="Arial" w:eastAsia="Arial" w:hAnsi="Arial"/>
                <w:sz w:val="12"/>
                <w:szCs w:val="12"/>
                <w:color w:val="auto"/>
              </w:rPr>
              <w:t>2,748,610</w:t>
            </w:r>
          </w:p>
        </w:tc>
        <w:tc>
          <w:tcPr>
            <w:tcW w:w="0" w:type="dxa"/>
            <w:vAlign w:val="bottom"/>
          </w:tcPr>
          <w:p>
            <w:pPr>
              <w:spacing w:after="0"/>
              <w:rPr>
                <w:sz w:val="1"/>
                <w:szCs w:val="1"/>
                <w:color w:val="auto"/>
              </w:rPr>
            </w:pPr>
          </w:p>
        </w:tc>
      </w:tr>
      <w:tr>
        <w:trPr>
          <w:trHeight w:val="128"/>
        </w:trPr>
        <w:tc>
          <w:tcPr>
            <w:tcW w:w="280" w:type="dxa"/>
            <w:vAlign w:val="bottom"/>
            <w:tcBorders>
              <w:bottom w:val="single" w:sz="8" w:color="F0F7E7"/>
            </w:tcBorders>
            <w:shd w:val="clear" w:color="auto" w:fill="F0F7E7"/>
          </w:tcPr>
          <w:p>
            <w:pPr>
              <w:spacing w:after="0"/>
              <w:rPr>
                <w:sz w:val="11"/>
                <w:szCs w:val="11"/>
                <w:color w:val="auto"/>
              </w:rPr>
            </w:pPr>
          </w:p>
        </w:tc>
        <w:tc>
          <w:tcPr>
            <w:tcW w:w="4940" w:type="dxa"/>
            <w:vAlign w:val="bottom"/>
            <w:tcBorders>
              <w:bottom w:val="single" w:sz="8" w:color="F0F7E7"/>
            </w:tcBorders>
            <w:gridSpan w:val="2"/>
            <w:shd w:val="clear" w:color="auto" w:fill="F0F7E7"/>
          </w:tcPr>
          <w:p>
            <w:pPr>
              <w:spacing w:after="0" w:line="128" w:lineRule="exact"/>
              <w:rPr>
                <w:sz w:val="20"/>
                <w:szCs w:val="20"/>
                <w:color w:val="auto"/>
              </w:rPr>
            </w:pPr>
            <w:r>
              <w:rPr>
                <w:rFonts w:ascii="Arial" w:cs="Arial" w:eastAsia="Arial" w:hAnsi="Arial"/>
                <w:sz w:val="12"/>
                <w:szCs w:val="12"/>
                <w:color w:val="auto"/>
              </w:rPr>
              <w:t>and unvested equity awards granted in prior years</w:t>
            </w:r>
          </w:p>
        </w:tc>
        <w:tc>
          <w:tcPr>
            <w:tcW w:w="320" w:type="dxa"/>
            <w:vAlign w:val="bottom"/>
            <w:tcBorders>
              <w:bottom w:val="single" w:sz="8" w:color="F0F7E7"/>
            </w:tcBorders>
            <w:shd w:val="clear" w:color="auto" w:fill="F0F7E7"/>
          </w:tcPr>
          <w:p>
            <w:pPr>
              <w:spacing w:after="0"/>
              <w:rPr>
                <w:sz w:val="11"/>
                <w:szCs w:val="11"/>
                <w:color w:val="auto"/>
              </w:rPr>
            </w:pPr>
          </w:p>
        </w:tc>
        <w:tc>
          <w:tcPr>
            <w:tcW w:w="860" w:type="dxa"/>
            <w:vAlign w:val="bottom"/>
            <w:tcBorders>
              <w:bottom w:val="single" w:sz="8" w:color="F0F7E7"/>
            </w:tcBorders>
            <w:vMerge w:val="continue"/>
            <w:shd w:val="clear" w:color="auto" w:fill="F0F7E7"/>
          </w:tcPr>
          <w:p>
            <w:pPr>
              <w:spacing w:after="0"/>
              <w:rPr>
                <w:sz w:val="11"/>
                <w:szCs w:val="11"/>
                <w:color w:val="auto"/>
              </w:rPr>
            </w:pPr>
          </w:p>
        </w:tc>
        <w:tc>
          <w:tcPr>
            <w:tcW w:w="340" w:type="dxa"/>
            <w:vAlign w:val="bottom"/>
            <w:tcBorders>
              <w:bottom w:val="single" w:sz="8" w:color="F0F7E7"/>
            </w:tcBorders>
            <w:shd w:val="clear" w:color="auto" w:fill="F0F7E7"/>
          </w:tcPr>
          <w:p>
            <w:pPr>
              <w:spacing w:after="0"/>
              <w:rPr>
                <w:sz w:val="11"/>
                <w:szCs w:val="11"/>
                <w:color w:val="auto"/>
              </w:rPr>
            </w:pPr>
          </w:p>
        </w:tc>
        <w:tc>
          <w:tcPr>
            <w:tcW w:w="880" w:type="dxa"/>
            <w:vAlign w:val="bottom"/>
            <w:tcBorders>
              <w:bottom w:val="single" w:sz="8" w:color="F0F7E7"/>
            </w:tcBorders>
            <w:vMerge w:val="continue"/>
            <w:shd w:val="clear" w:color="auto" w:fill="F0F7E7"/>
          </w:tcPr>
          <w:p>
            <w:pPr>
              <w:spacing w:after="0"/>
              <w:rPr>
                <w:sz w:val="11"/>
                <w:szCs w:val="11"/>
                <w:color w:val="auto"/>
              </w:rPr>
            </w:pPr>
          </w:p>
        </w:tc>
        <w:tc>
          <w:tcPr>
            <w:tcW w:w="340" w:type="dxa"/>
            <w:vAlign w:val="bottom"/>
            <w:tcBorders>
              <w:bottom w:val="single" w:sz="8" w:color="F0F7E7"/>
            </w:tcBorders>
            <w:shd w:val="clear" w:color="auto" w:fill="F0F7E7"/>
          </w:tcPr>
          <w:p>
            <w:pPr>
              <w:spacing w:after="0"/>
              <w:rPr>
                <w:sz w:val="11"/>
                <w:szCs w:val="11"/>
                <w:color w:val="auto"/>
              </w:rPr>
            </w:pPr>
          </w:p>
        </w:tc>
        <w:tc>
          <w:tcPr>
            <w:tcW w:w="860" w:type="dxa"/>
            <w:vAlign w:val="bottom"/>
            <w:tcBorders>
              <w:bottom w:val="single" w:sz="8" w:color="F0F7E7"/>
            </w:tcBorders>
            <w:vMerge w:val="continue"/>
            <w:shd w:val="clear" w:color="auto" w:fill="F0F7E7"/>
          </w:tcPr>
          <w:p>
            <w:pPr>
              <w:spacing w:after="0"/>
              <w:rPr>
                <w:sz w:val="11"/>
                <w:szCs w:val="11"/>
                <w:color w:val="auto"/>
              </w:rPr>
            </w:pPr>
          </w:p>
        </w:tc>
        <w:tc>
          <w:tcPr>
            <w:tcW w:w="360" w:type="dxa"/>
            <w:vAlign w:val="bottom"/>
            <w:tcBorders>
              <w:bottom w:val="single" w:sz="8" w:color="F0F7E7"/>
            </w:tcBorders>
            <w:shd w:val="clear" w:color="auto" w:fill="F0F7E7"/>
          </w:tcPr>
          <w:p>
            <w:pPr>
              <w:spacing w:after="0"/>
              <w:rPr>
                <w:sz w:val="11"/>
                <w:szCs w:val="11"/>
                <w:color w:val="auto"/>
              </w:rPr>
            </w:pPr>
          </w:p>
        </w:tc>
        <w:tc>
          <w:tcPr>
            <w:tcW w:w="860" w:type="dxa"/>
            <w:vAlign w:val="bottom"/>
            <w:tcBorders>
              <w:bottom w:val="single" w:sz="8" w:color="F0F7E7"/>
            </w:tcBorders>
            <w:vMerge w:val="continue"/>
            <w:shd w:val="clear" w:color="auto" w:fill="F0F7E7"/>
          </w:tcPr>
          <w:p>
            <w:pPr>
              <w:spacing w:after="0"/>
              <w:rPr>
                <w:sz w:val="11"/>
                <w:szCs w:val="11"/>
                <w:color w:val="auto"/>
              </w:rPr>
            </w:pPr>
          </w:p>
        </w:tc>
        <w:tc>
          <w:tcPr>
            <w:tcW w:w="340" w:type="dxa"/>
            <w:vAlign w:val="bottom"/>
            <w:tcBorders>
              <w:bottom w:val="single" w:sz="8" w:color="F0F7E7"/>
            </w:tcBorders>
            <w:shd w:val="clear" w:color="auto" w:fill="F0F7E7"/>
          </w:tcPr>
          <w:p>
            <w:pPr>
              <w:spacing w:after="0"/>
              <w:rPr>
                <w:sz w:val="11"/>
                <w:szCs w:val="11"/>
                <w:color w:val="auto"/>
              </w:rPr>
            </w:pPr>
          </w:p>
        </w:tc>
        <w:tc>
          <w:tcPr>
            <w:tcW w:w="880" w:type="dxa"/>
            <w:vAlign w:val="bottom"/>
            <w:tcBorders>
              <w:bottom w:val="single" w:sz="8" w:color="F0F7E7"/>
            </w:tcBorders>
            <w:vMerge w:val="continue"/>
            <w:shd w:val="clear" w:color="auto" w:fill="F0F7E7"/>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80" w:type="dxa"/>
            <w:vAlign w:val="bottom"/>
          </w:tcPr>
          <w:p>
            <w:pPr>
              <w:spacing w:after="0"/>
              <w:rPr>
                <w:sz w:val="11"/>
                <w:szCs w:val="11"/>
                <w:color w:val="auto"/>
              </w:rPr>
            </w:pPr>
          </w:p>
        </w:tc>
        <w:tc>
          <w:tcPr>
            <w:tcW w:w="4940" w:type="dxa"/>
            <w:vAlign w:val="bottom"/>
            <w:gridSpan w:val="2"/>
          </w:tcPr>
          <w:p>
            <w:pPr>
              <w:spacing w:after="0" w:line="132" w:lineRule="exact"/>
              <w:rPr>
                <w:sz w:val="20"/>
                <w:szCs w:val="20"/>
                <w:color w:val="auto"/>
              </w:rPr>
            </w:pPr>
            <w:r>
              <w:rPr>
                <w:rFonts w:ascii="Arial" w:cs="Arial" w:eastAsia="Arial" w:hAnsi="Arial"/>
                <w:sz w:val="12"/>
                <w:szCs w:val="12"/>
                <w:i w:val="1"/>
                <w:iCs w:val="1"/>
                <w:color w:val="auto"/>
              </w:rPr>
              <w:t xml:space="preserve">Plus (less), </w:t>
            </w:r>
            <w:r>
              <w:rPr>
                <w:rFonts w:ascii="Arial" w:cs="Arial" w:eastAsia="Arial" w:hAnsi="Arial"/>
                <w:sz w:val="12"/>
                <w:szCs w:val="12"/>
                <w:color w:val="auto"/>
              </w:rPr>
              <w:t>change in fair value from prior year end to vesting date of equity awards</w:t>
            </w:r>
          </w:p>
        </w:tc>
        <w:tc>
          <w:tcPr>
            <w:tcW w:w="320" w:type="dxa"/>
            <w:vAlign w:val="bottom"/>
          </w:tcPr>
          <w:p>
            <w:pPr>
              <w:spacing w:after="0"/>
              <w:rPr>
                <w:sz w:val="11"/>
                <w:szCs w:val="11"/>
                <w:color w:val="auto"/>
              </w:rPr>
            </w:pPr>
          </w:p>
        </w:tc>
        <w:tc>
          <w:tcPr>
            <w:tcW w:w="860" w:type="dxa"/>
            <w:vAlign w:val="bottom"/>
            <w:vMerge w:val="restart"/>
          </w:tcPr>
          <w:p>
            <w:pPr>
              <w:jc w:val="right"/>
              <w:ind w:right="38"/>
              <w:spacing w:after="0"/>
              <w:rPr>
                <w:sz w:val="20"/>
                <w:szCs w:val="20"/>
                <w:color w:val="auto"/>
              </w:rPr>
            </w:pPr>
            <w:r>
              <w:rPr>
                <w:rFonts w:ascii="Arial" w:cs="Arial" w:eastAsia="Arial" w:hAnsi="Arial"/>
                <w:sz w:val="12"/>
                <w:szCs w:val="12"/>
                <w:color w:val="auto"/>
              </w:rPr>
              <w:t>23,510</w:t>
            </w:r>
          </w:p>
        </w:tc>
        <w:tc>
          <w:tcPr>
            <w:tcW w:w="340" w:type="dxa"/>
            <w:vAlign w:val="bottom"/>
          </w:tcPr>
          <w:p>
            <w:pPr>
              <w:spacing w:after="0"/>
              <w:rPr>
                <w:sz w:val="11"/>
                <w:szCs w:val="11"/>
                <w:color w:val="auto"/>
              </w:rPr>
            </w:pPr>
          </w:p>
        </w:tc>
        <w:tc>
          <w:tcPr>
            <w:tcW w:w="880" w:type="dxa"/>
            <w:vAlign w:val="bottom"/>
            <w:vMerge w:val="restart"/>
          </w:tcPr>
          <w:p>
            <w:pPr>
              <w:jc w:val="right"/>
              <w:ind w:right="38"/>
              <w:spacing w:after="0"/>
              <w:rPr>
                <w:sz w:val="20"/>
                <w:szCs w:val="20"/>
                <w:color w:val="auto"/>
              </w:rPr>
            </w:pPr>
            <w:r>
              <w:rPr>
                <w:rFonts w:ascii="Arial" w:cs="Arial" w:eastAsia="Arial" w:hAnsi="Arial"/>
                <w:sz w:val="12"/>
                <w:szCs w:val="12"/>
                <w:color w:val="auto"/>
              </w:rPr>
              <w:t>(101,588)</w:t>
            </w:r>
          </w:p>
        </w:tc>
        <w:tc>
          <w:tcPr>
            <w:tcW w:w="340" w:type="dxa"/>
            <w:vAlign w:val="bottom"/>
          </w:tcPr>
          <w:p>
            <w:pPr>
              <w:spacing w:after="0"/>
              <w:rPr>
                <w:sz w:val="11"/>
                <w:szCs w:val="11"/>
                <w:color w:val="auto"/>
              </w:rPr>
            </w:pPr>
          </w:p>
        </w:tc>
        <w:tc>
          <w:tcPr>
            <w:tcW w:w="860" w:type="dxa"/>
            <w:vAlign w:val="bottom"/>
            <w:vMerge w:val="restart"/>
          </w:tcPr>
          <w:p>
            <w:pPr>
              <w:jc w:val="right"/>
              <w:ind w:right="38"/>
              <w:spacing w:after="0"/>
              <w:rPr>
                <w:sz w:val="20"/>
                <w:szCs w:val="20"/>
                <w:color w:val="auto"/>
              </w:rPr>
            </w:pPr>
            <w:r>
              <w:rPr>
                <w:rFonts w:ascii="Arial" w:cs="Arial" w:eastAsia="Arial" w:hAnsi="Arial"/>
                <w:sz w:val="12"/>
                <w:szCs w:val="12"/>
                <w:color w:val="auto"/>
              </w:rPr>
              <w:t>(573,020)</w:t>
            </w:r>
          </w:p>
        </w:tc>
        <w:tc>
          <w:tcPr>
            <w:tcW w:w="360" w:type="dxa"/>
            <w:vAlign w:val="bottom"/>
          </w:tcPr>
          <w:p>
            <w:pPr>
              <w:spacing w:after="0"/>
              <w:rPr>
                <w:sz w:val="11"/>
                <w:szCs w:val="11"/>
                <w:color w:val="auto"/>
              </w:rPr>
            </w:pPr>
          </w:p>
        </w:tc>
        <w:tc>
          <w:tcPr>
            <w:tcW w:w="860" w:type="dxa"/>
            <w:vAlign w:val="bottom"/>
            <w:vMerge w:val="restart"/>
          </w:tcPr>
          <w:p>
            <w:pPr>
              <w:jc w:val="right"/>
              <w:ind w:right="38"/>
              <w:spacing w:after="0"/>
              <w:rPr>
                <w:sz w:val="20"/>
                <w:szCs w:val="20"/>
                <w:color w:val="auto"/>
              </w:rPr>
            </w:pPr>
            <w:r>
              <w:rPr>
                <w:rFonts w:ascii="Arial" w:cs="Arial" w:eastAsia="Arial" w:hAnsi="Arial"/>
                <w:sz w:val="12"/>
                <w:szCs w:val="12"/>
                <w:color w:val="auto"/>
              </w:rPr>
              <w:t>(915,411)</w:t>
            </w:r>
          </w:p>
        </w:tc>
        <w:tc>
          <w:tcPr>
            <w:tcW w:w="340" w:type="dxa"/>
            <w:vAlign w:val="bottom"/>
          </w:tcPr>
          <w:p>
            <w:pPr>
              <w:spacing w:after="0"/>
              <w:rPr>
                <w:sz w:val="11"/>
                <w:szCs w:val="11"/>
                <w:color w:val="auto"/>
              </w:rPr>
            </w:pPr>
          </w:p>
        </w:tc>
        <w:tc>
          <w:tcPr>
            <w:tcW w:w="880" w:type="dxa"/>
            <w:vAlign w:val="bottom"/>
            <w:vMerge w:val="restart"/>
          </w:tcPr>
          <w:p>
            <w:pPr>
              <w:jc w:val="right"/>
              <w:ind w:right="58"/>
              <w:spacing w:after="0"/>
              <w:rPr>
                <w:sz w:val="20"/>
                <w:szCs w:val="20"/>
                <w:color w:val="auto"/>
              </w:rPr>
            </w:pPr>
            <w:r>
              <w:rPr>
                <w:rFonts w:ascii="Arial" w:cs="Arial" w:eastAsia="Arial" w:hAnsi="Arial"/>
                <w:sz w:val="12"/>
                <w:szCs w:val="12"/>
                <w:color w:val="auto"/>
              </w:rPr>
              <w:t>437,305</w:t>
            </w:r>
          </w:p>
        </w:tc>
        <w:tc>
          <w:tcPr>
            <w:tcW w:w="0" w:type="dxa"/>
            <w:vAlign w:val="bottom"/>
          </w:tcPr>
          <w:p>
            <w:pPr>
              <w:spacing w:after="0"/>
              <w:rPr>
                <w:sz w:val="1"/>
                <w:szCs w:val="1"/>
                <w:color w:val="auto"/>
              </w:rPr>
            </w:pPr>
          </w:p>
        </w:tc>
      </w:tr>
      <w:tr>
        <w:trPr>
          <w:trHeight w:val="95"/>
        </w:trPr>
        <w:tc>
          <w:tcPr>
            <w:tcW w:w="280" w:type="dxa"/>
            <w:vAlign w:val="bottom"/>
          </w:tcPr>
          <w:p>
            <w:pPr>
              <w:spacing w:after="0"/>
              <w:rPr>
                <w:sz w:val="8"/>
                <w:szCs w:val="8"/>
                <w:color w:val="auto"/>
              </w:rPr>
            </w:pPr>
          </w:p>
        </w:tc>
        <w:tc>
          <w:tcPr>
            <w:tcW w:w="4940" w:type="dxa"/>
            <w:vAlign w:val="bottom"/>
            <w:gridSpan w:val="2"/>
            <w:vMerge w:val="restart"/>
          </w:tcPr>
          <w:p>
            <w:pPr>
              <w:spacing w:after="0"/>
              <w:rPr>
                <w:sz w:val="20"/>
                <w:szCs w:val="20"/>
                <w:color w:val="auto"/>
              </w:rPr>
            </w:pPr>
            <w:r>
              <w:rPr>
                <w:rFonts w:ascii="Arial" w:cs="Arial" w:eastAsia="Arial" w:hAnsi="Arial"/>
                <w:sz w:val="12"/>
                <w:szCs w:val="12"/>
                <w:color w:val="auto"/>
              </w:rPr>
              <w:t>granted in prior years that vested in the year</w:t>
            </w:r>
          </w:p>
        </w:tc>
        <w:tc>
          <w:tcPr>
            <w:tcW w:w="32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36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3"/>
        </w:trPr>
        <w:tc>
          <w:tcPr>
            <w:tcW w:w="280" w:type="dxa"/>
            <w:vAlign w:val="bottom"/>
          </w:tcPr>
          <w:p>
            <w:pPr>
              <w:spacing w:after="0"/>
              <w:rPr>
                <w:sz w:val="4"/>
                <w:szCs w:val="4"/>
                <w:color w:val="auto"/>
              </w:rPr>
            </w:pPr>
          </w:p>
        </w:tc>
        <w:tc>
          <w:tcPr>
            <w:tcW w:w="4940" w:type="dxa"/>
            <w:vAlign w:val="bottom"/>
            <w:gridSpan w:val="2"/>
            <w:vMerge w:val="continue"/>
          </w:tcPr>
          <w:p>
            <w:pPr>
              <w:spacing w:after="0"/>
              <w:rPr>
                <w:sz w:val="4"/>
                <w:szCs w:val="4"/>
                <w:color w:val="auto"/>
              </w:rPr>
            </w:pPr>
          </w:p>
        </w:tc>
        <w:tc>
          <w:tcPr>
            <w:tcW w:w="320" w:type="dxa"/>
            <w:vAlign w:val="bottom"/>
          </w:tcPr>
          <w:p>
            <w:pPr>
              <w:spacing w:after="0"/>
              <w:rPr>
                <w:sz w:val="4"/>
                <w:szCs w:val="4"/>
                <w:color w:val="auto"/>
              </w:rPr>
            </w:pPr>
          </w:p>
        </w:tc>
        <w:tc>
          <w:tcPr>
            <w:tcW w:w="860" w:type="dxa"/>
            <w:vAlign w:val="bottom"/>
          </w:tcPr>
          <w:p>
            <w:pPr>
              <w:spacing w:after="0"/>
              <w:rPr>
                <w:sz w:val="4"/>
                <w:szCs w:val="4"/>
                <w:color w:val="auto"/>
              </w:rPr>
            </w:pPr>
          </w:p>
        </w:tc>
        <w:tc>
          <w:tcPr>
            <w:tcW w:w="340" w:type="dxa"/>
            <w:vAlign w:val="bottom"/>
          </w:tcPr>
          <w:p>
            <w:pPr>
              <w:spacing w:after="0"/>
              <w:rPr>
                <w:sz w:val="4"/>
                <w:szCs w:val="4"/>
                <w:color w:val="auto"/>
              </w:rPr>
            </w:pPr>
          </w:p>
        </w:tc>
        <w:tc>
          <w:tcPr>
            <w:tcW w:w="8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60" w:type="dxa"/>
            <w:vAlign w:val="bottom"/>
          </w:tcPr>
          <w:p>
            <w:pPr>
              <w:spacing w:after="0"/>
              <w:rPr>
                <w:sz w:val="4"/>
                <w:szCs w:val="4"/>
                <w:color w:val="auto"/>
              </w:rPr>
            </w:pPr>
          </w:p>
        </w:tc>
        <w:tc>
          <w:tcPr>
            <w:tcW w:w="360" w:type="dxa"/>
            <w:vAlign w:val="bottom"/>
          </w:tcPr>
          <w:p>
            <w:pPr>
              <w:spacing w:after="0"/>
              <w:rPr>
                <w:sz w:val="4"/>
                <w:szCs w:val="4"/>
                <w:color w:val="auto"/>
              </w:rPr>
            </w:pPr>
          </w:p>
        </w:tc>
        <w:tc>
          <w:tcPr>
            <w:tcW w:w="860" w:type="dxa"/>
            <w:vAlign w:val="bottom"/>
          </w:tcPr>
          <w:p>
            <w:pPr>
              <w:spacing w:after="0"/>
              <w:rPr>
                <w:sz w:val="4"/>
                <w:szCs w:val="4"/>
                <w:color w:val="auto"/>
              </w:rPr>
            </w:pPr>
          </w:p>
        </w:tc>
        <w:tc>
          <w:tcPr>
            <w:tcW w:w="34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2"/>
        </w:trPr>
        <w:tc>
          <w:tcPr>
            <w:tcW w:w="280" w:type="dxa"/>
            <w:vAlign w:val="bottom"/>
            <w:shd w:val="clear" w:color="auto" w:fill="F0F7E7"/>
          </w:tcPr>
          <w:p>
            <w:pPr>
              <w:spacing w:after="0"/>
              <w:rPr>
                <w:sz w:val="11"/>
                <w:szCs w:val="11"/>
                <w:color w:val="auto"/>
              </w:rPr>
            </w:pPr>
          </w:p>
        </w:tc>
        <w:tc>
          <w:tcPr>
            <w:tcW w:w="4940" w:type="dxa"/>
            <w:vAlign w:val="bottom"/>
            <w:gridSpan w:val="2"/>
            <w:shd w:val="clear" w:color="auto" w:fill="F0F7E7"/>
          </w:tcPr>
          <w:p>
            <w:pPr>
              <w:spacing w:after="0" w:line="132" w:lineRule="exact"/>
              <w:rPr>
                <w:sz w:val="20"/>
                <w:szCs w:val="20"/>
                <w:color w:val="auto"/>
              </w:rPr>
            </w:pPr>
            <w:r>
              <w:rPr>
                <w:rFonts w:ascii="Arial" w:cs="Arial" w:eastAsia="Arial" w:hAnsi="Arial"/>
                <w:sz w:val="12"/>
                <w:szCs w:val="12"/>
                <w:i w:val="1"/>
                <w:iCs w:val="1"/>
                <w:color w:val="auto"/>
              </w:rPr>
              <w:t xml:space="preserve">Less, </w:t>
            </w:r>
            <w:r>
              <w:rPr>
                <w:rFonts w:ascii="Arial" w:cs="Arial" w:eastAsia="Arial" w:hAnsi="Arial"/>
                <w:sz w:val="12"/>
                <w:szCs w:val="12"/>
                <w:color w:val="auto"/>
              </w:rPr>
              <w:t>prior year-end fair value of any equity awards that failed to meet vesting conditions</w:t>
            </w:r>
          </w:p>
        </w:tc>
        <w:tc>
          <w:tcPr>
            <w:tcW w:w="320" w:type="dxa"/>
            <w:vAlign w:val="bottom"/>
            <w:shd w:val="clear" w:color="auto" w:fill="F0F7E7"/>
          </w:tcPr>
          <w:p>
            <w:pPr>
              <w:spacing w:after="0"/>
              <w:rPr>
                <w:sz w:val="11"/>
                <w:szCs w:val="11"/>
                <w:color w:val="auto"/>
              </w:rPr>
            </w:pPr>
          </w:p>
        </w:tc>
        <w:tc>
          <w:tcPr>
            <w:tcW w:w="860" w:type="dxa"/>
            <w:vAlign w:val="bottom"/>
            <w:vMerge w:val="restart"/>
            <w:shd w:val="clear" w:color="auto" w:fill="F0F7E7"/>
          </w:tcPr>
          <w:p>
            <w:pPr>
              <w:jc w:val="right"/>
              <w:ind w:right="38"/>
              <w:spacing w:after="0"/>
              <w:rPr>
                <w:sz w:val="20"/>
                <w:szCs w:val="20"/>
                <w:color w:val="auto"/>
              </w:rPr>
            </w:pPr>
            <w:r>
              <w:rPr>
                <w:rFonts w:ascii="Arial" w:cs="Arial" w:eastAsia="Arial" w:hAnsi="Arial"/>
                <w:sz w:val="12"/>
                <w:szCs w:val="12"/>
                <w:color w:val="auto"/>
              </w:rPr>
              <w:t>—</w:t>
            </w:r>
          </w:p>
        </w:tc>
        <w:tc>
          <w:tcPr>
            <w:tcW w:w="340" w:type="dxa"/>
            <w:vAlign w:val="bottom"/>
            <w:shd w:val="clear" w:color="auto" w:fill="F0F7E7"/>
          </w:tcPr>
          <w:p>
            <w:pPr>
              <w:spacing w:after="0"/>
              <w:rPr>
                <w:sz w:val="11"/>
                <w:szCs w:val="11"/>
                <w:color w:val="auto"/>
              </w:rPr>
            </w:pPr>
          </w:p>
        </w:tc>
        <w:tc>
          <w:tcPr>
            <w:tcW w:w="880" w:type="dxa"/>
            <w:vAlign w:val="bottom"/>
            <w:vMerge w:val="restart"/>
            <w:shd w:val="clear" w:color="auto" w:fill="F0F7E7"/>
          </w:tcPr>
          <w:p>
            <w:pPr>
              <w:jc w:val="right"/>
              <w:ind w:right="38"/>
              <w:spacing w:after="0"/>
              <w:rPr>
                <w:sz w:val="20"/>
                <w:szCs w:val="20"/>
                <w:color w:val="auto"/>
              </w:rPr>
            </w:pPr>
            <w:r>
              <w:rPr>
                <w:rFonts w:ascii="Arial" w:cs="Arial" w:eastAsia="Arial" w:hAnsi="Arial"/>
                <w:sz w:val="12"/>
                <w:szCs w:val="12"/>
                <w:color w:val="auto"/>
              </w:rPr>
              <w:t>—</w:t>
            </w:r>
          </w:p>
        </w:tc>
        <w:tc>
          <w:tcPr>
            <w:tcW w:w="340" w:type="dxa"/>
            <w:vAlign w:val="bottom"/>
            <w:shd w:val="clear" w:color="auto" w:fill="F0F7E7"/>
          </w:tcPr>
          <w:p>
            <w:pPr>
              <w:spacing w:after="0"/>
              <w:rPr>
                <w:sz w:val="11"/>
                <w:szCs w:val="11"/>
                <w:color w:val="auto"/>
              </w:rPr>
            </w:pPr>
          </w:p>
        </w:tc>
        <w:tc>
          <w:tcPr>
            <w:tcW w:w="860" w:type="dxa"/>
            <w:vAlign w:val="bottom"/>
            <w:vMerge w:val="restart"/>
            <w:shd w:val="clear" w:color="auto" w:fill="F0F7E7"/>
          </w:tcPr>
          <w:p>
            <w:pPr>
              <w:jc w:val="right"/>
              <w:ind w:right="38"/>
              <w:spacing w:after="0"/>
              <w:rPr>
                <w:sz w:val="20"/>
                <w:szCs w:val="20"/>
                <w:color w:val="auto"/>
              </w:rPr>
            </w:pPr>
            <w:r>
              <w:rPr>
                <w:rFonts w:ascii="Arial" w:cs="Arial" w:eastAsia="Arial" w:hAnsi="Arial"/>
                <w:sz w:val="12"/>
                <w:szCs w:val="12"/>
                <w:color w:val="auto"/>
              </w:rPr>
              <w:t>(864,551)</w:t>
            </w:r>
          </w:p>
        </w:tc>
        <w:tc>
          <w:tcPr>
            <w:tcW w:w="360" w:type="dxa"/>
            <w:vAlign w:val="bottom"/>
            <w:shd w:val="clear" w:color="auto" w:fill="F0F7E7"/>
          </w:tcPr>
          <w:p>
            <w:pPr>
              <w:spacing w:after="0"/>
              <w:rPr>
                <w:sz w:val="11"/>
                <w:szCs w:val="11"/>
                <w:color w:val="auto"/>
              </w:rPr>
            </w:pPr>
          </w:p>
        </w:tc>
        <w:tc>
          <w:tcPr>
            <w:tcW w:w="860" w:type="dxa"/>
            <w:vAlign w:val="bottom"/>
            <w:vMerge w:val="restart"/>
            <w:shd w:val="clear" w:color="auto" w:fill="F0F7E7"/>
          </w:tcPr>
          <w:p>
            <w:pPr>
              <w:jc w:val="right"/>
              <w:ind w:right="38"/>
              <w:spacing w:after="0"/>
              <w:rPr>
                <w:sz w:val="20"/>
                <w:szCs w:val="20"/>
                <w:color w:val="auto"/>
              </w:rPr>
            </w:pPr>
            <w:r>
              <w:rPr>
                <w:rFonts w:ascii="Arial" w:cs="Arial" w:eastAsia="Arial" w:hAnsi="Arial"/>
                <w:sz w:val="12"/>
                <w:szCs w:val="12"/>
                <w:color w:val="auto"/>
              </w:rPr>
              <w:t>—</w:t>
            </w:r>
          </w:p>
        </w:tc>
        <w:tc>
          <w:tcPr>
            <w:tcW w:w="340" w:type="dxa"/>
            <w:vAlign w:val="bottom"/>
            <w:shd w:val="clear" w:color="auto" w:fill="F0F7E7"/>
          </w:tcPr>
          <w:p>
            <w:pPr>
              <w:spacing w:after="0"/>
              <w:rPr>
                <w:sz w:val="11"/>
                <w:szCs w:val="11"/>
                <w:color w:val="auto"/>
              </w:rPr>
            </w:pPr>
          </w:p>
        </w:tc>
        <w:tc>
          <w:tcPr>
            <w:tcW w:w="880" w:type="dxa"/>
            <w:vAlign w:val="bottom"/>
            <w:vMerge w:val="restart"/>
            <w:shd w:val="clear" w:color="auto" w:fill="F0F7E7"/>
          </w:tcPr>
          <w:p>
            <w:pPr>
              <w:jc w:val="right"/>
              <w:ind w:right="58"/>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8"/>
        </w:trPr>
        <w:tc>
          <w:tcPr>
            <w:tcW w:w="280" w:type="dxa"/>
            <w:vAlign w:val="bottom"/>
            <w:tcBorders>
              <w:bottom w:val="single" w:sz="8" w:color="F0F7E7"/>
            </w:tcBorders>
            <w:shd w:val="clear" w:color="auto" w:fill="F0F7E7"/>
          </w:tcPr>
          <w:p>
            <w:pPr>
              <w:spacing w:after="0"/>
              <w:rPr>
                <w:sz w:val="11"/>
                <w:szCs w:val="11"/>
                <w:color w:val="auto"/>
              </w:rPr>
            </w:pPr>
          </w:p>
        </w:tc>
        <w:tc>
          <w:tcPr>
            <w:tcW w:w="4940" w:type="dxa"/>
            <w:vAlign w:val="bottom"/>
            <w:tcBorders>
              <w:bottom w:val="single" w:sz="8" w:color="F0F7E7"/>
            </w:tcBorders>
            <w:gridSpan w:val="2"/>
            <w:shd w:val="clear" w:color="auto" w:fill="F0F7E7"/>
          </w:tcPr>
          <w:p>
            <w:pPr>
              <w:spacing w:after="0" w:line="128" w:lineRule="exact"/>
              <w:rPr>
                <w:sz w:val="20"/>
                <w:szCs w:val="20"/>
                <w:color w:val="auto"/>
              </w:rPr>
            </w:pPr>
            <w:r>
              <w:rPr>
                <w:rFonts w:ascii="Arial" w:cs="Arial" w:eastAsia="Arial" w:hAnsi="Arial"/>
                <w:sz w:val="12"/>
                <w:szCs w:val="12"/>
                <w:color w:val="auto"/>
              </w:rPr>
              <w:t>in the year</w:t>
            </w:r>
          </w:p>
        </w:tc>
        <w:tc>
          <w:tcPr>
            <w:tcW w:w="320" w:type="dxa"/>
            <w:vAlign w:val="bottom"/>
            <w:tcBorders>
              <w:bottom w:val="single" w:sz="8" w:color="F0F7E7"/>
            </w:tcBorders>
            <w:shd w:val="clear" w:color="auto" w:fill="F0F7E7"/>
          </w:tcPr>
          <w:p>
            <w:pPr>
              <w:spacing w:after="0"/>
              <w:rPr>
                <w:sz w:val="11"/>
                <w:szCs w:val="11"/>
                <w:color w:val="auto"/>
              </w:rPr>
            </w:pPr>
          </w:p>
        </w:tc>
        <w:tc>
          <w:tcPr>
            <w:tcW w:w="860" w:type="dxa"/>
            <w:vAlign w:val="bottom"/>
            <w:tcBorders>
              <w:bottom w:val="single" w:sz="8" w:color="F0F7E7"/>
            </w:tcBorders>
            <w:vMerge w:val="continue"/>
            <w:shd w:val="clear" w:color="auto" w:fill="F0F7E7"/>
          </w:tcPr>
          <w:p>
            <w:pPr>
              <w:spacing w:after="0"/>
              <w:rPr>
                <w:sz w:val="11"/>
                <w:szCs w:val="11"/>
                <w:color w:val="auto"/>
              </w:rPr>
            </w:pPr>
          </w:p>
        </w:tc>
        <w:tc>
          <w:tcPr>
            <w:tcW w:w="340" w:type="dxa"/>
            <w:vAlign w:val="bottom"/>
            <w:tcBorders>
              <w:bottom w:val="single" w:sz="8" w:color="F0F7E7"/>
            </w:tcBorders>
            <w:shd w:val="clear" w:color="auto" w:fill="F0F7E7"/>
          </w:tcPr>
          <w:p>
            <w:pPr>
              <w:spacing w:after="0"/>
              <w:rPr>
                <w:sz w:val="11"/>
                <w:szCs w:val="11"/>
                <w:color w:val="auto"/>
              </w:rPr>
            </w:pPr>
          </w:p>
        </w:tc>
        <w:tc>
          <w:tcPr>
            <w:tcW w:w="880" w:type="dxa"/>
            <w:vAlign w:val="bottom"/>
            <w:tcBorders>
              <w:bottom w:val="single" w:sz="8" w:color="F0F7E7"/>
            </w:tcBorders>
            <w:vMerge w:val="continue"/>
            <w:shd w:val="clear" w:color="auto" w:fill="F0F7E7"/>
          </w:tcPr>
          <w:p>
            <w:pPr>
              <w:spacing w:after="0"/>
              <w:rPr>
                <w:sz w:val="11"/>
                <w:szCs w:val="11"/>
                <w:color w:val="auto"/>
              </w:rPr>
            </w:pPr>
          </w:p>
        </w:tc>
        <w:tc>
          <w:tcPr>
            <w:tcW w:w="340" w:type="dxa"/>
            <w:vAlign w:val="bottom"/>
            <w:tcBorders>
              <w:bottom w:val="single" w:sz="8" w:color="F0F7E7"/>
            </w:tcBorders>
            <w:shd w:val="clear" w:color="auto" w:fill="F0F7E7"/>
          </w:tcPr>
          <w:p>
            <w:pPr>
              <w:spacing w:after="0"/>
              <w:rPr>
                <w:sz w:val="11"/>
                <w:szCs w:val="11"/>
                <w:color w:val="auto"/>
              </w:rPr>
            </w:pPr>
          </w:p>
        </w:tc>
        <w:tc>
          <w:tcPr>
            <w:tcW w:w="860" w:type="dxa"/>
            <w:vAlign w:val="bottom"/>
            <w:tcBorders>
              <w:bottom w:val="single" w:sz="8" w:color="F0F7E7"/>
            </w:tcBorders>
            <w:vMerge w:val="continue"/>
            <w:shd w:val="clear" w:color="auto" w:fill="F0F7E7"/>
          </w:tcPr>
          <w:p>
            <w:pPr>
              <w:spacing w:after="0"/>
              <w:rPr>
                <w:sz w:val="11"/>
                <w:szCs w:val="11"/>
                <w:color w:val="auto"/>
              </w:rPr>
            </w:pPr>
          </w:p>
        </w:tc>
        <w:tc>
          <w:tcPr>
            <w:tcW w:w="360" w:type="dxa"/>
            <w:vAlign w:val="bottom"/>
            <w:tcBorders>
              <w:bottom w:val="single" w:sz="8" w:color="F0F7E7"/>
            </w:tcBorders>
            <w:shd w:val="clear" w:color="auto" w:fill="F0F7E7"/>
          </w:tcPr>
          <w:p>
            <w:pPr>
              <w:spacing w:after="0"/>
              <w:rPr>
                <w:sz w:val="11"/>
                <w:szCs w:val="11"/>
                <w:color w:val="auto"/>
              </w:rPr>
            </w:pPr>
          </w:p>
        </w:tc>
        <w:tc>
          <w:tcPr>
            <w:tcW w:w="860" w:type="dxa"/>
            <w:vAlign w:val="bottom"/>
            <w:tcBorders>
              <w:bottom w:val="single" w:sz="8" w:color="F0F7E7"/>
            </w:tcBorders>
            <w:vMerge w:val="continue"/>
            <w:shd w:val="clear" w:color="auto" w:fill="F0F7E7"/>
          </w:tcPr>
          <w:p>
            <w:pPr>
              <w:spacing w:after="0"/>
              <w:rPr>
                <w:sz w:val="11"/>
                <w:szCs w:val="11"/>
                <w:color w:val="auto"/>
              </w:rPr>
            </w:pPr>
          </w:p>
        </w:tc>
        <w:tc>
          <w:tcPr>
            <w:tcW w:w="340" w:type="dxa"/>
            <w:vAlign w:val="bottom"/>
            <w:tcBorders>
              <w:bottom w:val="single" w:sz="8" w:color="F0F7E7"/>
            </w:tcBorders>
            <w:shd w:val="clear" w:color="auto" w:fill="F0F7E7"/>
          </w:tcPr>
          <w:p>
            <w:pPr>
              <w:spacing w:after="0"/>
              <w:rPr>
                <w:sz w:val="11"/>
                <w:szCs w:val="11"/>
                <w:color w:val="auto"/>
              </w:rPr>
            </w:pPr>
          </w:p>
        </w:tc>
        <w:tc>
          <w:tcPr>
            <w:tcW w:w="880" w:type="dxa"/>
            <w:vAlign w:val="bottom"/>
            <w:tcBorders>
              <w:bottom w:val="single" w:sz="8" w:color="F0F7E7"/>
            </w:tcBorders>
            <w:vMerge w:val="continue"/>
            <w:shd w:val="clear" w:color="auto" w:fill="F0F7E7"/>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80" w:type="dxa"/>
            <w:vAlign w:val="bottom"/>
          </w:tcPr>
          <w:p>
            <w:pPr>
              <w:spacing w:after="0"/>
              <w:rPr>
                <w:sz w:val="12"/>
                <w:szCs w:val="12"/>
                <w:color w:val="auto"/>
              </w:rPr>
            </w:pPr>
          </w:p>
        </w:tc>
        <w:tc>
          <w:tcPr>
            <w:tcW w:w="4940" w:type="dxa"/>
            <w:vAlign w:val="bottom"/>
            <w:tcBorders>
              <w:bottom w:val="single" w:sz="8" w:color="7CBD3F"/>
            </w:tcBorders>
            <w:gridSpan w:val="2"/>
          </w:tcPr>
          <w:p>
            <w:pPr>
              <w:spacing w:after="0"/>
              <w:rPr>
                <w:sz w:val="20"/>
                <w:szCs w:val="20"/>
                <w:color w:val="auto"/>
              </w:rPr>
            </w:pPr>
            <w:r>
              <w:rPr>
                <w:rFonts w:ascii="Arial" w:cs="Arial" w:eastAsia="Arial" w:hAnsi="Arial"/>
                <w:sz w:val="12"/>
                <w:szCs w:val="12"/>
                <w:b w:val="1"/>
                <w:bCs w:val="1"/>
                <w:color w:val="auto"/>
              </w:rPr>
              <w:t>Compensation Actually Paid to Non-PEO NEOs</w:t>
            </w:r>
          </w:p>
        </w:tc>
        <w:tc>
          <w:tcPr>
            <w:tcW w:w="320" w:type="dxa"/>
            <w:vAlign w:val="bottom"/>
            <w:tcBorders>
              <w:bottom w:val="single" w:sz="8" w:color="7CBD3F"/>
            </w:tcBorders>
          </w:tcPr>
          <w:p>
            <w:pPr>
              <w:jc w:val="right"/>
              <w:ind w:right="78"/>
              <w:spacing w:after="0"/>
              <w:rPr>
                <w:sz w:val="20"/>
                <w:szCs w:val="20"/>
                <w:color w:val="auto"/>
              </w:rPr>
            </w:pPr>
            <w:r>
              <w:rPr>
                <w:rFonts w:ascii="Arial" w:cs="Arial" w:eastAsia="Arial" w:hAnsi="Arial"/>
                <w:sz w:val="12"/>
                <w:szCs w:val="12"/>
                <w:b w:val="1"/>
                <w:bCs w:val="1"/>
                <w:color w:val="auto"/>
              </w:rPr>
              <w:t>$</w:t>
            </w:r>
          </w:p>
        </w:tc>
        <w:tc>
          <w:tcPr>
            <w:tcW w:w="860" w:type="dxa"/>
            <w:vAlign w:val="bottom"/>
            <w:tcBorders>
              <w:bottom w:val="single" w:sz="8" w:color="7CBD3F"/>
            </w:tcBorders>
          </w:tcPr>
          <w:p>
            <w:pPr>
              <w:jc w:val="right"/>
              <w:ind w:right="38"/>
              <w:spacing w:after="0"/>
              <w:rPr>
                <w:sz w:val="20"/>
                <w:szCs w:val="20"/>
                <w:color w:val="auto"/>
              </w:rPr>
            </w:pPr>
            <w:r>
              <w:rPr>
                <w:rFonts w:ascii="Arial" w:cs="Arial" w:eastAsia="Arial" w:hAnsi="Arial"/>
                <w:sz w:val="12"/>
                <w:szCs w:val="12"/>
                <w:b w:val="1"/>
                <w:bCs w:val="1"/>
                <w:color w:val="auto"/>
              </w:rPr>
              <w:t>2,790,240</w:t>
            </w:r>
          </w:p>
        </w:tc>
        <w:tc>
          <w:tcPr>
            <w:tcW w:w="340" w:type="dxa"/>
            <w:vAlign w:val="bottom"/>
            <w:tcBorders>
              <w:bottom w:val="single" w:sz="8" w:color="7CBD3F"/>
            </w:tcBorders>
          </w:tcPr>
          <w:p>
            <w:pPr>
              <w:jc w:val="right"/>
              <w:ind w:right="58"/>
              <w:spacing w:after="0"/>
              <w:rPr>
                <w:sz w:val="20"/>
                <w:szCs w:val="20"/>
                <w:color w:val="auto"/>
              </w:rPr>
            </w:pPr>
            <w:r>
              <w:rPr>
                <w:rFonts w:ascii="Arial" w:cs="Arial" w:eastAsia="Arial" w:hAnsi="Arial"/>
                <w:sz w:val="12"/>
                <w:szCs w:val="12"/>
                <w:b w:val="1"/>
                <w:bCs w:val="1"/>
                <w:color w:val="auto"/>
              </w:rPr>
              <w:t>$</w:t>
            </w:r>
          </w:p>
        </w:tc>
        <w:tc>
          <w:tcPr>
            <w:tcW w:w="880" w:type="dxa"/>
            <w:vAlign w:val="bottom"/>
            <w:tcBorders>
              <w:bottom w:val="single" w:sz="8" w:color="7CBD3F"/>
            </w:tcBorders>
          </w:tcPr>
          <w:p>
            <w:pPr>
              <w:jc w:val="right"/>
              <w:ind w:right="38"/>
              <w:spacing w:after="0"/>
              <w:rPr>
                <w:sz w:val="20"/>
                <w:szCs w:val="20"/>
                <w:color w:val="auto"/>
              </w:rPr>
            </w:pPr>
            <w:r>
              <w:rPr>
                <w:rFonts w:ascii="Arial" w:cs="Arial" w:eastAsia="Arial" w:hAnsi="Arial"/>
                <w:sz w:val="12"/>
                <w:szCs w:val="12"/>
                <w:b w:val="1"/>
                <w:bCs w:val="1"/>
                <w:color w:val="auto"/>
              </w:rPr>
              <w:t>4,829,669</w:t>
            </w:r>
          </w:p>
        </w:tc>
        <w:tc>
          <w:tcPr>
            <w:tcW w:w="340" w:type="dxa"/>
            <w:vAlign w:val="bottom"/>
            <w:tcBorders>
              <w:bottom w:val="single" w:sz="8" w:color="7CBD3F"/>
            </w:tcBorders>
          </w:tcPr>
          <w:p>
            <w:pPr>
              <w:jc w:val="right"/>
              <w:ind w:right="78"/>
              <w:spacing w:after="0"/>
              <w:rPr>
                <w:sz w:val="20"/>
                <w:szCs w:val="20"/>
                <w:color w:val="auto"/>
              </w:rPr>
            </w:pPr>
            <w:r>
              <w:rPr>
                <w:rFonts w:ascii="Arial" w:cs="Arial" w:eastAsia="Arial" w:hAnsi="Arial"/>
                <w:sz w:val="12"/>
                <w:szCs w:val="12"/>
                <w:b w:val="1"/>
                <w:bCs w:val="1"/>
                <w:color w:val="auto"/>
              </w:rPr>
              <w:t>$</w:t>
            </w:r>
          </w:p>
        </w:tc>
        <w:tc>
          <w:tcPr>
            <w:tcW w:w="860" w:type="dxa"/>
            <w:vAlign w:val="bottom"/>
            <w:tcBorders>
              <w:bottom w:val="single" w:sz="8" w:color="7CBD3F"/>
            </w:tcBorders>
          </w:tcPr>
          <w:p>
            <w:pPr>
              <w:jc w:val="right"/>
              <w:ind w:right="38"/>
              <w:spacing w:after="0"/>
              <w:rPr>
                <w:sz w:val="20"/>
                <w:szCs w:val="20"/>
                <w:color w:val="auto"/>
              </w:rPr>
            </w:pPr>
            <w:r>
              <w:rPr>
                <w:rFonts w:ascii="Arial" w:cs="Arial" w:eastAsia="Arial" w:hAnsi="Arial"/>
                <w:sz w:val="12"/>
                <w:szCs w:val="12"/>
                <w:b w:val="1"/>
                <w:bCs w:val="1"/>
                <w:color w:val="auto"/>
              </w:rPr>
              <w:t>(175,590)</w:t>
            </w:r>
          </w:p>
        </w:tc>
        <w:tc>
          <w:tcPr>
            <w:tcW w:w="360" w:type="dxa"/>
            <w:vAlign w:val="bottom"/>
            <w:tcBorders>
              <w:bottom w:val="single" w:sz="8" w:color="7CBD3F"/>
            </w:tcBorders>
          </w:tcPr>
          <w:p>
            <w:pPr>
              <w:jc w:val="right"/>
              <w:ind w:right="78"/>
              <w:spacing w:after="0"/>
              <w:rPr>
                <w:sz w:val="20"/>
                <w:szCs w:val="20"/>
                <w:color w:val="auto"/>
              </w:rPr>
            </w:pPr>
            <w:r>
              <w:rPr>
                <w:rFonts w:ascii="Arial" w:cs="Arial" w:eastAsia="Arial" w:hAnsi="Arial"/>
                <w:sz w:val="12"/>
                <w:szCs w:val="12"/>
                <w:b w:val="1"/>
                <w:bCs w:val="1"/>
                <w:color w:val="auto"/>
              </w:rPr>
              <w:t>$</w:t>
            </w:r>
          </w:p>
        </w:tc>
        <w:tc>
          <w:tcPr>
            <w:tcW w:w="860" w:type="dxa"/>
            <w:vAlign w:val="bottom"/>
            <w:tcBorders>
              <w:bottom w:val="single" w:sz="8" w:color="7CBD3F"/>
            </w:tcBorders>
          </w:tcPr>
          <w:p>
            <w:pPr>
              <w:jc w:val="right"/>
              <w:ind w:right="38"/>
              <w:spacing w:after="0"/>
              <w:rPr>
                <w:sz w:val="20"/>
                <w:szCs w:val="20"/>
                <w:color w:val="auto"/>
              </w:rPr>
            </w:pPr>
            <w:r>
              <w:rPr>
                <w:rFonts w:ascii="Arial" w:cs="Arial" w:eastAsia="Arial" w:hAnsi="Arial"/>
                <w:sz w:val="12"/>
                <w:szCs w:val="12"/>
                <w:b w:val="1"/>
                <w:bCs w:val="1"/>
                <w:color w:val="auto"/>
              </w:rPr>
              <w:t>(1,211,638)</w:t>
            </w:r>
          </w:p>
        </w:tc>
        <w:tc>
          <w:tcPr>
            <w:tcW w:w="340" w:type="dxa"/>
            <w:vAlign w:val="bottom"/>
            <w:tcBorders>
              <w:bottom w:val="single" w:sz="8" w:color="7CBD3F"/>
            </w:tcBorders>
          </w:tcPr>
          <w:p>
            <w:pPr>
              <w:jc w:val="right"/>
              <w:ind w:right="58"/>
              <w:spacing w:after="0"/>
              <w:rPr>
                <w:sz w:val="20"/>
                <w:szCs w:val="20"/>
                <w:color w:val="auto"/>
              </w:rPr>
            </w:pPr>
            <w:r>
              <w:rPr>
                <w:rFonts w:ascii="Arial" w:cs="Arial" w:eastAsia="Arial" w:hAnsi="Arial"/>
                <w:sz w:val="12"/>
                <w:szCs w:val="12"/>
                <w:b w:val="1"/>
                <w:bCs w:val="1"/>
                <w:color w:val="auto"/>
              </w:rPr>
              <w:t>$</w:t>
            </w:r>
          </w:p>
        </w:tc>
        <w:tc>
          <w:tcPr>
            <w:tcW w:w="880" w:type="dxa"/>
            <w:vAlign w:val="bottom"/>
            <w:tcBorders>
              <w:bottom w:val="single" w:sz="8" w:color="7CBD3F"/>
            </w:tcBorders>
          </w:tcPr>
          <w:p>
            <w:pPr>
              <w:jc w:val="right"/>
              <w:ind w:right="58"/>
              <w:spacing w:after="0"/>
              <w:rPr>
                <w:sz w:val="20"/>
                <w:szCs w:val="20"/>
                <w:color w:val="auto"/>
              </w:rPr>
            </w:pPr>
            <w:r>
              <w:rPr>
                <w:rFonts w:ascii="Arial" w:cs="Arial" w:eastAsia="Arial" w:hAnsi="Arial"/>
                <w:sz w:val="12"/>
                <w:szCs w:val="12"/>
                <w:b w:val="1"/>
                <w:bCs w:val="1"/>
                <w:color w:val="auto"/>
              </w:rPr>
              <w:t>8,015,000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-1183640</wp:posOffset>
            </wp:positionV>
            <wp:extent cx="177800" cy="11772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77800" cy="1177290"/>
                    </a:xfrm>
                    <a:prstGeom prst="rect">
                      <a:avLst/>
                    </a:prstGeom>
                    <a:noFill/>
                  </pic:spPr>
                </pic:pic>
              </a:graphicData>
            </a:graphic>
          </wp:anchor>
        </w:drawing>
      </w:r>
    </w:p>
    <w:p>
      <w:pPr>
        <w:spacing w:after="0" w:line="30" w:lineRule="exact"/>
        <w:rPr>
          <w:sz w:val="20"/>
          <w:szCs w:val="20"/>
          <w:color w:val="auto"/>
        </w:rPr>
      </w:pPr>
    </w:p>
    <w:p>
      <w:pPr>
        <w:jc w:val="both"/>
        <w:ind w:left="287" w:right="20" w:hanging="287"/>
        <w:spacing w:after="0" w:line="266" w:lineRule="auto"/>
        <w:tabs>
          <w:tab w:leader="none" w:pos="287" w:val="left"/>
        </w:tabs>
        <w:numPr>
          <w:ilvl w:val="0"/>
          <w:numId w:val="46"/>
        </w:numPr>
        <w:rPr>
          <w:rFonts w:ascii="Arial" w:cs="Arial" w:eastAsia="Arial" w:hAnsi="Arial"/>
          <w:sz w:val="12"/>
          <w:szCs w:val="12"/>
          <w:color w:val="auto"/>
        </w:rPr>
      </w:pPr>
      <w:r>
        <w:rPr>
          <w:rFonts w:ascii="Arial" w:cs="Arial" w:eastAsia="Arial" w:hAnsi="Arial"/>
          <w:sz w:val="12"/>
          <w:szCs w:val="12"/>
          <w:color w:val="auto"/>
        </w:rPr>
        <w:t>Cumulative TSR is calculated by dividing (a) the sum of (i) the cumulative amount of dividends for the measurement period, assuming dividend reinvestment, and (ii) the difference between the Company’s share price at the end and the beginning of the measurement period by (b) the Company’s share price at the beginning of the measurement period. The beginning of the measurement period for each year in the table is December 31, 2019.</w:t>
      </w:r>
    </w:p>
    <w:p>
      <w:pPr>
        <w:spacing w:after="0" w:line="7" w:lineRule="exact"/>
        <w:rPr>
          <w:rFonts w:ascii="Arial" w:cs="Arial" w:eastAsia="Arial" w:hAnsi="Arial"/>
          <w:sz w:val="12"/>
          <w:szCs w:val="12"/>
          <w:color w:val="auto"/>
        </w:rPr>
      </w:pPr>
    </w:p>
    <w:p>
      <w:pPr>
        <w:ind w:left="287" w:hanging="287"/>
        <w:spacing w:after="0" w:line="283" w:lineRule="auto"/>
        <w:tabs>
          <w:tab w:leader="none" w:pos="287" w:val="left"/>
        </w:tabs>
        <w:numPr>
          <w:ilvl w:val="0"/>
          <w:numId w:val="46"/>
        </w:numPr>
        <w:rPr>
          <w:rFonts w:ascii="Arial" w:cs="Arial" w:eastAsia="Arial" w:hAnsi="Arial"/>
          <w:sz w:val="12"/>
          <w:szCs w:val="12"/>
          <w:color w:val="auto"/>
        </w:rPr>
      </w:pPr>
      <w:r>
        <w:rPr>
          <w:rFonts w:ascii="Arial" w:cs="Arial" w:eastAsia="Arial" w:hAnsi="Arial"/>
          <w:sz w:val="12"/>
          <w:szCs w:val="12"/>
          <w:color w:val="auto"/>
        </w:rPr>
        <w:t>Represents the weighted peer group TSR, weighted according to the respective companies’ stock market capitalization at the beginning of each period for which a return is indicated. The peer group used for this purpose is the following published industry index: Nasdaq Biotechnology Index.</w:t>
      </w:r>
    </w:p>
    <w:p>
      <w:pPr>
        <w:ind w:left="287" w:hanging="287"/>
        <w:spacing w:after="0"/>
        <w:tabs>
          <w:tab w:leader="none" w:pos="287" w:val="left"/>
        </w:tabs>
        <w:numPr>
          <w:ilvl w:val="0"/>
          <w:numId w:val="46"/>
        </w:numPr>
        <w:rPr>
          <w:rFonts w:ascii="Arial" w:cs="Arial" w:eastAsia="Arial" w:hAnsi="Arial"/>
          <w:sz w:val="12"/>
          <w:szCs w:val="12"/>
          <w:color w:val="auto"/>
        </w:rPr>
      </w:pPr>
      <w:r>
        <w:rPr>
          <w:rFonts w:ascii="Arial" w:cs="Arial" w:eastAsia="Arial" w:hAnsi="Arial"/>
          <w:sz w:val="12"/>
          <w:szCs w:val="12"/>
          <w:color w:val="auto"/>
        </w:rPr>
        <w:t>The dollar amounts reported represent the amount of net income calculated in accordance with GAAP reflected in the Company’s audited financial statements for the applicable year.</w:t>
      </w:r>
    </w:p>
    <w:p>
      <w:pPr>
        <w:spacing w:after="0" w:line="48" w:lineRule="exact"/>
        <w:rPr>
          <w:rFonts w:ascii="Arial" w:cs="Arial" w:eastAsia="Arial" w:hAnsi="Arial"/>
          <w:sz w:val="12"/>
          <w:szCs w:val="12"/>
          <w:color w:val="auto"/>
        </w:rPr>
      </w:pPr>
    </w:p>
    <w:p>
      <w:pPr>
        <w:ind w:left="287" w:hanging="287"/>
        <w:spacing w:after="0"/>
        <w:tabs>
          <w:tab w:leader="none" w:pos="287" w:val="left"/>
        </w:tabs>
        <w:numPr>
          <w:ilvl w:val="0"/>
          <w:numId w:val="46"/>
        </w:numPr>
        <w:rPr>
          <w:rFonts w:ascii="Arial" w:cs="Arial" w:eastAsia="Arial" w:hAnsi="Arial"/>
          <w:sz w:val="12"/>
          <w:szCs w:val="12"/>
          <w:color w:val="auto"/>
        </w:rPr>
      </w:pPr>
      <w:r>
        <w:rPr>
          <w:rFonts w:ascii="Arial" w:cs="Arial" w:eastAsia="Arial" w:hAnsi="Arial"/>
          <w:sz w:val="12"/>
          <w:szCs w:val="12"/>
          <w:color w:val="auto"/>
        </w:rPr>
        <w:t>The dollar amounts reported represent the amount of revenue calculated in accordance with GAAP reflected in the Company’s audited financial statements for the applicable year.</w:t>
      </w:r>
    </w:p>
    <w:p>
      <w:pPr>
        <w:spacing w:after="0" w:line="250"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Performance Measures</w:t>
      </w:r>
    </w:p>
    <w:p>
      <w:pPr>
        <w:spacing w:after="0" w:line="170" w:lineRule="exact"/>
        <w:rPr>
          <w:sz w:val="20"/>
          <w:szCs w:val="20"/>
          <w:color w:val="auto"/>
        </w:rPr>
      </w:pPr>
    </w:p>
    <w:p>
      <w:pPr>
        <w:jc w:val="both"/>
        <w:ind w:left="7"/>
        <w:spacing w:after="0" w:line="255" w:lineRule="auto"/>
        <w:rPr>
          <w:sz w:val="20"/>
          <w:szCs w:val="20"/>
          <w:color w:val="auto"/>
        </w:rPr>
      </w:pPr>
      <w:r>
        <w:rPr>
          <w:rFonts w:ascii="Arial" w:cs="Arial" w:eastAsia="Arial" w:hAnsi="Arial"/>
          <w:sz w:val="14"/>
          <w:szCs w:val="14"/>
          <w:color w:val="auto"/>
        </w:rPr>
        <w:t>As described in greater detail in “Executive Compensation – Compensation Discussion and Analysis,” the Company’s executive compensation program reflects a variable pay-for-performance philosophy. The metrics that the Company uses for both our long-term and short-term incentive awards are selected based on an objective of incentivizing our NEOs to increase the value of our enterprise for our stockholders. The most important performance measures used by the Company to link executive compensation actually paid to the Company’s NEOs, for the most recently completed fiscal year, to the Company’s performance are as follows:</w:t>
      </w:r>
    </w:p>
    <w:p>
      <w:pPr>
        <w:spacing w:after="0" w:line="132" w:lineRule="exact"/>
        <w:rPr>
          <w:sz w:val="20"/>
          <w:szCs w:val="20"/>
          <w:color w:val="auto"/>
        </w:rPr>
      </w:pPr>
    </w:p>
    <w:p>
      <w:pPr>
        <w:ind w:left="147" w:hanging="147"/>
        <w:spacing w:after="0"/>
        <w:tabs>
          <w:tab w:leader="none" w:pos="147" w:val="left"/>
        </w:tabs>
        <w:numPr>
          <w:ilvl w:val="0"/>
          <w:numId w:val="47"/>
        </w:numPr>
        <w:rPr>
          <w:rFonts w:ascii="Arial" w:cs="Arial" w:eastAsia="Arial" w:hAnsi="Arial"/>
          <w:sz w:val="14"/>
          <w:szCs w:val="14"/>
          <w:color w:val="7CBD3F"/>
        </w:rPr>
      </w:pPr>
      <w:r>
        <w:rPr>
          <w:rFonts w:ascii="Arial" w:cs="Arial" w:eastAsia="Arial" w:hAnsi="Arial"/>
          <w:sz w:val="14"/>
          <w:szCs w:val="14"/>
          <w:color w:val="auto"/>
        </w:rPr>
        <w:t>Total Revenue</w:t>
      </w:r>
    </w:p>
    <w:p>
      <w:pPr>
        <w:spacing w:after="0" w:line="72" w:lineRule="exact"/>
        <w:rPr>
          <w:rFonts w:ascii="Arial" w:cs="Arial" w:eastAsia="Arial" w:hAnsi="Arial"/>
          <w:sz w:val="14"/>
          <w:szCs w:val="14"/>
          <w:color w:val="7CBD3F"/>
        </w:rPr>
      </w:pPr>
    </w:p>
    <w:p>
      <w:pPr>
        <w:ind w:left="147" w:hanging="147"/>
        <w:spacing w:after="0"/>
        <w:tabs>
          <w:tab w:leader="none" w:pos="147" w:val="left"/>
        </w:tabs>
        <w:numPr>
          <w:ilvl w:val="0"/>
          <w:numId w:val="47"/>
        </w:numPr>
        <w:rPr>
          <w:rFonts w:ascii="Arial" w:cs="Arial" w:eastAsia="Arial" w:hAnsi="Arial"/>
          <w:sz w:val="14"/>
          <w:szCs w:val="14"/>
          <w:color w:val="7CBD3F"/>
        </w:rPr>
      </w:pPr>
      <w:r>
        <w:rPr>
          <w:rFonts w:ascii="Arial" w:cs="Arial" w:eastAsia="Arial" w:hAnsi="Arial"/>
          <w:sz w:val="14"/>
          <w:szCs w:val="14"/>
          <w:color w:val="auto"/>
        </w:rPr>
        <w:t>Relative Total Stockholder Return</w:t>
      </w:r>
    </w:p>
    <w:p>
      <w:pPr>
        <w:spacing w:after="0" w:line="72" w:lineRule="exact"/>
        <w:rPr>
          <w:rFonts w:ascii="Arial" w:cs="Arial" w:eastAsia="Arial" w:hAnsi="Arial"/>
          <w:sz w:val="14"/>
          <w:szCs w:val="14"/>
          <w:color w:val="7CBD3F"/>
        </w:rPr>
      </w:pPr>
    </w:p>
    <w:p>
      <w:pPr>
        <w:ind w:left="147" w:hanging="147"/>
        <w:spacing w:after="0"/>
        <w:tabs>
          <w:tab w:leader="none" w:pos="147" w:val="left"/>
        </w:tabs>
        <w:numPr>
          <w:ilvl w:val="0"/>
          <w:numId w:val="47"/>
        </w:numPr>
        <w:rPr>
          <w:rFonts w:ascii="Arial" w:cs="Arial" w:eastAsia="Arial" w:hAnsi="Arial"/>
          <w:sz w:val="14"/>
          <w:szCs w:val="14"/>
          <w:color w:val="7CBD3F"/>
        </w:rPr>
      </w:pPr>
      <w:r>
        <w:rPr>
          <w:rFonts w:ascii="Arial" w:cs="Arial" w:eastAsia="Arial" w:hAnsi="Arial"/>
          <w:sz w:val="14"/>
          <w:szCs w:val="14"/>
          <w:color w:val="auto"/>
        </w:rPr>
        <w:t>Net Cash Used in Operations</w:t>
      </w:r>
    </w:p>
    <w:p>
      <w:pPr>
        <w:spacing w:after="0" w:line="72" w:lineRule="exact"/>
        <w:rPr>
          <w:rFonts w:ascii="Arial" w:cs="Arial" w:eastAsia="Arial" w:hAnsi="Arial"/>
          <w:sz w:val="14"/>
          <w:szCs w:val="14"/>
          <w:color w:val="7CBD3F"/>
        </w:rPr>
      </w:pPr>
    </w:p>
    <w:p>
      <w:pPr>
        <w:ind w:left="147" w:hanging="147"/>
        <w:spacing w:after="0"/>
        <w:tabs>
          <w:tab w:leader="none" w:pos="147" w:val="left"/>
        </w:tabs>
        <w:numPr>
          <w:ilvl w:val="0"/>
          <w:numId w:val="47"/>
        </w:numPr>
        <w:rPr>
          <w:rFonts w:ascii="Arial" w:cs="Arial" w:eastAsia="Arial" w:hAnsi="Arial"/>
          <w:sz w:val="14"/>
          <w:szCs w:val="14"/>
          <w:color w:val="7CBD3F"/>
        </w:rPr>
      </w:pPr>
      <w:r>
        <w:rPr>
          <w:rFonts w:ascii="Arial" w:cs="Arial" w:eastAsia="Arial" w:hAnsi="Arial"/>
          <w:sz w:val="14"/>
          <w:szCs w:val="14"/>
          <w:color w:val="auto"/>
        </w:rPr>
        <w:t>Clinical Development of Product Candidates</w:t>
      </w:r>
    </w:p>
    <w:p>
      <w:pPr>
        <w:spacing w:after="0" w:line="208"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Description of the Relationship between Pay and Performance</w:t>
      </w:r>
    </w:p>
    <w:p>
      <w:pPr>
        <w:spacing w:after="0" w:line="170" w:lineRule="exact"/>
        <w:rPr>
          <w:sz w:val="20"/>
          <w:szCs w:val="20"/>
          <w:color w:val="auto"/>
        </w:rPr>
      </w:pPr>
    </w:p>
    <w:p>
      <w:pPr>
        <w:jc w:val="both"/>
        <w:ind w:left="7"/>
        <w:spacing w:after="0" w:line="252" w:lineRule="auto"/>
        <w:rPr>
          <w:sz w:val="20"/>
          <w:szCs w:val="20"/>
          <w:color w:val="auto"/>
        </w:rPr>
      </w:pPr>
      <w:r>
        <w:rPr>
          <w:rFonts w:ascii="Arial" w:cs="Arial" w:eastAsia="Arial" w:hAnsi="Arial"/>
          <w:sz w:val="14"/>
          <w:szCs w:val="14"/>
          <w:color w:val="auto"/>
        </w:rPr>
        <w:t>As described in more detail in the section “Executive Compensation – Compensation Discussion and Analysis,” the Company’s executive compensation program reflects a variable pay-for-performance philosophy. While the Company utilizes several performance measures to align executive compensation with Company performance, all of those Company measures are not presented in the Pay versus Performance table. Moreover, the Company generally seeks to incentivize long-term performance, and therefore does not specifically align the Company’s performance measures with compensation that is actually paid (as computed in accordance with SEC rules) for a particular year. In accordance with SEC rules, the Company is providing the following descriptions of the relationships between information presented in the Pay versus Performance table.</w:t>
      </w:r>
    </w:p>
    <w:p>
      <w:pPr>
        <w:spacing w:after="0" w:line="134"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auto"/>
        </w:rPr>
        <w:t xml:space="preserve">ULTRAGENYX PHARMACEUTICAL INC. </w:t>
      </w:r>
      <w:r>
        <w:rPr>
          <w:rFonts w:ascii="Arial" w:cs="Arial" w:eastAsia="Arial" w:hAnsi="Arial"/>
          <w:sz w:val="14"/>
          <w:szCs w:val="14"/>
          <w:color w:val="7CBD3F"/>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2025 Proxy Statement</w:t>
      </w:r>
      <w:r>
        <w:rPr>
          <w:rFonts w:ascii="Arial" w:cs="Arial" w:eastAsia="Arial" w:hAnsi="Arial"/>
          <w:sz w:val="14"/>
          <w:szCs w:val="14"/>
          <w:b w:val="1"/>
          <w:bCs w:val="1"/>
          <w:color w:val="auto"/>
        </w:rPr>
        <w:tab/>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150735" cy="298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0735" cy="29845"/>
                    </a:xfrm>
                    <a:prstGeom prst="rect">
                      <a:avLst/>
                    </a:prstGeom>
                    <a:noFill/>
                  </pic:spPr>
                </pic:pic>
              </a:graphicData>
            </a:graphic>
          </wp:anchor>
        </w:drawing>
      </w:r>
    </w:p>
    <w:p>
      <w:pPr>
        <w:sectPr>
          <w:pgSz w:w="11900" w:h="16838" w:orient="portrait"/>
          <w:cols w:equalWidth="0" w:num="1">
            <w:col w:w="11267"/>
          </w:cols>
          <w:pgMar w:left="313" w:top="223" w:right="319" w:bottom="1440" w:gutter="0" w:footer="0" w:header="0"/>
        </w:sectPr>
      </w:pPr>
    </w:p>
    <w:bookmarkStart w:id="68" w:name="page69"/>
    <w:bookmarkEnd w:id="68"/>
    <w:p>
      <w:pPr>
        <w:spacing w:after="0"/>
        <w:rPr>
          <w:sz w:val="20"/>
          <w:szCs w:val="20"/>
          <w:color w:val="auto"/>
        </w:rPr>
      </w:pPr>
      <w:r>
        <w:rPr>
          <w:rFonts w:ascii="Arial" w:cs="Arial" w:eastAsia="Arial" w:hAnsi="Arial"/>
          <w:sz w:val="12"/>
          <w:szCs w:val="12"/>
          <w:b w:val="1"/>
          <w:bCs w:val="1"/>
          <w:u w:val="single" w:color="auto"/>
          <w:color w:val="0000EE"/>
        </w:rPr>
        <w:t>Back to Contents</w:t>
      </w:r>
    </w:p>
    <w:p>
      <w:pPr>
        <w:spacing w:after="0" w:line="149" w:lineRule="exact"/>
        <w:rPr>
          <w:sz w:val="20"/>
          <w:szCs w:val="20"/>
          <w:color w:val="auto"/>
        </w:rPr>
      </w:pPr>
    </w:p>
    <w:p>
      <w:pPr>
        <w:ind w:right="20"/>
        <w:spacing w:after="0" w:line="278" w:lineRule="auto"/>
        <w:rPr>
          <w:sz w:val="20"/>
          <w:szCs w:val="20"/>
          <w:color w:val="auto"/>
        </w:rPr>
      </w:pPr>
      <w:r>
        <w:rPr>
          <w:rFonts w:ascii="Arial" w:cs="Arial" w:eastAsia="Arial" w:hAnsi="Arial"/>
          <w:sz w:val="14"/>
          <w:szCs w:val="14"/>
          <w:color w:val="auto"/>
        </w:rPr>
        <w:t>The following graphs provide visual representations of the relationship between both the CAP of our PEO and the average CAP of our non-PEO NEOs and our (i) TSR, (ii) net income, and (iii)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1624330</wp:posOffset>
            </wp:positionH>
            <wp:positionV relativeFrom="paragraph">
              <wp:posOffset>81915</wp:posOffset>
            </wp:positionV>
            <wp:extent cx="3901440" cy="729932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901440" cy="7299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auto"/>
        </w:rPr>
        <w:t xml:space="preserve">ULTRAGENYX PHARMACEUTICAL INC. </w:t>
      </w:r>
      <w:r>
        <w:rPr>
          <w:rFonts w:ascii="Arial" w:cs="Arial" w:eastAsia="Arial" w:hAnsi="Arial"/>
          <w:sz w:val="14"/>
          <w:szCs w:val="14"/>
          <w:color w:val="7CBD3F"/>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2025 Proxy Statement</w:t>
      </w:r>
      <w:r>
        <w:rPr>
          <w:rFonts w:ascii="Arial" w:cs="Arial" w:eastAsia="Arial" w:hAnsi="Arial"/>
          <w:sz w:val="14"/>
          <w:szCs w:val="14"/>
          <w:b w:val="1"/>
          <w:bCs w:val="1"/>
          <w:color w:val="auto"/>
        </w:rPr>
        <w:tab/>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142240</wp:posOffset>
            </wp:positionV>
            <wp:extent cx="7150735" cy="298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0735" cy="29845"/>
                    </a:xfrm>
                    <a:prstGeom prst="rect">
                      <a:avLst/>
                    </a:prstGeom>
                    <a:noFill/>
                  </pic:spPr>
                </pic:pic>
              </a:graphicData>
            </a:graphic>
          </wp:anchor>
        </w:drawing>
      </w:r>
    </w:p>
    <w:p>
      <w:pPr>
        <w:sectPr>
          <w:pgSz w:w="11900" w:h="16838" w:orient="portrait"/>
          <w:cols w:equalWidth="0" w:num="1">
            <w:col w:w="11260"/>
          </w:cols>
          <w:pgMar w:left="320" w:top="225" w:right="319" w:bottom="1440" w:gutter="0" w:footer="0" w:header="0"/>
        </w:sectPr>
      </w:pPr>
    </w:p>
    <w:bookmarkStart w:id="69" w:name="page70"/>
    <w:bookmarkEnd w:id="69"/>
    <w:p>
      <w:pPr>
        <w:spacing w:after="0"/>
        <w:rPr>
          <w:sz w:val="20"/>
          <w:szCs w:val="20"/>
          <w:color w:val="auto"/>
        </w:rPr>
      </w:pPr>
      <w:r>
        <w:rPr>
          <w:rFonts w:ascii="Arial" w:cs="Arial" w:eastAsia="Arial" w:hAnsi="Arial"/>
          <w:sz w:val="12"/>
          <w:szCs w:val="12"/>
          <w:b w:val="1"/>
          <w:bCs w:val="1"/>
          <w:u w:val="single" w:color="auto"/>
          <w:color w:val="0000EE"/>
        </w:rPr>
        <w:t>Back to Contents</w:t>
      </w:r>
    </w:p>
    <w:p>
      <w:pPr>
        <w:spacing w:after="0" w:line="128" w:lineRule="exact"/>
        <w:rPr>
          <w:sz w:val="20"/>
          <w:szCs w:val="20"/>
          <w:color w:val="auto"/>
        </w:rPr>
      </w:pPr>
    </w:p>
    <w:p>
      <w:pPr>
        <w:spacing w:after="0"/>
        <w:rPr>
          <w:sz w:val="20"/>
          <w:szCs w:val="20"/>
          <w:color w:val="auto"/>
        </w:rPr>
      </w:pPr>
      <w:r>
        <w:rPr>
          <w:rFonts w:ascii="Arial" w:cs="Arial" w:eastAsia="Arial" w:hAnsi="Arial"/>
          <w:sz w:val="31"/>
          <w:szCs w:val="31"/>
          <w:b w:val="1"/>
          <w:bCs w:val="1"/>
          <w:color w:val="7CBD3F"/>
        </w:rPr>
        <w:t>Additional Information</w:t>
      </w:r>
    </w:p>
    <w:p>
      <w:pPr>
        <w:spacing w:after="0" w:line="3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Questions and Answers About these Proxy Materials and Voting</w:t>
      </w:r>
    </w:p>
    <w:p>
      <w:pPr>
        <w:spacing w:after="0" w:line="257" w:lineRule="exact"/>
        <w:rPr>
          <w:sz w:val="20"/>
          <w:szCs w:val="20"/>
          <w:color w:val="auto"/>
        </w:rPr>
      </w:pPr>
    </w:p>
    <w:p>
      <w:pPr>
        <w:ind w:right="520"/>
        <w:spacing w:after="0" w:line="270" w:lineRule="auto"/>
        <w:rPr>
          <w:sz w:val="20"/>
          <w:szCs w:val="20"/>
          <w:color w:val="auto"/>
        </w:rPr>
      </w:pPr>
      <w:r>
        <w:rPr>
          <w:rFonts w:ascii="Arial" w:cs="Arial" w:eastAsia="Arial" w:hAnsi="Arial"/>
          <w:sz w:val="19"/>
          <w:szCs w:val="19"/>
          <w:b w:val="1"/>
          <w:bCs w:val="1"/>
          <w:color w:val="7CBD3F"/>
        </w:rPr>
        <w:t>Why did I receive a one-page notice in the mail regarding the Internet availability of proxy materials instead of a full set of proxy materials?</w:t>
      </w:r>
    </w:p>
    <w:p>
      <w:pPr>
        <w:spacing w:after="0" w:line="149"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Pursuant to rules adopted by the SEC, we have elected to provide access to our proxy materials over the Internet. Accordingly, we are sending an Important Notice Regarding the Availability of Proxy Materials (the Notice of Internet Availability) to our stockholders of record. All stockholders will have the ability to access the proxy materials on the website referred to in the Notice of Internet Availability free of charge or request to receive a printed set of the proxy materials for the Annual Meeting. Instructions on how to access the proxy materials over the Internet or to request a printed copy may be found in the Notice of Internet Availability.</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color w:val="auto"/>
        </w:rPr>
        <w:t>We intend to mail the Notice of Internet Availability beginning on or about March 28, 2025 to all stockholders of record entitled to vote at the Annual Meeting.</w:t>
      </w:r>
    </w:p>
    <w:p>
      <w:pPr>
        <w:spacing w:after="0" w:line="201" w:lineRule="exact"/>
        <w:rPr>
          <w:sz w:val="20"/>
          <w:szCs w:val="20"/>
          <w:color w:val="auto"/>
        </w:rPr>
      </w:pPr>
    </w:p>
    <w:p>
      <w:pPr>
        <w:spacing w:after="0"/>
        <w:rPr>
          <w:sz w:val="20"/>
          <w:szCs w:val="20"/>
          <w:color w:val="auto"/>
        </w:rPr>
      </w:pPr>
      <w:r>
        <w:rPr>
          <w:rFonts w:ascii="Arial" w:cs="Arial" w:eastAsia="Arial" w:hAnsi="Arial"/>
          <w:sz w:val="19"/>
          <w:szCs w:val="19"/>
          <w:b w:val="1"/>
          <w:bCs w:val="1"/>
          <w:color w:val="7CBD3F"/>
        </w:rPr>
        <w:t>What if I received more than one Notice of Internet Availability?</w:t>
      </w:r>
    </w:p>
    <w:p>
      <w:pPr>
        <w:spacing w:after="0" w:line="166" w:lineRule="exact"/>
        <w:rPr>
          <w:sz w:val="20"/>
          <w:szCs w:val="20"/>
          <w:color w:val="auto"/>
        </w:rPr>
      </w:pPr>
    </w:p>
    <w:p>
      <w:pPr>
        <w:jc w:val="both"/>
        <w:ind w:right="20"/>
        <w:spacing w:after="0" w:line="278" w:lineRule="auto"/>
        <w:rPr>
          <w:sz w:val="20"/>
          <w:szCs w:val="20"/>
          <w:color w:val="auto"/>
        </w:rPr>
      </w:pPr>
      <w:r>
        <w:rPr>
          <w:rFonts w:ascii="Arial" w:cs="Arial" w:eastAsia="Arial" w:hAnsi="Arial"/>
          <w:sz w:val="14"/>
          <w:szCs w:val="14"/>
          <w:color w:val="auto"/>
        </w:rPr>
        <w:t>If you receive more than one Notice of Internet Availability, your shares may be registered in more than one name or are registered in different accounts. Please follow the voting instructions on each Notice of Internet Availability and cast your vote with respect to each set of proxy materials to ensure that all of your shares are voted.</w:t>
      </w:r>
    </w:p>
    <w:p>
      <w:pPr>
        <w:spacing w:after="0" w:line="152" w:lineRule="exact"/>
        <w:rPr>
          <w:sz w:val="20"/>
          <w:szCs w:val="20"/>
          <w:color w:val="auto"/>
        </w:rPr>
      </w:pPr>
    </w:p>
    <w:p>
      <w:pPr>
        <w:spacing w:after="0"/>
        <w:rPr>
          <w:sz w:val="20"/>
          <w:szCs w:val="20"/>
          <w:color w:val="auto"/>
        </w:rPr>
      </w:pPr>
      <w:r>
        <w:rPr>
          <w:rFonts w:ascii="Arial" w:cs="Arial" w:eastAsia="Arial" w:hAnsi="Arial"/>
          <w:sz w:val="19"/>
          <w:szCs w:val="19"/>
          <w:b w:val="1"/>
          <w:bCs w:val="1"/>
          <w:color w:val="7CBD3F"/>
        </w:rPr>
        <w:t>When and where will the Annual Meeting be held?</w:t>
      </w:r>
    </w:p>
    <w:p>
      <w:pPr>
        <w:spacing w:after="0" w:line="166" w:lineRule="exact"/>
        <w:rPr>
          <w:sz w:val="20"/>
          <w:szCs w:val="20"/>
          <w:color w:val="auto"/>
        </w:rPr>
      </w:pPr>
    </w:p>
    <w:p>
      <w:pPr>
        <w:jc w:val="both"/>
        <w:spacing w:after="0" w:line="250" w:lineRule="auto"/>
        <w:rPr>
          <w:sz w:val="20"/>
          <w:szCs w:val="20"/>
          <w:color w:val="auto"/>
        </w:rPr>
      </w:pPr>
      <w:r>
        <w:rPr>
          <w:rFonts w:ascii="Arial" w:cs="Arial" w:eastAsia="Arial" w:hAnsi="Arial"/>
          <w:sz w:val="14"/>
          <w:szCs w:val="14"/>
          <w:color w:val="auto"/>
        </w:rPr>
        <w:t xml:space="preserve">The Annual Meeting will be held on May 15, 2025 at 9:00 a.m. Pacific Time virtually via the Internet at </w:t>
      </w:r>
      <w:r>
        <w:rPr>
          <w:rFonts w:ascii="Arial" w:cs="Arial" w:eastAsia="Arial" w:hAnsi="Arial"/>
          <w:sz w:val="14"/>
          <w:szCs w:val="14"/>
          <w:i w:val="1"/>
          <w:iCs w:val="1"/>
          <w:color w:val="auto"/>
        </w:rPr>
        <w:t>www.virtualshareholdermeeting.com/RARE2025</w:t>
      </w:r>
      <w:r>
        <w:rPr>
          <w:rFonts w:ascii="Arial" w:cs="Arial" w:eastAsia="Arial" w:hAnsi="Arial"/>
          <w:sz w:val="14"/>
          <w:szCs w:val="14"/>
          <w:color w:val="auto"/>
        </w:rPr>
        <w:t>. We conduct the Annual Meeting virtually via the Internet to facilitate stockholder attendance and participation and have done so every year since our initial public offering. We believe the virtual format for the Annual Meeting enhances stockholder access by allowing our stockholders to participate fully, and equally, from any location around the world at no cost. Taking advantage of this virtual approach reduces our expenses and eliminates the time we would otherwise spend managing the various aspects of holding a physical meeting. We believe the virtual format is the right choice for us, not only because it brings cost savings to us and our stockholders, but because it increases our ability to engage with all stockholders, regardless of size, resources, or physical location.</w:t>
      </w:r>
    </w:p>
    <w:p>
      <w:pPr>
        <w:spacing w:after="0" w:line="136" w:lineRule="exact"/>
        <w:rPr>
          <w:sz w:val="20"/>
          <w:szCs w:val="20"/>
          <w:color w:val="auto"/>
        </w:rPr>
      </w:pPr>
    </w:p>
    <w:p>
      <w:pPr>
        <w:jc w:val="both"/>
        <w:ind w:right="20"/>
        <w:spacing w:after="0" w:line="249" w:lineRule="auto"/>
        <w:rPr>
          <w:sz w:val="20"/>
          <w:szCs w:val="20"/>
          <w:color w:val="auto"/>
        </w:rPr>
      </w:pPr>
      <w:r>
        <w:rPr>
          <w:rFonts w:ascii="Arial" w:cs="Arial" w:eastAsia="Arial" w:hAnsi="Arial"/>
          <w:sz w:val="14"/>
          <w:szCs w:val="14"/>
          <w:color w:val="auto"/>
        </w:rPr>
        <w:t xml:space="preserve">We are aware of concerns that virtual meetings may diminish stockholder voice or reduce accountability and have taken steps to address these concerns. For example, we believe that our virtual meeting format enhances, rather than constrains, stockholder access, participation, and communication because the online format allows stockholders to communicate with us during the Annual Meeting. Stockholders can ask questions of our Board, management, and a representative from our independent registered public accounting firm during the meeting. During the live Q&amp;A session, we will answer questions as they come in, as time permits, and in accordance with the meeting rules of conduct that will be available at the virtual meeting website. Following the Annual Meeting, we intend to publish and answer any questions received that comply with the meeting of conduct and that are not answered at the meeting. Although the live webcast is available only to stockholders as of the Record Date (defined below) at the time of the Annual Meeting, the webcast of the Annual Meeting will be archived for the public for one year after the date of the Annual Meeting at </w:t>
      </w:r>
      <w:r>
        <w:rPr>
          <w:rFonts w:ascii="Arial" w:cs="Arial" w:eastAsia="Arial" w:hAnsi="Arial"/>
          <w:sz w:val="14"/>
          <w:szCs w:val="14"/>
          <w:i w:val="1"/>
          <w:iCs w:val="1"/>
          <w:color w:val="auto"/>
        </w:rPr>
        <w:t>www.virtualshareholdermeeting.com/RARE2025</w:t>
      </w:r>
      <w:r>
        <w:rPr>
          <w:rFonts w:ascii="Arial" w:cs="Arial" w:eastAsia="Arial" w:hAnsi="Arial"/>
          <w:sz w:val="14"/>
          <w:szCs w:val="14"/>
          <w:color w:val="auto"/>
        </w:rPr>
        <w:t>.</w:t>
      </w:r>
    </w:p>
    <w:p>
      <w:pPr>
        <w:spacing w:after="0" w:line="136"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221E1F"/>
        </w:rPr>
        <w:t>Our annual meetings are only one aspect of our stockholder outreach program, which is a year-long effort by our management to engage with our stockholders in a continuous and meaningful way. Our stockholders can raise questions or concerns regarding the Company at any time by calling our Investor Relations department at (844) 280-7681 or contacting our Board by following the process described under “Corporate Governance—Stockholder Communications”.</w:t>
      </w:r>
    </w:p>
    <w:p>
      <w:pPr>
        <w:spacing w:after="0" w:line="130" w:lineRule="exact"/>
        <w:rPr>
          <w:sz w:val="20"/>
          <w:szCs w:val="20"/>
          <w:color w:val="auto"/>
        </w:rPr>
      </w:pPr>
    </w:p>
    <w:p>
      <w:pPr>
        <w:jc w:val="both"/>
        <w:spacing w:after="0" w:line="252" w:lineRule="auto"/>
        <w:rPr>
          <w:sz w:val="20"/>
          <w:szCs w:val="20"/>
          <w:color w:val="auto"/>
        </w:rPr>
      </w:pPr>
      <w:r>
        <w:rPr>
          <w:rFonts w:ascii="Arial" w:cs="Arial" w:eastAsia="Arial" w:hAnsi="Arial"/>
          <w:sz w:val="14"/>
          <w:szCs w:val="14"/>
          <w:color w:val="auto"/>
        </w:rPr>
        <w:t xml:space="preserve">To participate in the Annual Meeting, you must access the meeting website above, enter your 16-digit control number found on your Notice of Internet Availability, proxy card or voting instruction form, and follow the instructions on the website. If your shares are held in street name and your Notice of Internet Availability or voting instruction form indicates that you may vote those shares through </w:t>
      </w:r>
      <w:r>
        <w:rPr>
          <w:rFonts w:ascii="Arial" w:cs="Arial" w:eastAsia="Arial" w:hAnsi="Arial"/>
          <w:sz w:val="14"/>
          <w:szCs w:val="14"/>
          <w:i w:val="1"/>
          <w:iCs w:val="1"/>
          <w:color w:val="auto"/>
        </w:rPr>
        <w:t>www.proxyvote.com,</w:t>
      </w:r>
      <w:r>
        <w:rPr>
          <w:rFonts w:ascii="Arial" w:cs="Arial" w:eastAsia="Arial" w:hAnsi="Arial"/>
          <w:sz w:val="14"/>
          <w:szCs w:val="14"/>
          <w:color w:val="auto"/>
        </w:rPr>
        <w:t xml:space="preserve"> then you may access, participate in and vote at the Annual Meeting with the 16-digit access code indicated on that Notice of Internet Availability or voting instruction form. Otherwise, stockholders who hold their shares in street name should contact their bank, broker or other nominee (preferably at least five days before the Annual Meeting) and obtain a “legal proxy” in order to be able to attend, participate in or vote at the Annual Meeting.</w:t>
      </w:r>
    </w:p>
    <w:p>
      <w:pPr>
        <w:spacing w:after="0" w:line="134"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221E1F"/>
        </w:rPr>
        <w:t xml:space="preserve">ULTRAGENYX PHARMACEUTICAL INC. </w:t>
      </w:r>
      <w:r>
        <w:rPr>
          <w:rFonts w:ascii="Arial" w:cs="Arial" w:eastAsia="Arial" w:hAnsi="Arial"/>
          <w:sz w:val="14"/>
          <w:szCs w:val="14"/>
          <w:color w:val="7BBD3E"/>
        </w:rPr>
        <w:t>•</w:t>
      </w:r>
      <w:r>
        <w:rPr>
          <w:rFonts w:ascii="Arial" w:cs="Arial" w:eastAsia="Arial" w:hAnsi="Arial"/>
          <w:sz w:val="14"/>
          <w:szCs w:val="14"/>
          <w:b w:val="1"/>
          <w:bCs w:val="1"/>
          <w:color w:val="221E1F"/>
        </w:rPr>
        <w:t xml:space="preserve"> </w:t>
      </w:r>
      <w:r>
        <w:rPr>
          <w:rFonts w:ascii="Arial" w:cs="Arial" w:eastAsia="Arial" w:hAnsi="Arial"/>
          <w:sz w:val="14"/>
          <w:szCs w:val="14"/>
          <w:color w:val="221E1F"/>
        </w:rPr>
        <w:t>2025 Proxy Statement</w:t>
      </w:r>
      <w:r>
        <w:rPr>
          <w:rFonts w:ascii="Arial" w:cs="Arial" w:eastAsia="Arial" w:hAnsi="Arial"/>
          <w:sz w:val="14"/>
          <w:szCs w:val="14"/>
          <w:b w:val="1"/>
          <w:bCs w:val="1"/>
          <w:color w:val="221E1F"/>
        </w:rPr>
        <w:tab/>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142240</wp:posOffset>
            </wp:positionV>
            <wp:extent cx="7150735" cy="298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0735" cy="29845"/>
                    </a:xfrm>
                    <a:prstGeom prst="rect">
                      <a:avLst/>
                    </a:prstGeom>
                    <a:noFill/>
                  </pic:spPr>
                </pic:pic>
              </a:graphicData>
            </a:graphic>
          </wp:anchor>
        </w:drawing>
      </w:r>
    </w:p>
    <w:p>
      <w:pPr>
        <w:sectPr>
          <w:pgSz w:w="11900" w:h="16838" w:orient="portrait"/>
          <w:cols w:equalWidth="0" w:num="1">
            <w:col w:w="11260"/>
          </w:cols>
          <w:pgMar w:left="320" w:top="225" w:right="319" w:bottom="1440" w:gutter="0" w:footer="0" w:header="0"/>
        </w:sectPr>
      </w:pPr>
    </w:p>
    <w:bookmarkStart w:id="70" w:name="page71"/>
    <w:bookmarkEnd w:id="70"/>
    <w:p>
      <w:pPr>
        <w:ind w:left="7"/>
        <w:spacing w:after="0"/>
        <w:rPr>
          <w:sz w:val="20"/>
          <w:szCs w:val="20"/>
          <w:color w:val="auto"/>
        </w:rPr>
      </w:pPr>
      <w:r>
        <w:rPr>
          <w:rFonts w:ascii="Arial" w:cs="Arial" w:eastAsia="Arial" w:hAnsi="Arial"/>
          <w:sz w:val="12"/>
          <w:szCs w:val="12"/>
          <w:b w:val="1"/>
          <w:bCs w:val="1"/>
          <w:u w:val="single" w:color="auto"/>
          <w:color w:val="0000EE"/>
        </w:rPr>
        <w:t>Back to Contents</w:t>
      </w:r>
    </w:p>
    <w:p>
      <w:pPr>
        <w:spacing w:after="0" w:line="138" w:lineRule="exact"/>
        <w:rPr>
          <w:sz w:val="20"/>
          <w:szCs w:val="20"/>
          <w:color w:val="auto"/>
        </w:rPr>
      </w:pPr>
    </w:p>
    <w:p>
      <w:pPr>
        <w:ind w:left="7"/>
        <w:spacing w:after="0"/>
        <w:rPr>
          <w:sz w:val="20"/>
          <w:szCs w:val="20"/>
          <w:color w:val="auto"/>
        </w:rPr>
      </w:pPr>
      <w:r>
        <w:rPr>
          <w:rFonts w:ascii="Arial" w:cs="Arial" w:eastAsia="Arial" w:hAnsi="Arial"/>
          <w:sz w:val="19"/>
          <w:szCs w:val="19"/>
          <w:b w:val="1"/>
          <w:bCs w:val="1"/>
          <w:color w:val="7CBD3F"/>
        </w:rPr>
        <w:t>What am I voting on?</w:t>
      </w:r>
    </w:p>
    <w:p>
      <w:pPr>
        <w:spacing w:after="0" w:line="212" w:lineRule="exact"/>
        <w:rPr>
          <w:sz w:val="20"/>
          <w:szCs w:val="20"/>
          <w:color w:val="auto"/>
        </w:rPr>
      </w:pPr>
    </w:p>
    <w:p>
      <w:pPr>
        <w:ind w:left="7"/>
        <w:spacing w:after="0"/>
        <w:rPr>
          <w:sz w:val="20"/>
          <w:szCs w:val="20"/>
          <w:color w:val="auto"/>
        </w:rPr>
      </w:pPr>
      <w:r>
        <w:rPr>
          <w:rFonts w:ascii="Arial" w:cs="Arial" w:eastAsia="Arial" w:hAnsi="Arial"/>
          <w:sz w:val="14"/>
          <w:szCs w:val="14"/>
          <w:color w:val="auto"/>
        </w:rPr>
        <w:t>At the Annual Meeting, you will be asked to consider and vote upon:</w:t>
      </w:r>
    </w:p>
    <w:p>
      <w:pPr>
        <w:spacing w:after="0" w:line="165" w:lineRule="exact"/>
        <w:rPr>
          <w:sz w:val="20"/>
          <w:szCs w:val="20"/>
          <w:color w:val="auto"/>
        </w:rPr>
      </w:pPr>
    </w:p>
    <w:p>
      <w:pPr>
        <w:ind w:left="287" w:hanging="287"/>
        <w:spacing w:after="0"/>
        <w:tabs>
          <w:tab w:leader="none" w:pos="287" w:val="left"/>
        </w:tabs>
        <w:numPr>
          <w:ilvl w:val="0"/>
          <w:numId w:val="48"/>
        </w:numPr>
        <w:rPr>
          <w:rFonts w:ascii="Arial" w:cs="Arial" w:eastAsia="Arial" w:hAnsi="Arial"/>
          <w:sz w:val="14"/>
          <w:szCs w:val="14"/>
          <w:color w:val="7CBD3F"/>
        </w:rPr>
      </w:pPr>
      <w:r>
        <w:rPr>
          <w:rFonts w:ascii="Arial" w:cs="Arial" w:eastAsia="Arial" w:hAnsi="Arial"/>
          <w:sz w:val="14"/>
          <w:szCs w:val="14"/>
          <w:color w:val="auto"/>
        </w:rPr>
        <w:t>The election of the two directors named in the Proxy Statement as Class III directors;</w:t>
      </w:r>
    </w:p>
    <w:p>
      <w:pPr>
        <w:spacing w:after="0" w:line="72" w:lineRule="exact"/>
        <w:rPr>
          <w:rFonts w:ascii="Arial" w:cs="Arial" w:eastAsia="Arial" w:hAnsi="Arial"/>
          <w:sz w:val="14"/>
          <w:szCs w:val="14"/>
          <w:color w:val="7CBD3F"/>
        </w:rPr>
      </w:pPr>
    </w:p>
    <w:p>
      <w:pPr>
        <w:ind w:left="287" w:hanging="287"/>
        <w:spacing w:after="0"/>
        <w:tabs>
          <w:tab w:leader="none" w:pos="287" w:val="left"/>
        </w:tabs>
        <w:numPr>
          <w:ilvl w:val="0"/>
          <w:numId w:val="48"/>
        </w:numPr>
        <w:rPr>
          <w:rFonts w:ascii="Arial" w:cs="Arial" w:eastAsia="Arial" w:hAnsi="Arial"/>
          <w:sz w:val="14"/>
          <w:szCs w:val="14"/>
          <w:color w:val="7CBD3F"/>
        </w:rPr>
      </w:pPr>
      <w:r>
        <w:rPr>
          <w:rFonts w:ascii="Arial" w:cs="Arial" w:eastAsia="Arial" w:hAnsi="Arial"/>
          <w:sz w:val="14"/>
          <w:szCs w:val="14"/>
          <w:color w:val="auto"/>
        </w:rPr>
        <w:t>The approval of the Second A&amp;R 2023 Plan;</w:t>
      </w:r>
    </w:p>
    <w:p>
      <w:pPr>
        <w:spacing w:after="0" w:line="72" w:lineRule="exact"/>
        <w:rPr>
          <w:rFonts w:ascii="Arial" w:cs="Arial" w:eastAsia="Arial" w:hAnsi="Arial"/>
          <w:sz w:val="14"/>
          <w:szCs w:val="14"/>
          <w:color w:val="7CBD3F"/>
        </w:rPr>
      </w:pPr>
    </w:p>
    <w:p>
      <w:pPr>
        <w:ind w:left="287" w:hanging="287"/>
        <w:spacing w:after="0"/>
        <w:tabs>
          <w:tab w:leader="none" w:pos="287" w:val="left"/>
        </w:tabs>
        <w:numPr>
          <w:ilvl w:val="0"/>
          <w:numId w:val="48"/>
        </w:numPr>
        <w:rPr>
          <w:rFonts w:ascii="Arial" w:cs="Arial" w:eastAsia="Arial" w:hAnsi="Arial"/>
          <w:sz w:val="14"/>
          <w:szCs w:val="14"/>
          <w:color w:val="7CBD3F"/>
        </w:rPr>
      </w:pPr>
      <w:r>
        <w:rPr>
          <w:rFonts w:ascii="Arial" w:cs="Arial" w:eastAsia="Arial" w:hAnsi="Arial"/>
          <w:sz w:val="14"/>
          <w:szCs w:val="14"/>
          <w:color w:val="auto"/>
        </w:rPr>
        <w:t>The ratification of the selection of Ernst &amp; Young LLP as our independent registered public accounting firm for the fiscal year ending December 31, 2025; and</w:t>
      </w:r>
    </w:p>
    <w:p>
      <w:pPr>
        <w:spacing w:after="0" w:line="72" w:lineRule="exact"/>
        <w:rPr>
          <w:rFonts w:ascii="Arial" w:cs="Arial" w:eastAsia="Arial" w:hAnsi="Arial"/>
          <w:sz w:val="14"/>
          <w:szCs w:val="14"/>
          <w:color w:val="7CBD3F"/>
        </w:rPr>
      </w:pPr>
    </w:p>
    <w:p>
      <w:pPr>
        <w:ind w:left="287" w:hanging="287"/>
        <w:spacing w:after="0"/>
        <w:tabs>
          <w:tab w:leader="none" w:pos="287" w:val="left"/>
        </w:tabs>
        <w:numPr>
          <w:ilvl w:val="0"/>
          <w:numId w:val="48"/>
        </w:numPr>
        <w:rPr>
          <w:rFonts w:ascii="Arial" w:cs="Arial" w:eastAsia="Arial" w:hAnsi="Arial"/>
          <w:sz w:val="14"/>
          <w:szCs w:val="14"/>
          <w:color w:val="7CBD3F"/>
        </w:rPr>
      </w:pPr>
      <w:r>
        <w:rPr>
          <w:rFonts w:ascii="Arial" w:cs="Arial" w:eastAsia="Arial" w:hAnsi="Arial"/>
          <w:sz w:val="14"/>
          <w:szCs w:val="14"/>
          <w:color w:val="auto"/>
        </w:rPr>
        <w:t>An advisory (non-binding) resolution to approve the compensation of our named executive officers.</w:t>
      </w:r>
    </w:p>
    <w:p>
      <w:pPr>
        <w:spacing w:after="0" w:line="247" w:lineRule="exact"/>
        <w:rPr>
          <w:sz w:val="20"/>
          <w:szCs w:val="20"/>
          <w:color w:val="auto"/>
        </w:rPr>
      </w:pPr>
    </w:p>
    <w:p>
      <w:pPr>
        <w:ind w:left="7"/>
        <w:spacing w:after="0"/>
        <w:rPr>
          <w:sz w:val="20"/>
          <w:szCs w:val="20"/>
          <w:color w:val="auto"/>
        </w:rPr>
      </w:pPr>
      <w:r>
        <w:rPr>
          <w:rFonts w:ascii="Arial" w:cs="Arial" w:eastAsia="Arial" w:hAnsi="Arial"/>
          <w:sz w:val="19"/>
          <w:szCs w:val="19"/>
          <w:b w:val="1"/>
          <w:bCs w:val="1"/>
          <w:color w:val="7CBD3F"/>
        </w:rPr>
        <w:t>What if another matter is properly brought before the Annual Meeting?</w:t>
      </w:r>
    </w:p>
    <w:p>
      <w:pPr>
        <w:spacing w:after="0" w:line="166" w:lineRule="exact"/>
        <w:rPr>
          <w:sz w:val="20"/>
          <w:szCs w:val="20"/>
          <w:color w:val="auto"/>
        </w:rPr>
      </w:pPr>
    </w:p>
    <w:p>
      <w:pPr>
        <w:ind w:left="7" w:right="20"/>
        <w:spacing w:after="0" w:line="278" w:lineRule="auto"/>
        <w:rPr>
          <w:sz w:val="20"/>
          <w:szCs w:val="20"/>
          <w:color w:val="auto"/>
        </w:rPr>
      </w:pPr>
      <w:r>
        <w:rPr>
          <w:rFonts w:ascii="Arial" w:cs="Arial" w:eastAsia="Arial" w:hAnsi="Arial"/>
          <w:sz w:val="14"/>
          <w:szCs w:val="14"/>
          <w:color w:val="auto"/>
        </w:rPr>
        <w:t>The Board of Directors is not aware of any other matter that will be presented for consideration at the Annual Meeting. If any other matters are properly brought before the Annual Meeting, the persons named in the accompanying proxy will vote on those matters in accordance with their best judgment.</w:t>
      </w:r>
    </w:p>
    <w:p>
      <w:pPr>
        <w:spacing w:after="0" w:line="199" w:lineRule="exact"/>
        <w:rPr>
          <w:sz w:val="20"/>
          <w:szCs w:val="20"/>
          <w:color w:val="auto"/>
        </w:rPr>
      </w:pPr>
    </w:p>
    <w:p>
      <w:pPr>
        <w:ind w:left="7"/>
        <w:spacing w:after="0"/>
        <w:rPr>
          <w:sz w:val="20"/>
          <w:szCs w:val="20"/>
          <w:color w:val="auto"/>
        </w:rPr>
      </w:pPr>
      <w:r>
        <w:rPr>
          <w:rFonts w:ascii="Arial" w:cs="Arial" w:eastAsia="Arial" w:hAnsi="Arial"/>
          <w:sz w:val="19"/>
          <w:szCs w:val="19"/>
          <w:b w:val="1"/>
          <w:bCs w:val="1"/>
          <w:color w:val="7CBD3F"/>
        </w:rPr>
        <w:t>What is the Board of Directors’ voting recommendation?</w:t>
      </w:r>
    </w:p>
    <w:p>
      <w:pPr>
        <w:spacing w:after="0" w:line="166" w:lineRule="exact"/>
        <w:rPr>
          <w:sz w:val="20"/>
          <w:szCs w:val="20"/>
          <w:color w:val="auto"/>
        </w:rPr>
      </w:pPr>
    </w:p>
    <w:p>
      <w:pPr>
        <w:ind w:left="7"/>
        <w:spacing w:after="0"/>
        <w:rPr>
          <w:sz w:val="20"/>
          <w:szCs w:val="20"/>
          <w:color w:val="auto"/>
        </w:rPr>
      </w:pPr>
      <w:r>
        <w:rPr>
          <w:rFonts w:ascii="Arial" w:cs="Arial" w:eastAsia="Arial" w:hAnsi="Arial"/>
          <w:sz w:val="14"/>
          <w:szCs w:val="14"/>
          <w:color w:val="auto"/>
        </w:rPr>
        <w:t>The Board of Directors recommends that you vote your shares:</w:t>
      </w:r>
    </w:p>
    <w:p>
      <w:pPr>
        <w:spacing w:after="0" w:line="94" w:lineRule="exact"/>
        <w:rPr>
          <w:sz w:val="20"/>
          <w:szCs w:val="20"/>
          <w:color w:val="auto"/>
        </w:rPr>
      </w:pPr>
    </w:p>
    <w:p>
      <w:pPr>
        <w:ind w:left="147" w:hanging="147"/>
        <w:spacing w:after="0"/>
        <w:tabs>
          <w:tab w:leader="none" w:pos="147" w:val="left"/>
        </w:tabs>
        <w:numPr>
          <w:ilvl w:val="0"/>
          <w:numId w:val="49"/>
        </w:numPr>
        <w:rPr>
          <w:rFonts w:ascii="Arial" w:cs="Arial" w:eastAsia="Arial" w:hAnsi="Arial"/>
          <w:sz w:val="23"/>
          <w:szCs w:val="23"/>
          <w:b w:val="1"/>
          <w:bCs w:val="1"/>
          <w:color w:val="7CBD3F"/>
          <w:vertAlign w:val="superscript"/>
        </w:rPr>
      </w:pPr>
      <w:r>
        <w:rPr>
          <w:rFonts w:ascii="Arial" w:cs="Arial" w:eastAsia="Arial" w:hAnsi="Arial"/>
          <w:sz w:val="14"/>
          <w:szCs w:val="14"/>
          <w:b w:val="1"/>
          <w:bCs w:val="1"/>
          <w:color w:val="auto"/>
        </w:rPr>
        <w:t xml:space="preserve">“FOR” </w:t>
      </w:r>
      <w:r>
        <w:rPr>
          <w:rFonts w:ascii="Arial" w:cs="Arial" w:eastAsia="Arial" w:hAnsi="Arial"/>
          <w:sz w:val="14"/>
          <w:szCs w:val="14"/>
          <w:color w:val="auto"/>
        </w:rPr>
        <w:t>the election of each of the Class III director nominees;</w:t>
      </w:r>
    </w:p>
    <w:p>
      <w:pPr>
        <w:spacing w:after="0" w:line="54" w:lineRule="exact"/>
        <w:rPr>
          <w:rFonts w:ascii="Arial" w:cs="Arial" w:eastAsia="Arial" w:hAnsi="Arial"/>
          <w:sz w:val="23"/>
          <w:szCs w:val="23"/>
          <w:b w:val="1"/>
          <w:bCs w:val="1"/>
          <w:color w:val="7CBD3F"/>
          <w:vertAlign w:val="superscript"/>
        </w:rPr>
      </w:pPr>
    </w:p>
    <w:p>
      <w:pPr>
        <w:ind w:left="147" w:hanging="147"/>
        <w:spacing w:after="0" w:line="186" w:lineRule="auto"/>
        <w:tabs>
          <w:tab w:leader="none" w:pos="147" w:val="left"/>
        </w:tabs>
        <w:numPr>
          <w:ilvl w:val="0"/>
          <w:numId w:val="49"/>
        </w:numPr>
        <w:rPr>
          <w:rFonts w:ascii="Arial" w:cs="Arial" w:eastAsia="Arial" w:hAnsi="Arial"/>
          <w:sz w:val="20"/>
          <w:szCs w:val="20"/>
          <w:b w:val="1"/>
          <w:bCs w:val="1"/>
          <w:color w:val="7CBD3F"/>
          <w:vertAlign w:val="superscript"/>
        </w:rPr>
      </w:pPr>
      <w:r>
        <w:rPr>
          <w:rFonts w:ascii="Arial" w:cs="Arial" w:eastAsia="Arial" w:hAnsi="Arial"/>
          <w:sz w:val="12"/>
          <w:szCs w:val="12"/>
          <w:b w:val="1"/>
          <w:bCs w:val="1"/>
          <w:color w:val="auto"/>
        </w:rPr>
        <w:t xml:space="preserve">“FOR” </w:t>
      </w:r>
      <w:r>
        <w:rPr>
          <w:rFonts w:ascii="Arial" w:cs="Arial" w:eastAsia="Arial" w:hAnsi="Arial"/>
          <w:sz w:val="12"/>
          <w:szCs w:val="12"/>
          <w:color w:val="auto"/>
        </w:rPr>
        <w:t>the approval of the Second A&amp;R 2023 Plan;</w:t>
      </w:r>
    </w:p>
    <w:p>
      <w:pPr>
        <w:spacing w:after="0" w:line="54" w:lineRule="exact"/>
        <w:rPr>
          <w:rFonts w:ascii="Arial" w:cs="Arial" w:eastAsia="Arial" w:hAnsi="Arial"/>
          <w:sz w:val="20"/>
          <w:szCs w:val="20"/>
          <w:b w:val="1"/>
          <w:bCs w:val="1"/>
          <w:color w:val="7CBD3F"/>
          <w:vertAlign w:val="superscript"/>
        </w:rPr>
      </w:pPr>
    </w:p>
    <w:p>
      <w:pPr>
        <w:ind w:left="147" w:hanging="147"/>
        <w:spacing w:after="0" w:line="186" w:lineRule="auto"/>
        <w:tabs>
          <w:tab w:leader="none" w:pos="147" w:val="left"/>
        </w:tabs>
        <w:numPr>
          <w:ilvl w:val="0"/>
          <w:numId w:val="49"/>
        </w:numPr>
        <w:rPr>
          <w:rFonts w:ascii="Arial" w:cs="Arial" w:eastAsia="Arial" w:hAnsi="Arial"/>
          <w:sz w:val="20"/>
          <w:szCs w:val="20"/>
          <w:b w:val="1"/>
          <w:bCs w:val="1"/>
          <w:color w:val="7CBD3F"/>
          <w:vertAlign w:val="superscript"/>
        </w:rPr>
      </w:pPr>
      <w:r>
        <w:rPr>
          <w:rFonts w:ascii="Arial" w:cs="Arial" w:eastAsia="Arial" w:hAnsi="Arial"/>
          <w:sz w:val="12"/>
          <w:szCs w:val="12"/>
          <w:b w:val="1"/>
          <w:bCs w:val="1"/>
          <w:color w:val="auto"/>
        </w:rPr>
        <w:t xml:space="preserve">“FOR” </w:t>
      </w:r>
      <w:r>
        <w:rPr>
          <w:rFonts w:ascii="Arial" w:cs="Arial" w:eastAsia="Arial" w:hAnsi="Arial"/>
          <w:sz w:val="12"/>
          <w:szCs w:val="12"/>
          <w:color w:val="auto"/>
        </w:rPr>
        <w:t>the ratification of the selection of Ernst &amp; Young LLP as our independent registered public accounting firm for the fiscal year ending December 31, 2025; and</w:t>
      </w:r>
    </w:p>
    <w:p>
      <w:pPr>
        <w:spacing w:after="0" w:line="54" w:lineRule="exact"/>
        <w:rPr>
          <w:rFonts w:ascii="Arial" w:cs="Arial" w:eastAsia="Arial" w:hAnsi="Arial"/>
          <w:sz w:val="20"/>
          <w:szCs w:val="20"/>
          <w:b w:val="1"/>
          <w:bCs w:val="1"/>
          <w:color w:val="7CBD3F"/>
          <w:vertAlign w:val="superscript"/>
        </w:rPr>
      </w:pPr>
    </w:p>
    <w:p>
      <w:pPr>
        <w:ind w:left="147" w:hanging="147"/>
        <w:spacing w:after="0" w:line="186" w:lineRule="auto"/>
        <w:tabs>
          <w:tab w:leader="none" w:pos="147" w:val="left"/>
        </w:tabs>
        <w:numPr>
          <w:ilvl w:val="0"/>
          <w:numId w:val="49"/>
        </w:numPr>
        <w:rPr>
          <w:rFonts w:ascii="Arial" w:cs="Arial" w:eastAsia="Arial" w:hAnsi="Arial"/>
          <w:sz w:val="20"/>
          <w:szCs w:val="20"/>
          <w:b w:val="1"/>
          <w:bCs w:val="1"/>
          <w:color w:val="7CBD3F"/>
          <w:vertAlign w:val="superscript"/>
        </w:rPr>
      </w:pPr>
      <w:r>
        <w:rPr>
          <w:rFonts w:ascii="Arial" w:cs="Arial" w:eastAsia="Arial" w:hAnsi="Arial"/>
          <w:sz w:val="12"/>
          <w:szCs w:val="12"/>
          <w:b w:val="1"/>
          <w:bCs w:val="1"/>
          <w:color w:val="auto"/>
        </w:rPr>
        <w:t xml:space="preserve">“FOR” </w:t>
      </w:r>
      <w:r>
        <w:rPr>
          <w:rFonts w:ascii="Arial" w:cs="Arial" w:eastAsia="Arial" w:hAnsi="Arial"/>
          <w:sz w:val="12"/>
          <w:szCs w:val="12"/>
          <w:color w:val="auto"/>
        </w:rPr>
        <w:t>the approval, on an advisory basis, of the compensation of our named executive officers</w:t>
      </w:r>
    </w:p>
    <w:p>
      <w:pPr>
        <w:spacing w:after="0" w:line="216" w:lineRule="exact"/>
        <w:rPr>
          <w:sz w:val="20"/>
          <w:szCs w:val="20"/>
          <w:color w:val="auto"/>
        </w:rPr>
      </w:pPr>
    </w:p>
    <w:p>
      <w:pPr>
        <w:ind w:left="7"/>
        <w:spacing w:after="0"/>
        <w:rPr>
          <w:sz w:val="20"/>
          <w:szCs w:val="20"/>
          <w:color w:val="auto"/>
        </w:rPr>
      </w:pPr>
      <w:r>
        <w:rPr>
          <w:rFonts w:ascii="Arial" w:cs="Arial" w:eastAsia="Arial" w:hAnsi="Arial"/>
          <w:sz w:val="19"/>
          <w:szCs w:val="19"/>
          <w:b w:val="1"/>
          <w:bCs w:val="1"/>
          <w:color w:val="7CBD3F"/>
        </w:rPr>
        <w:t>How many votes do I have?</w:t>
      </w:r>
    </w:p>
    <w:p>
      <w:pPr>
        <w:spacing w:after="0" w:line="166" w:lineRule="exact"/>
        <w:rPr>
          <w:sz w:val="20"/>
          <w:szCs w:val="20"/>
          <w:color w:val="auto"/>
        </w:rPr>
      </w:pPr>
    </w:p>
    <w:p>
      <w:pPr>
        <w:jc w:val="both"/>
        <w:ind w:left="7" w:right="20"/>
        <w:spacing w:after="0" w:line="278" w:lineRule="auto"/>
        <w:rPr>
          <w:sz w:val="20"/>
          <w:szCs w:val="20"/>
          <w:color w:val="auto"/>
        </w:rPr>
      </w:pPr>
      <w:r>
        <w:rPr>
          <w:rFonts w:ascii="Arial" w:cs="Arial" w:eastAsia="Arial" w:hAnsi="Arial"/>
          <w:sz w:val="14"/>
          <w:szCs w:val="14"/>
          <w:color w:val="auto"/>
        </w:rPr>
        <w:t>Each share of common stock is entitled to one vote on all matters to be voted upon at the Annual Meeting. Holders of common stock do not have the right to cumulate votes in the election of directors.</w:t>
      </w:r>
    </w:p>
    <w:p>
      <w:pPr>
        <w:spacing w:after="0" w:line="199" w:lineRule="exact"/>
        <w:rPr>
          <w:sz w:val="20"/>
          <w:szCs w:val="20"/>
          <w:color w:val="auto"/>
        </w:rPr>
      </w:pPr>
    </w:p>
    <w:p>
      <w:pPr>
        <w:ind w:left="7"/>
        <w:spacing w:after="0"/>
        <w:rPr>
          <w:sz w:val="20"/>
          <w:szCs w:val="20"/>
          <w:color w:val="auto"/>
        </w:rPr>
      </w:pPr>
      <w:r>
        <w:rPr>
          <w:rFonts w:ascii="Arial" w:cs="Arial" w:eastAsia="Arial" w:hAnsi="Arial"/>
          <w:sz w:val="19"/>
          <w:szCs w:val="19"/>
          <w:b w:val="1"/>
          <w:bCs w:val="1"/>
          <w:color w:val="7CBD3F"/>
        </w:rPr>
        <w:t>When is the record date for the Annual Meeting?</w:t>
      </w:r>
    </w:p>
    <w:p>
      <w:pPr>
        <w:spacing w:after="0" w:line="166" w:lineRule="exact"/>
        <w:rPr>
          <w:sz w:val="20"/>
          <w:szCs w:val="20"/>
          <w:color w:val="auto"/>
        </w:rPr>
      </w:pPr>
    </w:p>
    <w:p>
      <w:pPr>
        <w:ind w:left="7"/>
        <w:spacing w:after="0"/>
        <w:rPr>
          <w:sz w:val="20"/>
          <w:szCs w:val="20"/>
          <w:color w:val="auto"/>
        </w:rPr>
      </w:pPr>
      <w:r>
        <w:rPr>
          <w:rFonts w:ascii="Arial" w:cs="Arial" w:eastAsia="Arial" w:hAnsi="Arial"/>
          <w:sz w:val="14"/>
          <w:szCs w:val="14"/>
          <w:color w:val="auto"/>
        </w:rPr>
        <w:t>The Board of Directors has fixed the close of business on March 24, 2025 as the record date for the Annual Meeting (Record Date).</w:t>
      </w:r>
    </w:p>
    <w:p>
      <w:pPr>
        <w:spacing w:after="0" w:line="247" w:lineRule="exact"/>
        <w:rPr>
          <w:sz w:val="20"/>
          <w:szCs w:val="20"/>
          <w:color w:val="auto"/>
        </w:rPr>
      </w:pPr>
    </w:p>
    <w:p>
      <w:pPr>
        <w:ind w:left="7"/>
        <w:spacing w:after="0"/>
        <w:rPr>
          <w:sz w:val="20"/>
          <w:szCs w:val="20"/>
          <w:color w:val="auto"/>
        </w:rPr>
      </w:pPr>
      <w:r>
        <w:rPr>
          <w:rFonts w:ascii="Arial" w:cs="Arial" w:eastAsia="Arial" w:hAnsi="Arial"/>
          <w:sz w:val="19"/>
          <w:szCs w:val="19"/>
          <w:b w:val="1"/>
          <w:bCs w:val="1"/>
          <w:color w:val="7CBD3F"/>
        </w:rPr>
        <w:t>How many shares must be represented in order to hold the Annual Meeting?</w:t>
      </w:r>
    </w:p>
    <w:p>
      <w:pPr>
        <w:spacing w:after="0" w:line="166" w:lineRule="exact"/>
        <w:rPr>
          <w:sz w:val="20"/>
          <w:szCs w:val="20"/>
          <w:color w:val="auto"/>
        </w:rPr>
      </w:pPr>
    </w:p>
    <w:p>
      <w:pPr>
        <w:jc w:val="both"/>
        <w:ind w:left="7"/>
        <w:spacing w:after="0" w:line="278" w:lineRule="auto"/>
        <w:rPr>
          <w:sz w:val="20"/>
          <w:szCs w:val="20"/>
          <w:color w:val="auto"/>
        </w:rPr>
      </w:pPr>
      <w:r>
        <w:rPr>
          <w:rFonts w:ascii="Arial" w:cs="Arial" w:eastAsia="Arial" w:hAnsi="Arial"/>
          <w:sz w:val="14"/>
          <w:szCs w:val="14"/>
          <w:color w:val="auto"/>
        </w:rPr>
        <w:t>A quorum of stockholders is necessary to hold a valid stockholder meeting. A quorum will be present if stockholders holding at least a majority of the outstanding shares entitled to vote are present or represented by proxy at the Annual Meeting. On the Record Date, there were 93,899,667 shares outstanding and entitled to vote.</w:t>
      </w:r>
    </w:p>
    <w:p>
      <w:pPr>
        <w:spacing w:after="0" w:line="117" w:lineRule="exact"/>
        <w:rPr>
          <w:sz w:val="20"/>
          <w:szCs w:val="20"/>
          <w:color w:val="auto"/>
        </w:rPr>
      </w:pPr>
    </w:p>
    <w:p>
      <w:pPr>
        <w:jc w:val="both"/>
        <w:ind w:left="7"/>
        <w:spacing w:after="0" w:line="260" w:lineRule="auto"/>
        <w:rPr>
          <w:sz w:val="20"/>
          <w:szCs w:val="20"/>
          <w:color w:val="auto"/>
        </w:rPr>
      </w:pPr>
      <w:r>
        <w:rPr>
          <w:rFonts w:ascii="Arial" w:cs="Arial" w:eastAsia="Arial" w:hAnsi="Arial"/>
          <w:sz w:val="14"/>
          <w:szCs w:val="14"/>
          <w:color w:val="auto"/>
        </w:rPr>
        <w:t>Your shares will be counted towards the quorum if you submit a valid proxy by mail, over the phone or via the Internet (or one is submitted on your behalf by your broker, bank or other nominee) or if you attend the Annual Meeting and vote. In addition, abstentions and broker non-votes will be counted towards the quorum requirement. If there is no quorum, the chair of the Annual Meeting may adjourn the meeting to another date.</w:t>
      </w:r>
    </w:p>
    <w:p>
      <w:pPr>
        <w:spacing w:after="0" w:line="212" w:lineRule="exact"/>
        <w:rPr>
          <w:sz w:val="20"/>
          <w:szCs w:val="20"/>
          <w:color w:val="auto"/>
        </w:rPr>
      </w:pPr>
    </w:p>
    <w:p>
      <w:pPr>
        <w:ind w:left="7"/>
        <w:spacing w:after="0"/>
        <w:rPr>
          <w:sz w:val="20"/>
          <w:szCs w:val="20"/>
          <w:color w:val="auto"/>
        </w:rPr>
      </w:pPr>
      <w:r>
        <w:rPr>
          <w:rFonts w:ascii="Arial" w:cs="Arial" w:eastAsia="Arial" w:hAnsi="Arial"/>
          <w:sz w:val="19"/>
          <w:szCs w:val="19"/>
          <w:b w:val="1"/>
          <w:bCs w:val="1"/>
          <w:color w:val="7CBD3F"/>
        </w:rPr>
        <w:t>How do I vote?</w:t>
      </w:r>
    </w:p>
    <w:p>
      <w:pPr>
        <w:spacing w:after="0" w:line="166" w:lineRule="exact"/>
        <w:rPr>
          <w:sz w:val="20"/>
          <w:szCs w:val="20"/>
          <w:color w:val="auto"/>
        </w:rPr>
      </w:pPr>
    </w:p>
    <w:p>
      <w:pPr>
        <w:jc w:val="both"/>
        <w:ind w:left="7" w:right="20"/>
        <w:spacing w:after="0" w:line="278" w:lineRule="auto"/>
        <w:rPr>
          <w:sz w:val="20"/>
          <w:szCs w:val="20"/>
          <w:color w:val="auto"/>
        </w:rPr>
      </w:pPr>
      <w:r>
        <w:rPr>
          <w:rFonts w:ascii="Arial" w:cs="Arial" w:eastAsia="Arial" w:hAnsi="Arial"/>
          <w:sz w:val="14"/>
          <w:szCs w:val="14"/>
          <w:color w:val="221E1F"/>
        </w:rPr>
        <w:t>With regard to Proposal No. 1, the election of directors, you may vote “For” all the nominees to the Board or you may “Withhold” your vote for all the nominees or any individual nominee you specify. With regard to Proposals No. 2, 3 and 4 you may vote “For” or “Against” or abstain from voting.</w:t>
      </w:r>
    </w:p>
    <w:p>
      <w:pPr>
        <w:spacing w:after="0" w:line="117" w:lineRule="exact"/>
        <w:rPr>
          <w:sz w:val="20"/>
          <w:szCs w:val="20"/>
          <w:color w:val="auto"/>
        </w:rPr>
      </w:pPr>
    </w:p>
    <w:p>
      <w:pPr>
        <w:ind w:left="7"/>
        <w:spacing w:after="0"/>
        <w:rPr>
          <w:sz w:val="20"/>
          <w:szCs w:val="20"/>
          <w:color w:val="auto"/>
        </w:rPr>
      </w:pPr>
      <w:r>
        <w:rPr>
          <w:rFonts w:ascii="Arial" w:cs="Arial" w:eastAsia="Arial" w:hAnsi="Arial"/>
          <w:sz w:val="14"/>
          <w:szCs w:val="14"/>
          <w:color w:val="auto"/>
        </w:rPr>
        <w:t>The procedures for voting depend on whether your shares are registered in your name or are held by a bank, broker or other nominee:</w:t>
      </w:r>
    </w:p>
    <w:p>
      <w:pPr>
        <w:spacing w:after="0" w:line="165"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221E1F"/>
        </w:rPr>
        <w:t xml:space="preserve">ULTRAGENYX PHARMACEUTICAL INC. </w:t>
      </w:r>
      <w:r>
        <w:rPr>
          <w:rFonts w:ascii="Arial" w:cs="Arial" w:eastAsia="Arial" w:hAnsi="Arial"/>
          <w:sz w:val="14"/>
          <w:szCs w:val="14"/>
          <w:color w:val="7BBD3E"/>
        </w:rPr>
        <w:t>•</w:t>
      </w:r>
      <w:r>
        <w:rPr>
          <w:rFonts w:ascii="Arial" w:cs="Arial" w:eastAsia="Arial" w:hAnsi="Arial"/>
          <w:sz w:val="14"/>
          <w:szCs w:val="14"/>
          <w:b w:val="1"/>
          <w:bCs w:val="1"/>
          <w:color w:val="221E1F"/>
        </w:rPr>
        <w:t xml:space="preserve"> </w:t>
      </w:r>
      <w:r>
        <w:rPr>
          <w:rFonts w:ascii="Arial" w:cs="Arial" w:eastAsia="Arial" w:hAnsi="Arial"/>
          <w:sz w:val="14"/>
          <w:szCs w:val="14"/>
          <w:color w:val="221E1F"/>
        </w:rPr>
        <w:t>2025 Proxy Statement</w:t>
      </w:r>
      <w:r>
        <w:rPr>
          <w:rFonts w:ascii="Arial" w:cs="Arial" w:eastAsia="Arial" w:hAnsi="Arial"/>
          <w:sz w:val="14"/>
          <w:szCs w:val="14"/>
          <w:b w:val="1"/>
          <w:bCs w:val="1"/>
          <w:color w:val="221E1F"/>
        </w:rPr>
        <w:tab/>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150735" cy="298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0735" cy="29845"/>
                    </a:xfrm>
                    <a:prstGeom prst="rect">
                      <a:avLst/>
                    </a:prstGeom>
                    <a:noFill/>
                  </pic:spPr>
                </pic:pic>
              </a:graphicData>
            </a:graphic>
          </wp:anchor>
        </w:drawing>
      </w:r>
    </w:p>
    <w:p>
      <w:pPr>
        <w:sectPr>
          <w:pgSz w:w="11900" w:h="16838" w:orient="portrait"/>
          <w:cols w:equalWidth="0" w:num="1">
            <w:col w:w="11267"/>
          </w:cols>
          <w:pgMar w:left="313" w:top="225" w:right="319" w:bottom="1440" w:gutter="0" w:footer="0" w:header="0"/>
        </w:sectPr>
      </w:pPr>
    </w:p>
    <w:bookmarkStart w:id="71" w:name="page72"/>
    <w:bookmarkEnd w:id="71"/>
    <w:p>
      <w:pPr>
        <w:ind w:left="7"/>
        <w:spacing w:after="0"/>
        <w:rPr>
          <w:sz w:val="20"/>
          <w:szCs w:val="20"/>
          <w:color w:val="auto"/>
        </w:rPr>
      </w:pPr>
      <w:r>
        <w:rPr>
          <w:rFonts w:ascii="Arial" w:cs="Arial" w:eastAsia="Arial" w:hAnsi="Arial"/>
          <w:sz w:val="12"/>
          <w:szCs w:val="12"/>
          <w:b w:val="1"/>
          <w:bCs w:val="1"/>
          <w:u w:val="single" w:color="auto"/>
          <w:color w:val="0000EE"/>
        </w:rPr>
        <w:t>Back to Contents</w:t>
      </w:r>
    </w:p>
    <w:p>
      <w:pPr>
        <w:spacing w:after="0" w:line="145"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Registered Holders: Shares Registered in Your Name</w:t>
      </w:r>
    </w:p>
    <w:p>
      <w:pPr>
        <w:spacing w:after="0" w:line="170" w:lineRule="exact"/>
        <w:rPr>
          <w:sz w:val="20"/>
          <w:szCs w:val="20"/>
          <w:color w:val="auto"/>
        </w:rPr>
      </w:pPr>
    </w:p>
    <w:p>
      <w:pPr>
        <w:jc w:val="both"/>
        <w:ind w:left="7"/>
        <w:spacing w:after="0" w:line="260" w:lineRule="auto"/>
        <w:rPr>
          <w:sz w:val="20"/>
          <w:szCs w:val="20"/>
          <w:color w:val="auto"/>
        </w:rPr>
      </w:pPr>
      <w:r>
        <w:rPr>
          <w:rFonts w:ascii="Arial" w:cs="Arial" w:eastAsia="Arial" w:hAnsi="Arial"/>
          <w:sz w:val="14"/>
          <w:szCs w:val="14"/>
          <w:color w:val="221E1F"/>
        </w:rPr>
        <w:t>If you are a stockholder of record, you may vote at the Annual Meeting, which will be held virtually via the Internet, vote by proxy over the telephone, vote by proxy via the Internet, or vote by proxy using a proxy card that you may request or that we may elect to deliver at a later time. Whether or not you plan to attend the Annual Meeting, we urge you to vote by proxy to ensure your vote is counted. You may still attend the Annual Meeting and vote online even if you have already voted by proxy.</w:t>
      </w:r>
    </w:p>
    <w:p>
      <w:pPr>
        <w:spacing w:after="0" w:line="130" w:lineRule="exact"/>
        <w:rPr>
          <w:sz w:val="20"/>
          <w:szCs w:val="20"/>
          <w:color w:val="auto"/>
        </w:rPr>
      </w:pPr>
    </w:p>
    <w:p>
      <w:pPr>
        <w:ind w:left="147" w:hanging="147"/>
        <w:spacing w:after="0"/>
        <w:tabs>
          <w:tab w:leader="none" w:pos="147" w:val="left"/>
        </w:tabs>
        <w:numPr>
          <w:ilvl w:val="0"/>
          <w:numId w:val="50"/>
        </w:numPr>
        <w:rPr>
          <w:rFonts w:ascii="Arial" w:cs="Arial" w:eastAsia="Arial" w:hAnsi="Arial"/>
          <w:sz w:val="14"/>
          <w:szCs w:val="14"/>
          <w:b w:val="1"/>
          <w:bCs w:val="1"/>
          <w:color w:val="7CBD3F"/>
        </w:rPr>
      </w:pPr>
      <w:r>
        <w:rPr>
          <w:rFonts w:ascii="Arial" w:cs="Arial" w:eastAsia="Arial" w:hAnsi="Arial"/>
          <w:sz w:val="14"/>
          <w:szCs w:val="14"/>
          <w:color w:val="auto"/>
        </w:rPr>
        <w:t>To vote via the Internet, vote at www.proxyvote.com prior to 11:59 p.m. Eastern Time the day before the Annual Meeting.</w:t>
      </w:r>
    </w:p>
    <w:p>
      <w:pPr>
        <w:spacing w:after="0" w:line="72" w:lineRule="exact"/>
        <w:rPr>
          <w:rFonts w:ascii="Arial" w:cs="Arial" w:eastAsia="Arial" w:hAnsi="Arial"/>
          <w:sz w:val="14"/>
          <w:szCs w:val="14"/>
          <w:b w:val="1"/>
          <w:bCs w:val="1"/>
          <w:color w:val="7CBD3F"/>
        </w:rPr>
      </w:pPr>
    </w:p>
    <w:p>
      <w:pPr>
        <w:ind w:left="147" w:right="20" w:hanging="147"/>
        <w:spacing w:after="0" w:line="278" w:lineRule="auto"/>
        <w:tabs>
          <w:tab w:leader="none" w:pos="147" w:val="left"/>
        </w:tabs>
        <w:numPr>
          <w:ilvl w:val="0"/>
          <w:numId w:val="50"/>
        </w:numPr>
        <w:rPr>
          <w:rFonts w:ascii="Arial" w:cs="Arial" w:eastAsia="Arial" w:hAnsi="Arial"/>
          <w:sz w:val="14"/>
          <w:szCs w:val="14"/>
          <w:b w:val="1"/>
          <w:bCs w:val="1"/>
          <w:color w:val="7CBD3F"/>
        </w:rPr>
      </w:pPr>
      <w:r>
        <w:rPr>
          <w:rFonts w:ascii="Arial" w:cs="Arial" w:eastAsia="Arial" w:hAnsi="Arial"/>
          <w:sz w:val="14"/>
          <w:szCs w:val="14"/>
          <w:color w:val="221E1F"/>
        </w:rPr>
        <w:t>If you have received a paper copy of the proxy materials, vote over the telephone by calling 1-800-690-6903 prior to 11:59 p.m. Eastern Time the day before the Annual Meeting or by returning an executed proxy card (that we must receive before the Annual Meeting).</w:t>
      </w:r>
    </w:p>
    <w:p>
      <w:pPr>
        <w:spacing w:after="0" w:line="23" w:lineRule="exact"/>
        <w:rPr>
          <w:rFonts w:ascii="Arial" w:cs="Arial" w:eastAsia="Arial" w:hAnsi="Arial"/>
          <w:sz w:val="14"/>
          <w:szCs w:val="14"/>
          <w:b w:val="1"/>
          <w:bCs w:val="1"/>
          <w:color w:val="7CBD3F"/>
        </w:rPr>
      </w:pPr>
    </w:p>
    <w:p>
      <w:pPr>
        <w:ind w:left="147" w:right="20" w:hanging="147"/>
        <w:spacing w:after="0" w:line="278" w:lineRule="auto"/>
        <w:tabs>
          <w:tab w:leader="none" w:pos="147" w:val="left"/>
        </w:tabs>
        <w:numPr>
          <w:ilvl w:val="0"/>
          <w:numId w:val="50"/>
        </w:numPr>
        <w:rPr>
          <w:rFonts w:ascii="Arial" w:cs="Arial" w:eastAsia="Arial" w:hAnsi="Arial"/>
          <w:sz w:val="14"/>
          <w:szCs w:val="14"/>
          <w:b w:val="1"/>
          <w:bCs w:val="1"/>
          <w:color w:val="7CBD3F"/>
        </w:rPr>
      </w:pPr>
      <w:r>
        <w:rPr>
          <w:rFonts w:ascii="Arial" w:cs="Arial" w:eastAsia="Arial" w:hAnsi="Arial"/>
          <w:sz w:val="14"/>
          <w:szCs w:val="14"/>
          <w:color w:val="auto"/>
        </w:rPr>
        <w:t>Registered holders who attend the Annual Meeting may also vote during the Annual Meeting by going to www.virtualshareholdermeeting.com/RARE2024 and following the instructions regarding voting.</w:t>
      </w:r>
    </w:p>
    <w:p>
      <w:pPr>
        <w:spacing w:after="0" w:line="159"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Beneficial Holders: Shares Registered in Name of Broker, Bank or Other Nominee</w:t>
      </w:r>
    </w:p>
    <w:p>
      <w:pPr>
        <w:spacing w:after="0" w:line="170" w:lineRule="exact"/>
        <w:rPr>
          <w:sz w:val="20"/>
          <w:szCs w:val="20"/>
          <w:color w:val="auto"/>
        </w:rPr>
      </w:pPr>
    </w:p>
    <w:p>
      <w:pPr>
        <w:ind w:left="7" w:right="20"/>
        <w:spacing w:after="0" w:line="278" w:lineRule="auto"/>
        <w:rPr>
          <w:sz w:val="20"/>
          <w:szCs w:val="20"/>
          <w:color w:val="auto"/>
        </w:rPr>
      </w:pPr>
      <w:r>
        <w:rPr>
          <w:rFonts w:ascii="Arial" w:cs="Arial" w:eastAsia="Arial" w:hAnsi="Arial"/>
          <w:sz w:val="14"/>
          <w:szCs w:val="14"/>
          <w:color w:val="auto"/>
        </w:rPr>
        <w:t>Persons who hold shares of Ultragenyx common stock indirectly on the Record Date through a brokerage firm, bank or other financial institution (beneficial holders) may vote before the Annual Meeting as follows:</w:t>
      </w:r>
    </w:p>
    <w:p>
      <w:pPr>
        <w:spacing w:after="0" w:line="117" w:lineRule="exact"/>
        <w:rPr>
          <w:sz w:val="20"/>
          <w:szCs w:val="20"/>
          <w:color w:val="auto"/>
        </w:rPr>
      </w:pPr>
    </w:p>
    <w:p>
      <w:pPr>
        <w:ind w:left="147" w:hanging="147"/>
        <w:spacing w:after="0"/>
        <w:tabs>
          <w:tab w:leader="none" w:pos="147" w:val="left"/>
        </w:tabs>
        <w:numPr>
          <w:ilvl w:val="0"/>
          <w:numId w:val="51"/>
        </w:numPr>
        <w:rPr>
          <w:rFonts w:ascii="Arial" w:cs="Arial" w:eastAsia="Arial" w:hAnsi="Arial"/>
          <w:sz w:val="14"/>
          <w:szCs w:val="14"/>
          <w:b w:val="1"/>
          <w:bCs w:val="1"/>
          <w:color w:val="7CBD3F"/>
        </w:rPr>
      </w:pPr>
      <w:r>
        <w:rPr>
          <w:rFonts w:ascii="Arial" w:cs="Arial" w:eastAsia="Arial" w:hAnsi="Arial"/>
          <w:sz w:val="14"/>
          <w:szCs w:val="14"/>
          <w:color w:val="auto"/>
        </w:rPr>
        <w:t>In accordance with the voting instructions provided by the institution that holds their shares, which may provide for voting over the telephone or via the Internet, or</w:t>
      </w:r>
    </w:p>
    <w:p>
      <w:pPr>
        <w:spacing w:after="0" w:line="72" w:lineRule="exact"/>
        <w:rPr>
          <w:rFonts w:ascii="Arial" w:cs="Arial" w:eastAsia="Arial" w:hAnsi="Arial"/>
          <w:sz w:val="14"/>
          <w:szCs w:val="14"/>
          <w:b w:val="1"/>
          <w:bCs w:val="1"/>
          <w:color w:val="7CBD3F"/>
        </w:rPr>
      </w:pPr>
    </w:p>
    <w:p>
      <w:pPr>
        <w:ind w:left="147" w:hanging="147"/>
        <w:spacing w:after="0"/>
        <w:tabs>
          <w:tab w:leader="none" w:pos="147" w:val="left"/>
        </w:tabs>
        <w:numPr>
          <w:ilvl w:val="0"/>
          <w:numId w:val="51"/>
        </w:numPr>
        <w:rPr>
          <w:rFonts w:ascii="Arial" w:cs="Arial" w:eastAsia="Arial" w:hAnsi="Arial"/>
          <w:sz w:val="14"/>
          <w:szCs w:val="14"/>
          <w:b w:val="1"/>
          <w:bCs w:val="1"/>
          <w:color w:val="7CBD3F"/>
        </w:rPr>
      </w:pPr>
      <w:r>
        <w:rPr>
          <w:rFonts w:ascii="Arial" w:cs="Arial" w:eastAsia="Arial" w:hAnsi="Arial"/>
          <w:sz w:val="14"/>
          <w:szCs w:val="14"/>
          <w:color w:val="auto"/>
        </w:rPr>
        <w:t>By returning a voting instruction form provided to them by the institution that holds their shares, in order to have their shares voted on their behalf.</w:t>
      </w:r>
    </w:p>
    <w:p>
      <w:pPr>
        <w:spacing w:after="0" w:line="72" w:lineRule="exact"/>
        <w:rPr>
          <w:rFonts w:ascii="Arial" w:cs="Arial" w:eastAsia="Arial" w:hAnsi="Arial"/>
          <w:sz w:val="14"/>
          <w:szCs w:val="14"/>
          <w:b w:val="1"/>
          <w:bCs w:val="1"/>
          <w:color w:val="7CBD3F"/>
        </w:rPr>
      </w:pPr>
    </w:p>
    <w:p>
      <w:pPr>
        <w:ind w:left="147" w:right="20" w:hanging="147"/>
        <w:spacing w:after="0" w:line="278" w:lineRule="auto"/>
        <w:tabs>
          <w:tab w:leader="none" w:pos="147" w:val="left"/>
        </w:tabs>
        <w:numPr>
          <w:ilvl w:val="0"/>
          <w:numId w:val="51"/>
        </w:numPr>
        <w:rPr>
          <w:rFonts w:ascii="Arial" w:cs="Arial" w:eastAsia="Arial" w:hAnsi="Arial"/>
          <w:sz w:val="14"/>
          <w:szCs w:val="14"/>
          <w:b w:val="1"/>
          <w:bCs w:val="1"/>
          <w:color w:val="7CBD3F"/>
        </w:rPr>
      </w:pPr>
      <w:r>
        <w:rPr>
          <w:rFonts w:ascii="Arial" w:cs="Arial" w:eastAsia="Arial" w:hAnsi="Arial"/>
          <w:sz w:val="14"/>
          <w:szCs w:val="14"/>
          <w:color w:val="auto"/>
        </w:rPr>
        <w:t>Beneficial holders who attend the Annual Meeting may also vote during the Annual Meeting by going to www.virtualshareholdermeeting.com/RARE2025 and following the instructions regarding voting.</w:t>
      </w:r>
    </w:p>
    <w:p>
      <w:pPr>
        <w:spacing w:after="0" w:line="199" w:lineRule="exact"/>
        <w:rPr>
          <w:sz w:val="20"/>
          <w:szCs w:val="20"/>
          <w:color w:val="auto"/>
        </w:rPr>
      </w:pPr>
    </w:p>
    <w:p>
      <w:pPr>
        <w:ind w:left="7"/>
        <w:spacing w:after="0"/>
        <w:rPr>
          <w:sz w:val="20"/>
          <w:szCs w:val="20"/>
          <w:color w:val="auto"/>
        </w:rPr>
      </w:pPr>
      <w:r>
        <w:rPr>
          <w:rFonts w:ascii="Arial" w:cs="Arial" w:eastAsia="Arial" w:hAnsi="Arial"/>
          <w:sz w:val="19"/>
          <w:szCs w:val="19"/>
          <w:b w:val="1"/>
          <w:bCs w:val="1"/>
          <w:color w:val="7CBD3F"/>
        </w:rPr>
        <w:t>What if I return a proxy card or otherwise vote but do not make specific choices?</w:t>
      </w:r>
    </w:p>
    <w:p>
      <w:pPr>
        <w:spacing w:after="0" w:line="166" w:lineRule="exact"/>
        <w:rPr>
          <w:sz w:val="20"/>
          <w:szCs w:val="20"/>
          <w:color w:val="auto"/>
        </w:rPr>
      </w:pPr>
    </w:p>
    <w:p>
      <w:pPr>
        <w:jc w:val="both"/>
        <w:ind w:left="7"/>
        <w:spacing w:after="0" w:line="260" w:lineRule="auto"/>
        <w:rPr>
          <w:sz w:val="20"/>
          <w:szCs w:val="20"/>
          <w:color w:val="auto"/>
        </w:rPr>
      </w:pPr>
      <w:r>
        <w:rPr>
          <w:rFonts w:ascii="Arial" w:cs="Arial" w:eastAsia="Arial" w:hAnsi="Arial"/>
          <w:sz w:val="14"/>
          <w:szCs w:val="14"/>
          <w:color w:val="auto"/>
        </w:rPr>
        <w:t xml:space="preserve">If you are a stockholder of record and return a signed and dated proxy card or otherwise vote without marking voting selections, your shares will be voted in accordance with the Board’s recommendations as describe under </w:t>
      </w:r>
      <w:r>
        <w:rPr>
          <w:rFonts w:ascii="Arial" w:cs="Arial" w:eastAsia="Arial" w:hAnsi="Arial"/>
          <w:sz w:val="14"/>
          <w:szCs w:val="14"/>
          <w:i w:val="1"/>
          <w:iCs w:val="1"/>
          <w:color w:val="auto"/>
        </w:rPr>
        <w:t>“What is the Board of Directors’ voting recommendation?”</w:t>
      </w:r>
      <w:r>
        <w:rPr>
          <w:rFonts w:ascii="Arial" w:cs="Arial" w:eastAsia="Arial" w:hAnsi="Arial"/>
          <w:sz w:val="14"/>
          <w:szCs w:val="14"/>
          <w:color w:val="auto"/>
        </w:rPr>
        <w:t>. If any other matter is properly presented at the Annual Meeting, your proxy holder (one of the individuals named on your proxy card) will vote your shares in his or her discretion.</w:t>
      </w:r>
    </w:p>
    <w:p>
      <w:pPr>
        <w:spacing w:after="0" w:line="212" w:lineRule="exact"/>
        <w:rPr>
          <w:sz w:val="20"/>
          <w:szCs w:val="20"/>
          <w:color w:val="auto"/>
        </w:rPr>
      </w:pPr>
    </w:p>
    <w:p>
      <w:pPr>
        <w:ind w:left="7"/>
        <w:spacing w:after="0"/>
        <w:rPr>
          <w:sz w:val="20"/>
          <w:szCs w:val="20"/>
          <w:color w:val="auto"/>
        </w:rPr>
      </w:pPr>
      <w:r>
        <w:rPr>
          <w:rFonts w:ascii="Arial" w:cs="Arial" w:eastAsia="Arial" w:hAnsi="Arial"/>
          <w:sz w:val="19"/>
          <w:szCs w:val="19"/>
          <w:b w:val="1"/>
          <w:bCs w:val="1"/>
          <w:color w:val="7CBD3F"/>
        </w:rPr>
        <w:t>Are my shares voted if I do not provide a proxy or voting instructions?</w:t>
      </w:r>
    </w:p>
    <w:p>
      <w:pPr>
        <w:spacing w:after="0" w:line="166" w:lineRule="exact"/>
        <w:rPr>
          <w:sz w:val="20"/>
          <w:szCs w:val="20"/>
          <w:color w:val="auto"/>
        </w:rPr>
      </w:pPr>
    </w:p>
    <w:p>
      <w:pPr>
        <w:jc w:val="both"/>
        <w:ind w:left="7"/>
        <w:spacing w:after="0" w:line="252" w:lineRule="auto"/>
        <w:rPr>
          <w:sz w:val="20"/>
          <w:szCs w:val="20"/>
          <w:color w:val="auto"/>
        </w:rPr>
      </w:pPr>
      <w:r>
        <w:rPr>
          <w:rFonts w:ascii="Arial" w:cs="Arial" w:eastAsia="Arial" w:hAnsi="Arial"/>
          <w:sz w:val="14"/>
          <w:szCs w:val="14"/>
          <w:color w:val="221E1F"/>
        </w:rPr>
        <w:t>If you are a stockholder of record and do not provide a proxy, you must attend the Annual Meeting in order to vote. If you hold shares through an account with a bank or broker and do not provide voting instructions, the bank or broker is permitted to vote your shares only on certain proposals considered “routine” matters. Whether a proposal is considered “routine” or “non-routine” is subject to stock exchange rules and final determination by the stock exchange. Even with respect to routine matters, some brokers are choosing not to exercise discretionary voting authority. Uninstructed shares that banks and brokers do not vote are counted as “broker non-votes.” As a result, we urge you to direct your broker, fiduciary or custodian how to vote your shares to ensure that your interests are represented at the Annual Meeting.</w:t>
      </w:r>
    </w:p>
    <w:p>
      <w:pPr>
        <w:spacing w:after="0" w:line="216" w:lineRule="exact"/>
        <w:rPr>
          <w:sz w:val="20"/>
          <w:szCs w:val="20"/>
          <w:color w:val="auto"/>
        </w:rPr>
      </w:pPr>
    </w:p>
    <w:p>
      <w:pPr>
        <w:ind w:left="7"/>
        <w:spacing w:after="0"/>
        <w:rPr>
          <w:sz w:val="20"/>
          <w:szCs w:val="20"/>
          <w:color w:val="auto"/>
        </w:rPr>
      </w:pPr>
      <w:r>
        <w:rPr>
          <w:rFonts w:ascii="Arial" w:cs="Arial" w:eastAsia="Arial" w:hAnsi="Arial"/>
          <w:sz w:val="19"/>
          <w:szCs w:val="19"/>
          <w:b w:val="1"/>
          <w:bCs w:val="1"/>
          <w:color w:val="7CBD3F"/>
        </w:rPr>
        <w:t>What vote is required to approve each proposal and how are votes counted?</w:t>
      </w:r>
    </w:p>
    <w:p>
      <w:pPr>
        <w:spacing w:after="0" w:line="208"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Proposal No. 1 — Election of directors</w:t>
      </w:r>
    </w:p>
    <w:p>
      <w:pPr>
        <w:spacing w:after="0" w:line="170" w:lineRule="exact"/>
        <w:rPr>
          <w:sz w:val="20"/>
          <w:szCs w:val="20"/>
          <w:color w:val="auto"/>
        </w:rPr>
      </w:pPr>
    </w:p>
    <w:p>
      <w:pPr>
        <w:jc w:val="both"/>
        <w:ind w:left="7"/>
        <w:spacing w:after="0" w:line="255" w:lineRule="auto"/>
        <w:rPr>
          <w:sz w:val="20"/>
          <w:szCs w:val="20"/>
          <w:color w:val="auto"/>
        </w:rPr>
      </w:pPr>
      <w:r>
        <w:rPr>
          <w:rFonts w:ascii="Arial" w:cs="Arial" w:eastAsia="Arial" w:hAnsi="Arial"/>
          <w:sz w:val="14"/>
          <w:szCs w:val="14"/>
          <w:color w:val="auto"/>
        </w:rPr>
        <w:t>Directors are elected by a plurality of the votes cast, with the two nominees obtaining the greatest number of affirmative votes being elected as directors. Shares as to which a stockholder withholds voting authority and broker non-votes, if any, are not considered votes cast and therefore will have no effect on the vote outcome. As described above under “Proposal No. 1 – Election of Class III Directors,” any nominee for director who receives a greater number of “withhold” votes for his or her election than votes “for” his or her election is expected to promptly tender his or her resignation to the Board following certification of the election results.</w:t>
      </w:r>
    </w:p>
    <w:p>
      <w:pPr>
        <w:spacing w:after="0" w:line="174"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Each of the Other Proposals</w:t>
      </w:r>
    </w:p>
    <w:p>
      <w:pPr>
        <w:spacing w:after="0" w:line="170" w:lineRule="exact"/>
        <w:rPr>
          <w:sz w:val="20"/>
          <w:szCs w:val="20"/>
          <w:color w:val="auto"/>
        </w:rPr>
      </w:pPr>
    </w:p>
    <w:p>
      <w:pPr>
        <w:jc w:val="both"/>
        <w:ind w:left="7" w:right="20"/>
        <w:spacing w:after="0" w:line="278" w:lineRule="auto"/>
        <w:rPr>
          <w:sz w:val="20"/>
          <w:szCs w:val="20"/>
          <w:color w:val="auto"/>
        </w:rPr>
      </w:pPr>
      <w:r>
        <w:rPr>
          <w:rFonts w:ascii="Arial" w:cs="Arial" w:eastAsia="Arial" w:hAnsi="Arial"/>
          <w:sz w:val="14"/>
          <w:szCs w:val="14"/>
          <w:color w:val="auto"/>
        </w:rPr>
        <w:t>Each of the other proposals must be approved by a majority of the votes cast on the proposal (meaning the number of shares voted “for” this proposal must exceed the number of shares voted “against” such proposal). As a result, abstentions and broker non-votes, if any, will have no effect on the vote outcome.</w:t>
      </w:r>
    </w:p>
    <w:p>
      <w:pPr>
        <w:spacing w:after="0" w:line="117"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221E1F"/>
        </w:rPr>
        <w:t xml:space="preserve">ULTRAGENYX PHARMACEUTICAL INC. </w:t>
      </w:r>
      <w:r>
        <w:rPr>
          <w:rFonts w:ascii="Arial" w:cs="Arial" w:eastAsia="Arial" w:hAnsi="Arial"/>
          <w:sz w:val="14"/>
          <w:szCs w:val="14"/>
          <w:color w:val="7BBD3E"/>
        </w:rPr>
        <w:t>•</w:t>
      </w:r>
      <w:r>
        <w:rPr>
          <w:rFonts w:ascii="Arial" w:cs="Arial" w:eastAsia="Arial" w:hAnsi="Arial"/>
          <w:sz w:val="14"/>
          <w:szCs w:val="14"/>
          <w:b w:val="1"/>
          <w:bCs w:val="1"/>
          <w:color w:val="221E1F"/>
        </w:rPr>
        <w:t xml:space="preserve"> </w:t>
      </w:r>
      <w:r>
        <w:rPr>
          <w:rFonts w:ascii="Arial" w:cs="Arial" w:eastAsia="Arial" w:hAnsi="Arial"/>
          <w:sz w:val="14"/>
          <w:szCs w:val="14"/>
          <w:color w:val="221E1F"/>
        </w:rPr>
        <w:t>2025 Proxy Statement</w:t>
      </w:r>
      <w:r>
        <w:rPr>
          <w:rFonts w:ascii="Arial" w:cs="Arial" w:eastAsia="Arial" w:hAnsi="Arial"/>
          <w:sz w:val="14"/>
          <w:szCs w:val="14"/>
          <w:b w:val="1"/>
          <w:bCs w:val="1"/>
          <w:color w:val="221E1F"/>
        </w:rPr>
        <w:tab/>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150735"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0735" cy="29845"/>
                    </a:xfrm>
                    <a:prstGeom prst="rect">
                      <a:avLst/>
                    </a:prstGeom>
                    <a:noFill/>
                  </pic:spPr>
                </pic:pic>
              </a:graphicData>
            </a:graphic>
          </wp:anchor>
        </w:drawing>
      </w:r>
    </w:p>
    <w:p>
      <w:pPr>
        <w:sectPr>
          <w:pgSz w:w="11900" w:h="16838" w:orient="portrait"/>
          <w:cols w:equalWidth="0" w:num="1">
            <w:col w:w="11267"/>
          </w:cols>
          <w:pgMar w:left="313" w:top="225" w:right="319" w:bottom="1440" w:gutter="0" w:footer="0" w:header="0"/>
        </w:sectPr>
      </w:pPr>
    </w:p>
    <w:bookmarkStart w:id="72" w:name="page73"/>
    <w:bookmarkEnd w:id="72"/>
    <w:p>
      <w:pPr>
        <w:ind w:left="7"/>
        <w:spacing w:after="0"/>
        <w:rPr>
          <w:sz w:val="20"/>
          <w:szCs w:val="20"/>
          <w:color w:val="auto"/>
        </w:rPr>
      </w:pPr>
      <w:r>
        <w:rPr>
          <w:rFonts w:ascii="Arial" w:cs="Arial" w:eastAsia="Arial" w:hAnsi="Arial"/>
          <w:sz w:val="12"/>
          <w:szCs w:val="12"/>
          <w:b w:val="1"/>
          <w:bCs w:val="1"/>
          <w:u w:val="single" w:color="auto"/>
          <w:color w:val="0000EE"/>
        </w:rPr>
        <w:t>Back to Contents</w:t>
      </w:r>
    </w:p>
    <w:p>
      <w:pPr>
        <w:spacing w:after="0" w:line="138" w:lineRule="exact"/>
        <w:rPr>
          <w:sz w:val="20"/>
          <w:szCs w:val="20"/>
          <w:color w:val="auto"/>
        </w:rPr>
      </w:pPr>
    </w:p>
    <w:p>
      <w:pPr>
        <w:ind w:left="7"/>
        <w:spacing w:after="0"/>
        <w:rPr>
          <w:sz w:val="20"/>
          <w:szCs w:val="20"/>
          <w:color w:val="auto"/>
        </w:rPr>
      </w:pPr>
      <w:r>
        <w:rPr>
          <w:rFonts w:ascii="Arial" w:cs="Arial" w:eastAsia="Arial" w:hAnsi="Arial"/>
          <w:sz w:val="19"/>
          <w:szCs w:val="19"/>
          <w:b w:val="1"/>
          <w:bCs w:val="1"/>
          <w:color w:val="7CBD3F"/>
        </w:rPr>
        <w:t>Can I change my vote after submitting my proxy?</w:t>
      </w:r>
    </w:p>
    <w:p>
      <w:pPr>
        <w:spacing w:after="0" w:line="212" w:lineRule="exact"/>
        <w:rPr>
          <w:sz w:val="20"/>
          <w:szCs w:val="20"/>
          <w:color w:val="auto"/>
        </w:rPr>
      </w:pPr>
    </w:p>
    <w:p>
      <w:pPr>
        <w:ind w:left="7"/>
        <w:spacing w:after="0"/>
        <w:rPr>
          <w:sz w:val="20"/>
          <w:szCs w:val="20"/>
          <w:color w:val="auto"/>
        </w:rPr>
      </w:pPr>
      <w:r>
        <w:rPr>
          <w:rFonts w:ascii="Arial" w:cs="Arial" w:eastAsia="Arial" w:hAnsi="Arial"/>
          <w:sz w:val="14"/>
          <w:szCs w:val="14"/>
          <w:color w:val="auto"/>
        </w:rPr>
        <w:t>Yes. If you are the registered holder of your shares, you may change or revoke a delivered proxy by:</w:t>
      </w:r>
    </w:p>
    <w:p>
      <w:pPr>
        <w:spacing w:after="0" w:line="165" w:lineRule="exact"/>
        <w:rPr>
          <w:sz w:val="20"/>
          <w:szCs w:val="20"/>
          <w:color w:val="auto"/>
        </w:rPr>
      </w:pPr>
    </w:p>
    <w:p>
      <w:pPr>
        <w:ind w:left="147" w:right="20" w:hanging="147"/>
        <w:spacing w:after="0" w:line="196" w:lineRule="auto"/>
        <w:tabs>
          <w:tab w:leader="none" w:pos="147" w:val="left"/>
        </w:tabs>
        <w:numPr>
          <w:ilvl w:val="0"/>
          <w:numId w:val="52"/>
        </w:numPr>
        <w:rPr>
          <w:rFonts w:ascii="Arial" w:cs="Arial" w:eastAsia="Arial" w:hAnsi="Arial"/>
          <w:sz w:val="23"/>
          <w:szCs w:val="23"/>
          <w:b w:val="1"/>
          <w:bCs w:val="1"/>
          <w:color w:val="7CBD3F"/>
          <w:vertAlign w:val="superscript"/>
        </w:rPr>
      </w:pPr>
      <w:r>
        <w:rPr>
          <w:rFonts w:ascii="Arial" w:cs="Arial" w:eastAsia="Arial" w:hAnsi="Arial"/>
          <w:sz w:val="14"/>
          <w:szCs w:val="14"/>
          <w:color w:val="auto"/>
        </w:rPr>
        <w:t>Executing and returning a new, later-dated proxy card by mail, or submitting a new vote via telephone or through the Internet, as instructed above in advance of the applicable deadline;</w:t>
      </w:r>
    </w:p>
    <w:p>
      <w:pPr>
        <w:ind w:left="147" w:hanging="147"/>
        <w:spacing w:after="0" w:line="211" w:lineRule="auto"/>
        <w:tabs>
          <w:tab w:leader="none" w:pos="147" w:val="left"/>
        </w:tabs>
        <w:numPr>
          <w:ilvl w:val="0"/>
          <w:numId w:val="52"/>
        </w:numPr>
        <w:rPr>
          <w:rFonts w:ascii="Arial" w:cs="Arial" w:eastAsia="Arial" w:hAnsi="Arial"/>
          <w:sz w:val="23"/>
          <w:szCs w:val="23"/>
          <w:b w:val="1"/>
          <w:bCs w:val="1"/>
          <w:color w:val="7CBD3F"/>
          <w:vertAlign w:val="superscript"/>
        </w:rPr>
      </w:pPr>
      <w:r>
        <w:rPr>
          <w:rFonts w:ascii="Arial" w:cs="Arial" w:eastAsia="Arial" w:hAnsi="Arial"/>
          <w:sz w:val="14"/>
          <w:szCs w:val="14"/>
          <w:color w:val="auto"/>
        </w:rPr>
        <w:t>Delivering a written revocation to the Corporate Secretary before the Annual Meeting; or</w:t>
      </w:r>
    </w:p>
    <w:p>
      <w:pPr>
        <w:spacing w:after="0" w:line="63" w:lineRule="exact"/>
        <w:rPr>
          <w:rFonts w:ascii="Arial" w:cs="Arial" w:eastAsia="Arial" w:hAnsi="Arial"/>
          <w:sz w:val="23"/>
          <w:szCs w:val="23"/>
          <w:b w:val="1"/>
          <w:bCs w:val="1"/>
          <w:color w:val="7CBD3F"/>
          <w:vertAlign w:val="superscript"/>
        </w:rPr>
      </w:pPr>
    </w:p>
    <w:p>
      <w:pPr>
        <w:ind w:left="147" w:hanging="147"/>
        <w:spacing w:after="0" w:line="187" w:lineRule="auto"/>
        <w:tabs>
          <w:tab w:leader="none" w:pos="147" w:val="left"/>
        </w:tabs>
        <w:numPr>
          <w:ilvl w:val="0"/>
          <w:numId w:val="52"/>
        </w:numPr>
        <w:rPr>
          <w:rFonts w:ascii="Arial" w:cs="Arial" w:eastAsia="Arial" w:hAnsi="Arial"/>
          <w:sz w:val="19"/>
          <w:szCs w:val="19"/>
          <w:b w:val="1"/>
          <w:bCs w:val="1"/>
          <w:color w:val="7CBD3F"/>
          <w:vertAlign w:val="superscript"/>
        </w:rPr>
      </w:pPr>
      <w:r>
        <w:rPr>
          <w:rFonts w:ascii="Arial" w:cs="Arial" w:eastAsia="Arial" w:hAnsi="Arial"/>
          <w:sz w:val="12"/>
          <w:szCs w:val="12"/>
          <w:color w:val="auto"/>
        </w:rPr>
        <w:t>Voting at the Annual Meeting. Simply attending the Annual Meeting will not, by itself, revoke or change your proxy.</w:t>
      </w:r>
    </w:p>
    <w:p>
      <w:pPr>
        <w:spacing w:after="0" w:line="142" w:lineRule="exact"/>
        <w:rPr>
          <w:sz w:val="20"/>
          <w:szCs w:val="20"/>
          <w:color w:val="auto"/>
        </w:rPr>
      </w:pPr>
    </w:p>
    <w:p>
      <w:pPr>
        <w:jc w:val="both"/>
        <w:ind w:left="7"/>
        <w:spacing w:after="0" w:line="278" w:lineRule="auto"/>
        <w:rPr>
          <w:sz w:val="20"/>
          <w:szCs w:val="20"/>
          <w:color w:val="auto"/>
        </w:rPr>
      </w:pPr>
      <w:r>
        <w:rPr>
          <w:rFonts w:ascii="Arial" w:cs="Arial" w:eastAsia="Arial" w:hAnsi="Arial"/>
          <w:sz w:val="14"/>
          <w:szCs w:val="14"/>
          <w:color w:val="auto"/>
        </w:rPr>
        <w:t>If you hold your shares beneficially through a brokerage firm, bank or other financial institution, you should contact your brokerage firm, bank or other financial institution for information on how to change or revoke your proxy.</w:t>
      </w:r>
    </w:p>
    <w:p>
      <w:pPr>
        <w:spacing w:after="0" w:line="199" w:lineRule="exact"/>
        <w:rPr>
          <w:sz w:val="20"/>
          <w:szCs w:val="20"/>
          <w:color w:val="auto"/>
        </w:rPr>
      </w:pPr>
    </w:p>
    <w:p>
      <w:pPr>
        <w:ind w:left="7"/>
        <w:spacing w:after="0"/>
        <w:rPr>
          <w:sz w:val="20"/>
          <w:szCs w:val="20"/>
          <w:color w:val="auto"/>
        </w:rPr>
      </w:pPr>
      <w:r>
        <w:rPr>
          <w:rFonts w:ascii="Arial" w:cs="Arial" w:eastAsia="Arial" w:hAnsi="Arial"/>
          <w:sz w:val="19"/>
          <w:szCs w:val="19"/>
          <w:b w:val="1"/>
          <w:bCs w:val="1"/>
          <w:color w:val="7CBD3F"/>
        </w:rPr>
        <w:t>Who is paying for this proxy solicitation?</w:t>
      </w:r>
    </w:p>
    <w:p>
      <w:pPr>
        <w:spacing w:after="0" w:line="166" w:lineRule="exact"/>
        <w:rPr>
          <w:sz w:val="20"/>
          <w:szCs w:val="20"/>
          <w:color w:val="auto"/>
        </w:rPr>
      </w:pPr>
    </w:p>
    <w:p>
      <w:pPr>
        <w:jc w:val="both"/>
        <w:ind w:left="7"/>
        <w:spacing w:after="0" w:line="252" w:lineRule="auto"/>
        <w:rPr>
          <w:sz w:val="20"/>
          <w:szCs w:val="20"/>
          <w:color w:val="auto"/>
        </w:rPr>
      </w:pPr>
      <w:r>
        <w:rPr>
          <w:rFonts w:ascii="Arial" w:cs="Arial" w:eastAsia="Arial" w:hAnsi="Arial"/>
          <w:sz w:val="14"/>
          <w:szCs w:val="14"/>
          <w:color w:val="221E1F"/>
        </w:rPr>
        <w:t>We are making these proxy materials available to you in connection with the solicitation of proxies by the Board of Directors of the Company. We will pay all of the costs of soliciting proxies. We will provide copies of our proxy materials to brokerage firms, fiduciaries, and custodians for forwarding to beneficial owners who request printed copies of these materials and will reimburse these persons for their costs of forwarding these materials. We have retained Innisfree, a proxy solicitation firm, for assistance in connection with the Annual Meeting at an estimated cost of up to approximately $25,000 plus reasonable out-of-pocket expense. Our directors, officers, and employees may also solicit proxies by telephone, facsimile, or personal solicitation; however, we will not pay these individuals additional compensation for any of these services.</w:t>
      </w:r>
    </w:p>
    <w:p>
      <w:pPr>
        <w:spacing w:after="0" w:line="216" w:lineRule="exact"/>
        <w:rPr>
          <w:sz w:val="20"/>
          <w:szCs w:val="20"/>
          <w:color w:val="auto"/>
        </w:rPr>
      </w:pPr>
    </w:p>
    <w:p>
      <w:pPr>
        <w:ind w:left="7"/>
        <w:spacing w:after="0"/>
        <w:rPr>
          <w:sz w:val="20"/>
          <w:szCs w:val="20"/>
          <w:color w:val="auto"/>
        </w:rPr>
      </w:pPr>
      <w:r>
        <w:rPr>
          <w:rFonts w:ascii="Arial" w:cs="Arial" w:eastAsia="Arial" w:hAnsi="Arial"/>
          <w:sz w:val="19"/>
          <w:szCs w:val="19"/>
          <w:b w:val="1"/>
          <w:bCs w:val="1"/>
          <w:color w:val="7CBD3F"/>
        </w:rPr>
        <w:t>When are stockholder proposals for inclusion in our proxy statement for next year’s annual meeting due?</w:t>
      </w:r>
    </w:p>
    <w:p>
      <w:pPr>
        <w:spacing w:after="0" w:line="166" w:lineRule="exact"/>
        <w:rPr>
          <w:sz w:val="20"/>
          <w:szCs w:val="20"/>
          <w:color w:val="auto"/>
        </w:rPr>
      </w:pPr>
    </w:p>
    <w:p>
      <w:pPr>
        <w:jc w:val="both"/>
        <w:ind w:left="7"/>
        <w:spacing w:after="0" w:line="255" w:lineRule="auto"/>
        <w:rPr>
          <w:sz w:val="20"/>
          <w:szCs w:val="20"/>
          <w:color w:val="auto"/>
        </w:rPr>
      </w:pPr>
      <w:r>
        <w:rPr>
          <w:rFonts w:ascii="Arial" w:cs="Arial" w:eastAsia="Arial" w:hAnsi="Arial"/>
          <w:sz w:val="14"/>
          <w:szCs w:val="14"/>
          <w:color w:val="221E1F"/>
        </w:rPr>
        <w:t>Stockholders wishing to present proposals for inclusion in our proxy statement for the 2026 Annual Meeting of Stockholder (2026 Annual Meeting) pursuant to Rule 14a-8 of the Exchange Act must submit their proposals so that they are received by us at our principal executive offices no later than the close of business (5:00 p.m. Pacific Time) on November 28, 2025. However, if our 2026 Annual Meeting is advanced or delayed by more than 30 days before or after the anniversary date of the 2024 annual meeting, then the deadline will be a reasonable time prior to the time that we begin to print and mail our proxy materials.</w:t>
      </w:r>
    </w:p>
    <w:p>
      <w:pPr>
        <w:spacing w:after="0" w:line="132" w:lineRule="exact"/>
        <w:rPr>
          <w:sz w:val="20"/>
          <w:szCs w:val="20"/>
          <w:color w:val="auto"/>
        </w:rPr>
      </w:pPr>
    </w:p>
    <w:p>
      <w:pPr>
        <w:jc w:val="both"/>
        <w:ind w:left="7" w:right="20"/>
        <w:spacing w:after="0" w:line="278" w:lineRule="auto"/>
        <w:rPr>
          <w:sz w:val="20"/>
          <w:szCs w:val="20"/>
          <w:color w:val="auto"/>
        </w:rPr>
      </w:pPr>
      <w:r>
        <w:rPr>
          <w:rFonts w:ascii="Arial" w:cs="Arial" w:eastAsia="Arial" w:hAnsi="Arial"/>
          <w:sz w:val="14"/>
          <w:szCs w:val="14"/>
          <w:color w:val="221E1F"/>
        </w:rPr>
        <w:t>Proposals for inclusion in our proxy statement for the 2026 Annual Meeting should be sent to the Company’s Corporate Secretary at 60 Leveroni Court, Novato, California 94949 and must satisfy the requirements of Rule 14a-8 of the Exchange Act. We reserve the right to exclude from our proxy statement any proposals not meeting such requirement.</w:t>
      </w:r>
    </w:p>
    <w:p>
      <w:pPr>
        <w:spacing w:after="0" w:line="199" w:lineRule="exact"/>
        <w:rPr>
          <w:sz w:val="20"/>
          <w:szCs w:val="20"/>
          <w:color w:val="auto"/>
        </w:rPr>
      </w:pPr>
    </w:p>
    <w:p>
      <w:pPr>
        <w:ind w:left="7"/>
        <w:spacing w:after="0"/>
        <w:rPr>
          <w:sz w:val="20"/>
          <w:szCs w:val="20"/>
          <w:color w:val="auto"/>
        </w:rPr>
      </w:pPr>
      <w:r>
        <w:rPr>
          <w:rFonts w:ascii="Arial" w:cs="Arial" w:eastAsia="Arial" w:hAnsi="Arial"/>
          <w:sz w:val="19"/>
          <w:szCs w:val="19"/>
          <w:b w:val="1"/>
          <w:bCs w:val="1"/>
          <w:color w:val="7CBD3F"/>
        </w:rPr>
        <w:t>When are other proposals and director nominations for next year’s annual meeting due?</w:t>
      </w:r>
    </w:p>
    <w:p>
      <w:pPr>
        <w:spacing w:after="0" w:line="166" w:lineRule="exact"/>
        <w:rPr>
          <w:sz w:val="20"/>
          <w:szCs w:val="20"/>
          <w:color w:val="auto"/>
        </w:rPr>
      </w:pPr>
    </w:p>
    <w:p>
      <w:pPr>
        <w:jc w:val="both"/>
        <w:ind w:left="7"/>
        <w:spacing w:after="0" w:line="249" w:lineRule="auto"/>
        <w:rPr>
          <w:sz w:val="20"/>
          <w:szCs w:val="20"/>
          <w:color w:val="auto"/>
        </w:rPr>
      </w:pPr>
      <w:r>
        <w:rPr>
          <w:rFonts w:ascii="Arial" w:cs="Arial" w:eastAsia="Arial" w:hAnsi="Arial"/>
          <w:sz w:val="14"/>
          <w:szCs w:val="14"/>
          <w:color w:val="auto"/>
        </w:rPr>
        <w:t>With respect to director nominations and proposals of other business (other than those to be included in our proxy statement pursuant to and in compliance with Rule 14a-8), our bylaws provide that stockholders who intend to present a stockholder proposal or director nomination at the 2026 Annual Meeting must deliver written notice of the proposal or nomination to our Corporate Secretary between 90 and 120 days prior to the one-year anniversary date of the Annual Meeting (that is, between January 15, 2026 and the close of business (5:00 p.m. Pacific Time) on February 14, 2026). If the 2026 Annual Meeting date is advanced by more than 30 days before or delayed by more than 60 days after the anniversary date of the Annual Meeting, then such notice must be received on or before the close of business (5:00 p.m. Pacific Time) on the later of 90th day before the date of the 2026 Annual Meeting or the 10th day after the day on which the date of the 2026 Annual Meeting is first disclosed in a public announcement. Notice of any such stockholder proposals and director nominations must satisfy the requirements set forth in our bylaws (which include timing and information required under Rule 14a-19 of the Exchange Act).</w:t>
      </w:r>
    </w:p>
    <w:p>
      <w:pPr>
        <w:spacing w:after="0" w:line="183" w:lineRule="exact"/>
        <w:rPr>
          <w:sz w:val="20"/>
          <w:szCs w:val="20"/>
          <w:color w:val="auto"/>
        </w:rPr>
      </w:pPr>
    </w:p>
    <w:p>
      <w:pPr>
        <w:jc w:val="both"/>
        <w:ind w:left="7"/>
        <w:spacing w:after="0" w:line="255" w:lineRule="auto"/>
        <w:rPr>
          <w:sz w:val="20"/>
          <w:szCs w:val="20"/>
          <w:color w:val="auto"/>
        </w:rPr>
      </w:pPr>
      <w:r>
        <w:rPr>
          <w:rFonts w:ascii="Arial" w:cs="Arial" w:eastAsia="Arial" w:hAnsi="Arial"/>
          <w:sz w:val="14"/>
          <w:szCs w:val="14"/>
          <w:color w:val="auto"/>
        </w:rPr>
        <w:t>If a stockholder fails to meet these deadlines and fails to satisfy the requirements of Rule 14a-4 under the Exchange Act, we may exercise discretionary voting authority under proxies we solicit to vote on any such proposal as we determine appropriate. Proposals and nominations not meeting the requirements set forth in our bylaws will not be entertained at the Annual Meeting. All notices of proposals or nominations, as applicable, must be addressed to our Corporate Secretary at 60 Leveroni Court, Novato, California 94949. We reserve the right to reject, rule out of order, or take other appropriate action with respect to any nomination or proposal that does not comply with these and other applicable requirements.</w:t>
      </w:r>
    </w:p>
    <w:p>
      <w:pPr>
        <w:spacing w:after="0" w:line="214" w:lineRule="exact"/>
        <w:rPr>
          <w:sz w:val="20"/>
          <w:szCs w:val="20"/>
          <w:color w:val="auto"/>
        </w:rPr>
      </w:pPr>
    </w:p>
    <w:p>
      <w:pPr>
        <w:ind w:left="7"/>
        <w:spacing w:after="0"/>
        <w:rPr>
          <w:sz w:val="20"/>
          <w:szCs w:val="20"/>
          <w:color w:val="auto"/>
        </w:rPr>
      </w:pPr>
      <w:r>
        <w:rPr>
          <w:rFonts w:ascii="Arial" w:cs="Arial" w:eastAsia="Arial" w:hAnsi="Arial"/>
          <w:sz w:val="19"/>
          <w:szCs w:val="19"/>
          <w:b w:val="1"/>
          <w:bCs w:val="1"/>
          <w:color w:val="7CBD3F"/>
        </w:rPr>
        <w:t>How can I find out the result of the voting at the Annual Meeting?</w:t>
      </w:r>
    </w:p>
    <w:p>
      <w:pPr>
        <w:spacing w:after="0" w:line="166" w:lineRule="exact"/>
        <w:rPr>
          <w:sz w:val="20"/>
          <w:szCs w:val="20"/>
          <w:color w:val="auto"/>
        </w:rPr>
      </w:pPr>
    </w:p>
    <w:p>
      <w:pPr>
        <w:jc w:val="both"/>
        <w:ind w:left="7" w:right="20"/>
        <w:spacing w:after="0" w:line="278" w:lineRule="auto"/>
        <w:rPr>
          <w:sz w:val="20"/>
          <w:szCs w:val="20"/>
          <w:color w:val="auto"/>
        </w:rPr>
      </w:pPr>
      <w:r>
        <w:rPr>
          <w:rFonts w:ascii="Arial" w:cs="Arial" w:eastAsia="Arial" w:hAnsi="Arial"/>
          <w:sz w:val="14"/>
          <w:szCs w:val="14"/>
          <w:color w:val="auto"/>
        </w:rPr>
        <w:t>Preliminary voting results will be announced at the Annual Meeting. In addition, final voting results will be published in a current report on Form 8-K that we expect to file with the SEC within four business days after the Annual Meeting.</w:t>
      </w:r>
    </w:p>
    <w:p>
      <w:pPr>
        <w:spacing w:after="0" w:line="117"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221E1F"/>
        </w:rPr>
        <w:t xml:space="preserve">ULTRAGENYX PHARMACEUTICAL INC. </w:t>
      </w:r>
      <w:r>
        <w:rPr>
          <w:rFonts w:ascii="Arial" w:cs="Arial" w:eastAsia="Arial" w:hAnsi="Arial"/>
          <w:sz w:val="14"/>
          <w:szCs w:val="14"/>
          <w:color w:val="7BBD3E"/>
        </w:rPr>
        <w:t>•</w:t>
      </w:r>
      <w:r>
        <w:rPr>
          <w:rFonts w:ascii="Arial" w:cs="Arial" w:eastAsia="Arial" w:hAnsi="Arial"/>
          <w:sz w:val="14"/>
          <w:szCs w:val="14"/>
          <w:b w:val="1"/>
          <w:bCs w:val="1"/>
          <w:color w:val="221E1F"/>
        </w:rPr>
        <w:t xml:space="preserve"> </w:t>
      </w:r>
      <w:r>
        <w:rPr>
          <w:rFonts w:ascii="Arial" w:cs="Arial" w:eastAsia="Arial" w:hAnsi="Arial"/>
          <w:sz w:val="14"/>
          <w:szCs w:val="14"/>
          <w:color w:val="221E1F"/>
        </w:rPr>
        <w:t>2025 Proxy Statement</w:t>
      </w:r>
      <w:r>
        <w:rPr>
          <w:rFonts w:ascii="Arial" w:cs="Arial" w:eastAsia="Arial" w:hAnsi="Arial"/>
          <w:sz w:val="14"/>
          <w:szCs w:val="14"/>
          <w:b w:val="1"/>
          <w:bCs w:val="1"/>
          <w:color w:val="221E1F"/>
        </w:rPr>
        <w:tab/>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150735"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0735" cy="29845"/>
                    </a:xfrm>
                    <a:prstGeom prst="rect">
                      <a:avLst/>
                    </a:prstGeom>
                    <a:noFill/>
                  </pic:spPr>
                </pic:pic>
              </a:graphicData>
            </a:graphic>
          </wp:anchor>
        </w:drawing>
      </w:r>
    </w:p>
    <w:p>
      <w:pPr>
        <w:sectPr>
          <w:pgSz w:w="11900" w:h="16838" w:orient="portrait"/>
          <w:cols w:equalWidth="0" w:num="1">
            <w:col w:w="11267"/>
          </w:cols>
          <w:pgMar w:left="313" w:top="225" w:right="319" w:bottom="1440" w:gutter="0" w:footer="0" w:header="0"/>
        </w:sectPr>
      </w:pPr>
    </w:p>
    <w:bookmarkStart w:id="73" w:name="page74"/>
    <w:bookmarkEnd w:id="73"/>
    <w:p>
      <w:pPr>
        <w:spacing w:after="0"/>
        <w:rPr>
          <w:sz w:val="20"/>
          <w:szCs w:val="20"/>
          <w:color w:val="auto"/>
        </w:rPr>
      </w:pPr>
      <w:r>
        <w:rPr>
          <w:rFonts w:ascii="Arial" w:cs="Arial" w:eastAsia="Arial" w:hAnsi="Arial"/>
          <w:sz w:val="12"/>
          <w:szCs w:val="12"/>
          <w:b w:val="1"/>
          <w:bCs w:val="1"/>
          <w:u w:val="single" w:color="auto"/>
          <w:color w:val="0000EE"/>
        </w:rPr>
        <w:t>Back to Contents</w:t>
      </w:r>
    </w:p>
    <w:p>
      <w:pPr>
        <w:spacing w:after="0" w:line="128" w:lineRule="exact"/>
        <w:rPr>
          <w:sz w:val="20"/>
          <w:szCs w:val="20"/>
          <w:color w:val="auto"/>
        </w:rPr>
      </w:pPr>
    </w:p>
    <w:p>
      <w:pPr>
        <w:spacing w:after="0"/>
        <w:rPr>
          <w:sz w:val="20"/>
          <w:szCs w:val="20"/>
          <w:color w:val="auto"/>
        </w:rPr>
      </w:pPr>
      <w:r>
        <w:rPr>
          <w:rFonts w:ascii="Arial" w:cs="Arial" w:eastAsia="Arial" w:hAnsi="Arial"/>
          <w:sz w:val="31"/>
          <w:szCs w:val="31"/>
          <w:b w:val="1"/>
          <w:bCs w:val="1"/>
          <w:color w:val="7CBD3F"/>
        </w:rPr>
        <w:t>Other Business</w:t>
      </w:r>
    </w:p>
    <w:p>
      <w:pPr>
        <w:spacing w:after="0" w:line="387"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221E1F"/>
        </w:rPr>
        <w:t>We know of no other matters to be submitted to a vote of stockholders at the Annual Meeting. In order for any stockholder to nominate a candidate or to submit a proposal for other business to be acted upon at a given annual meeting, he or she must provide timely written notice to our Corporate Secretary in the form prescribed by our bylaws, as described above.</w:t>
      </w:r>
    </w:p>
    <w:p>
      <w:pPr>
        <w:spacing w:after="0" w:line="307" w:lineRule="exact"/>
        <w:rPr>
          <w:sz w:val="20"/>
          <w:szCs w:val="20"/>
          <w:color w:val="auto"/>
        </w:rPr>
      </w:pPr>
    </w:p>
    <w:p>
      <w:pPr>
        <w:spacing w:after="0"/>
        <w:rPr>
          <w:sz w:val="20"/>
          <w:szCs w:val="20"/>
          <w:color w:val="auto"/>
        </w:rPr>
      </w:pPr>
      <w:r>
        <w:rPr>
          <w:rFonts w:ascii="Arial" w:cs="Arial" w:eastAsia="Arial" w:hAnsi="Arial"/>
          <w:sz w:val="31"/>
          <w:szCs w:val="31"/>
          <w:b w:val="1"/>
          <w:bCs w:val="1"/>
          <w:color w:val="7CBD3F"/>
        </w:rPr>
        <w:t>Forward-Looking Statements</w:t>
      </w:r>
    </w:p>
    <w:p>
      <w:pPr>
        <w:spacing w:after="0" w:line="283" w:lineRule="exact"/>
        <w:rPr>
          <w:sz w:val="20"/>
          <w:szCs w:val="20"/>
          <w:color w:val="auto"/>
        </w:rPr>
      </w:pPr>
    </w:p>
    <w:p>
      <w:pPr>
        <w:jc w:val="both"/>
        <w:spacing w:after="0" w:line="246" w:lineRule="auto"/>
        <w:rPr>
          <w:sz w:val="20"/>
          <w:szCs w:val="20"/>
          <w:color w:val="auto"/>
        </w:rPr>
      </w:pPr>
      <w:r>
        <w:rPr>
          <w:rFonts w:ascii="Arial" w:cs="Arial" w:eastAsia="Arial" w:hAnsi="Arial"/>
          <w:sz w:val="14"/>
          <w:szCs w:val="14"/>
          <w:color w:val="auto"/>
        </w:rPr>
        <w:t xml:space="preserve">Certain of the statements made in this Proxy Statement are “forward-looking statements” within the meaning of Section 27A of the Securities Act of 1933, as amended, Section 21E of the Exchange Act and the Private Securities Litigation Reform Act of 1995, including, among others, statements related to our expectations and projections regarding our future operating results and financial performance, anticipated cost or expense reductions, the timing, progress and plans for our clinical programs and clinical studies, future regulatory interactions, goals and other statements regarding our activities and initiatives covered in our Impact Report, anticipated effects of our executive compensation structure and programs, and the components and timing of regulatory submissions. Such forward-looking statements involve substantial risks and uncertainties that could cause our clinical development programs, collaboration with third parties, future results, performance or achievements to differ significantly from those expressed or implied by the forward-looking statements. Such risks and uncertainties include, among others, business and operating results, risks related to reliance on third party partners to </w:t>
      </w:r>
      <w:r>
        <w:rPr>
          <w:rFonts w:ascii="Arial" w:cs="Arial" w:eastAsia="Arial" w:hAnsi="Arial"/>
          <w:sz w:val="14"/>
          <w:szCs w:val="14"/>
          <w:color w:val="221E1F"/>
        </w:rPr>
        <w:t>conduct certain activities on the</w:t>
      </w:r>
      <w:r>
        <w:rPr>
          <w:rFonts w:ascii="Arial" w:cs="Arial" w:eastAsia="Arial" w:hAnsi="Arial"/>
          <w:sz w:val="14"/>
          <w:szCs w:val="14"/>
          <w:color w:val="auto"/>
        </w:rPr>
        <w:t xml:space="preserve"> </w:t>
      </w:r>
      <w:r>
        <w:rPr>
          <w:rFonts w:ascii="Arial" w:cs="Arial" w:eastAsia="Arial" w:hAnsi="Arial"/>
          <w:sz w:val="14"/>
          <w:szCs w:val="14"/>
          <w:color w:val="221E1F"/>
        </w:rPr>
        <w:t>Company’s behalf, uncertainty and potential delays related to clinical drug development, smaller than anticipated market opportunities for the Company’s products and product candidates, manufacturing risks, competition from other therapies or products, and other matters that could affect sufficiency of existing cash, cash equivalents and short-term investments to fund operations, the Company’s future operating results and financial performance, the timing of clinical trial activities and reporting results from same, and the availability or commercial potential of Ultragenyx’s products and drug candidates. The Company expressly disclaims any obligation to update or revise any forward-looking statements. For a further description of the risks and uncertainties that could cause actual results to differ from those expressed in these forward-looking statements, as well as risks relating to the business of Ultragenyx in general, see our Annual Report on Form 10-K for the fiscal year ended December 31, 2024 filed with the SEC in February 2025, and our subsequent annual and periodic reports filed with the SEC.</w:t>
      </w:r>
    </w:p>
    <w:p>
      <w:pPr>
        <w:spacing w:after="0" w:line="315" w:lineRule="exact"/>
        <w:rPr>
          <w:sz w:val="20"/>
          <w:szCs w:val="20"/>
          <w:color w:val="auto"/>
        </w:rPr>
      </w:pPr>
    </w:p>
    <w:p>
      <w:pPr>
        <w:spacing w:after="0"/>
        <w:rPr>
          <w:sz w:val="20"/>
          <w:szCs w:val="20"/>
          <w:color w:val="auto"/>
        </w:rPr>
      </w:pPr>
      <w:r>
        <w:rPr>
          <w:rFonts w:ascii="Arial" w:cs="Arial" w:eastAsia="Arial" w:hAnsi="Arial"/>
          <w:sz w:val="31"/>
          <w:szCs w:val="31"/>
          <w:b w:val="1"/>
          <w:bCs w:val="1"/>
          <w:color w:val="7CBD3F"/>
        </w:rPr>
        <w:t>Delivery Of Proxy Materials</w:t>
      </w:r>
    </w:p>
    <w:p>
      <w:pPr>
        <w:spacing w:after="0" w:line="283" w:lineRule="exact"/>
        <w:rPr>
          <w:sz w:val="20"/>
          <w:szCs w:val="20"/>
          <w:color w:val="auto"/>
        </w:rPr>
      </w:pPr>
    </w:p>
    <w:p>
      <w:pPr>
        <w:jc w:val="both"/>
        <w:spacing w:after="0" w:line="246" w:lineRule="auto"/>
        <w:rPr>
          <w:sz w:val="20"/>
          <w:szCs w:val="20"/>
          <w:color w:val="auto"/>
        </w:rPr>
      </w:pPr>
      <w:r>
        <w:rPr>
          <w:rFonts w:ascii="Arial" w:cs="Arial" w:eastAsia="Arial" w:hAnsi="Arial"/>
          <w:sz w:val="14"/>
          <w:szCs w:val="14"/>
          <w:b w:val="1"/>
          <w:bCs w:val="1"/>
          <w:color w:val="221E1F"/>
        </w:rPr>
        <w:t xml:space="preserve">Our annual report to stockholders for the fiscal year ended December 31, 2024, including audited financial statements, accompanies this Proxy Statement. We will provide copies of our Annual Report without charge upon written request of a stockholder to our investor relations department at 60 Leveroni Court, Novato, California 94949. </w:t>
      </w:r>
      <w:r>
        <w:rPr>
          <w:rFonts w:ascii="Arial" w:cs="Arial" w:eastAsia="Arial" w:hAnsi="Arial"/>
          <w:sz w:val="14"/>
          <w:szCs w:val="14"/>
          <w:color w:val="221E1F"/>
        </w:rPr>
        <w:t>Copies of these materials are also available online through the SEC at</w:t>
      </w:r>
      <w:r>
        <w:rPr>
          <w:rFonts w:ascii="Arial" w:cs="Arial" w:eastAsia="Arial" w:hAnsi="Arial"/>
          <w:sz w:val="14"/>
          <w:szCs w:val="14"/>
          <w:b w:val="1"/>
          <w:bCs w:val="1"/>
          <w:color w:val="221E1F"/>
        </w:rPr>
        <w:t xml:space="preserve"> </w:t>
      </w:r>
      <w:r>
        <w:rPr>
          <w:rFonts w:ascii="Arial" w:cs="Arial" w:eastAsia="Arial" w:hAnsi="Arial"/>
          <w:sz w:val="14"/>
          <w:szCs w:val="14"/>
          <w:i w:val="1"/>
          <w:iCs w:val="1"/>
          <w:color w:val="221E1F"/>
        </w:rPr>
        <w:t>www.sec.gov.</w:t>
      </w:r>
      <w:r>
        <w:rPr>
          <w:rFonts w:ascii="Arial" w:cs="Arial" w:eastAsia="Arial" w:hAnsi="Arial"/>
          <w:sz w:val="14"/>
          <w:szCs w:val="14"/>
          <w:b w:val="1"/>
          <w:bCs w:val="1"/>
          <w:color w:val="221E1F"/>
        </w:rPr>
        <w:t xml:space="preserve"> </w:t>
      </w:r>
      <w:r>
        <w:rPr>
          <w:rFonts w:ascii="Arial" w:cs="Arial" w:eastAsia="Arial" w:hAnsi="Arial"/>
          <w:sz w:val="14"/>
          <w:szCs w:val="14"/>
          <w:color w:val="221E1F"/>
        </w:rPr>
        <w:t>We may satisfy SEC rules regarding delivery of proxy materials, including the Proxy</w:t>
      </w:r>
      <w:r>
        <w:rPr>
          <w:rFonts w:ascii="Arial" w:cs="Arial" w:eastAsia="Arial" w:hAnsi="Arial"/>
          <w:sz w:val="14"/>
          <w:szCs w:val="14"/>
          <w:b w:val="1"/>
          <w:bCs w:val="1"/>
          <w:color w:val="221E1F"/>
        </w:rPr>
        <w:t xml:space="preserve"> </w:t>
      </w:r>
      <w:r>
        <w:rPr>
          <w:rFonts w:ascii="Arial" w:cs="Arial" w:eastAsia="Arial" w:hAnsi="Arial"/>
          <w:sz w:val="14"/>
          <w:szCs w:val="14"/>
          <w:color w:val="221E1F"/>
        </w:rPr>
        <w:t>Statement, Annual Report and Notice of Internet Availability by delivering a single copy of the proxy materials to stockholders who have the same address and do not participate in electronic delivery of proxy materials, a procedure adopted by the SEC called “householding.” This delivery method can result in meaningful cost savings for us and conservation of natural resources. Under this procedure, only one copy of the proxy materials will be delivered to multiple stockholders who share an address, unless contrary instructions are received from one or more stockholders at that address. We undertake to deliver promptly upon written or oral request a separate copy of the Proxy statement, Annual Report or Notice of Internet Availability to a stockholder at a shared address to which a single copy of these materials was delivered. If you hold stock as a registered holder and prefer to receive separate copies of these materials either now or in the future, please contact our investor relations department at 60 Leveroni Court, Novato, California 94949 or by telephone at (415) 483-8800. Similarly, if you share an address with another stockholder and have received multiple copies of the proxy materials, you may write or call us at the address and phone number above to request delivery of a single copy of these materials in the future. If your stock is held through a brokerage firm, bank or other financial institution and you received a single copy of the proxy materials and prefer to receive separate copies of the proxy materials, either now or in the future, or if you received multiple copies of the proxy materials and prefer to receive a single copy in the future, please contact your brokerage firm, bank or other financial institution.</w:t>
      </w:r>
    </w:p>
    <w:p>
      <w:pPr>
        <w:spacing w:after="0" w:line="140" w:lineRule="exact"/>
        <w:rPr>
          <w:sz w:val="20"/>
          <w:szCs w:val="20"/>
          <w:color w:val="auto"/>
        </w:rPr>
      </w:pPr>
    </w:p>
    <w:p>
      <w:pPr>
        <w:jc w:val="both"/>
        <w:spacing w:after="0" w:line="259" w:lineRule="auto"/>
        <w:rPr>
          <w:sz w:val="20"/>
          <w:szCs w:val="20"/>
          <w:color w:val="auto"/>
        </w:rPr>
      </w:pPr>
      <w:r>
        <w:rPr>
          <w:rFonts w:ascii="Arial" w:cs="Arial" w:eastAsia="Arial" w:hAnsi="Arial"/>
          <w:sz w:val="14"/>
          <w:szCs w:val="14"/>
          <w:b w:val="1"/>
          <w:bCs w:val="1"/>
          <w:color w:val="221E1F"/>
        </w:rPr>
        <w:t>EACH STOCKHOLDER IS URGED TO VOTE VIA THE INTERNET AS INSTRUCTED IN THE NOTICE OF INTERNET AVAILABILITY OR, IF YOU REQUESTED AND RECEIVED A PRINTED COPY OF THE PROXY MATERIALS, BY COMPLETING, DATING, SIGNING AND RETURNING THE ENCLOSED PROXY CARD USING THE ENCLOSED RETURN ENVELOPE OR VOTING INSTRUCTION FORM PROVIDED WITH THE PRINTED PROXY MATERIALS, AS PROMPTLY AS POSSIBLE SO THAT YOUR SHARES MAY BE REPRESENTED AT THE ANNUAL MEETING.</w:t>
      </w:r>
    </w:p>
    <w:p>
      <w:pPr>
        <w:spacing w:after="0" w:line="121"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221E1F"/>
        </w:rPr>
        <w:t xml:space="preserve">ULTRAGENYX PHARMACEUTICAL INC. </w:t>
      </w:r>
      <w:r>
        <w:rPr>
          <w:rFonts w:ascii="Arial" w:cs="Arial" w:eastAsia="Arial" w:hAnsi="Arial"/>
          <w:sz w:val="14"/>
          <w:szCs w:val="14"/>
          <w:color w:val="7BBD3E"/>
        </w:rPr>
        <w:t>•</w:t>
      </w:r>
      <w:r>
        <w:rPr>
          <w:rFonts w:ascii="Arial" w:cs="Arial" w:eastAsia="Arial" w:hAnsi="Arial"/>
          <w:sz w:val="14"/>
          <w:szCs w:val="14"/>
          <w:b w:val="1"/>
          <w:bCs w:val="1"/>
          <w:color w:val="221E1F"/>
        </w:rPr>
        <w:t xml:space="preserve"> </w:t>
      </w:r>
      <w:r>
        <w:rPr>
          <w:rFonts w:ascii="Arial" w:cs="Arial" w:eastAsia="Arial" w:hAnsi="Arial"/>
          <w:sz w:val="14"/>
          <w:szCs w:val="14"/>
          <w:color w:val="221E1F"/>
        </w:rPr>
        <w:t>2025 Proxy Statement</w:t>
      </w:r>
      <w:r>
        <w:rPr>
          <w:rFonts w:ascii="Arial" w:cs="Arial" w:eastAsia="Arial" w:hAnsi="Arial"/>
          <w:sz w:val="14"/>
          <w:szCs w:val="14"/>
          <w:b w:val="1"/>
          <w:bCs w:val="1"/>
          <w:color w:val="221E1F"/>
        </w:rPr>
        <w:tab/>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142240</wp:posOffset>
            </wp:positionV>
            <wp:extent cx="7150735"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0735" cy="29845"/>
                    </a:xfrm>
                    <a:prstGeom prst="rect">
                      <a:avLst/>
                    </a:prstGeom>
                    <a:noFill/>
                  </pic:spPr>
                </pic:pic>
              </a:graphicData>
            </a:graphic>
          </wp:anchor>
        </w:drawing>
      </w:r>
    </w:p>
    <w:p>
      <w:pPr>
        <w:sectPr>
          <w:pgSz w:w="11900" w:h="16838" w:orient="portrait"/>
          <w:cols w:equalWidth="0" w:num="1">
            <w:col w:w="11260"/>
          </w:cols>
          <w:pgMar w:left="320" w:top="225" w:right="319" w:bottom="1440" w:gutter="0" w:footer="0" w:header="0"/>
        </w:sectPr>
      </w:pPr>
    </w:p>
    <w:bookmarkStart w:id="74" w:name="page75"/>
    <w:bookmarkEnd w:id="74"/>
    <w:p>
      <w:pPr>
        <w:ind w:left="7"/>
        <w:spacing w:after="0"/>
        <w:rPr>
          <w:sz w:val="20"/>
          <w:szCs w:val="20"/>
          <w:color w:val="auto"/>
        </w:rPr>
      </w:pPr>
      <w:r>
        <w:rPr>
          <w:rFonts w:ascii="Arial" w:cs="Arial" w:eastAsia="Arial" w:hAnsi="Arial"/>
          <w:sz w:val="12"/>
          <w:szCs w:val="12"/>
          <w:b w:val="1"/>
          <w:bCs w:val="1"/>
          <w:u w:val="single" w:color="auto"/>
          <w:color w:val="0000EE"/>
        </w:rPr>
        <w:t>Back to Contents</w:t>
      </w:r>
    </w:p>
    <w:p>
      <w:pPr>
        <w:spacing w:after="0" w:line="141" w:lineRule="exact"/>
        <w:rPr>
          <w:sz w:val="20"/>
          <w:szCs w:val="20"/>
          <w:color w:val="auto"/>
        </w:rPr>
      </w:pPr>
    </w:p>
    <w:p>
      <w:pPr>
        <w:ind w:left="7"/>
        <w:spacing w:after="0"/>
        <w:rPr>
          <w:sz w:val="20"/>
          <w:szCs w:val="20"/>
          <w:color w:val="auto"/>
        </w:rPr>
      </w:pPr>
      <w:r>
        <w:rPr>
          <w:rFonts w:ascii="Arial" w:cs="Arial" w:eastAsia="Arial" w:hAnsi="Arial"/>
          <w:sz w:val="22"/>
          <w:szCs w:val="22"/>
          <w:b w:val="1"/>
          <w:bCs w:val="1"/>
          <w:color w:val="743E79"/>
        </w:rPr>
        <w:t>APPENDIX A</w:t>
      </w:r>
    </w:p>
    <w:p>
      <w:pPr>
        <w:spacing w:after="0" w:line="23" w:lineRule="exact"/>
        <w:rPr>
          <w:sz w:val="20"/>
          <w:szCs w:val="20"/>
          <w:color w:val="auto"/>
        </w:rPr>
      </w:pPr>
    </w:p>
    <w:p>
      <w:pPr>
        <w:ind w:left="7" w:right="1900"/>
        <w:spacing w:after="0" w:line="270" w:lineRule="auto"/>
        <w:rPr>
          <w:sz w:val="20"/>
          <w:szCs w:val="20"/>
          <w:color w:val="auto"/>
        </w:rPr>
      </w:pPr>
      <w:r>
        <w:rPr>
          <w:rFonts w:ascii="Arial" w:cs="Arial" w:eastAsia="Arial" w:hAnsi="Arial"/>
          <w:sz w:val="31"/>
          <w:szCs w:val="31"/>
          <w:b w:val="1"/>
          <w:bCs w:val="1"/>
          <w:color w:val="7CBD3F"/>
        </w:rPr>
        <w:t>Ultragenyx Pharmaceutical Inc. Second Amended and Restated 2023 Incentive Plan</w:t>
      </w:r>
    </w:p>
    <w:p>
      <w:pPr>
        <w:spacing w:after="0" w:line="298" w:lineRule="exact"/>
        <w:rPr>
          <w:sz w:val="20"/>
          <w:szCs w:val="20"/>
          <w:color w:val="auto"/>
        </w:rPr>
      </w:pPr>
    </w:p>
    <w:p>
      <w:pPr>
        <w:ind w:left="7"/>
        <w:spacing w:after="0"/>
        <w:rPr>
          <w:sz w:val="20"/>
          <w:szCs w:val="20"/>
          <w:color w:val="auto"/>
        </w:rPr>
      </w:pPr>
      <w:r>
        <w:rPr>
          <w:rFonts w:ascii="Arial" w:cs="Arial" w:eastAsia="Arial" w:hAnsi="Arial"/>
          <w:sz w:val="22"/>
          <w:szCs w:val="22"/>
          <w:b w:val="1"/>
          <w:bCs w:val="1"/>
          <w:color w:val="auto"/>
        </w:rPr>
        <w:t>1.  Defined Terms</w:t>
      </w:r>
    </w:p>
    <w:p>
      <w:pPr>
        <w:spacing w:after="0" w:line="222" w:lineRule="exact"/>
        <w:rPr>
          <w:sz w:val="20"/>
          <w:szCs w:val="20"/>
          <w:color w:val="auto"/>
        </w:rPr>
      </w:pPr>
    </w:p>
    <w:p>
      <w:pPr>
        <w:ind w:left="7"/>
        <w:spacing w:after="0"/>
        <w:rPr>
          <w:sz w:val="20"/>
          <w:szCs w:val="20"/>
          <w:color w:val="auto"/>
        </w:rPr>
      </w:pPr>
      <w:r>
        <w:rPr>
          <w:rFonts w:ascii="Arial" w:cs="Arial" w:eastAsia="Arial" w:hAnsi="Arial"/>
          <w:sz w:val="14"/>
          <w:szCs w:val="14"/>
          <w:color w:val="auto"/>
        </w:rPr>
        <w:t>Exhibit A, which is incorporated by reference, defines the terms used in the Plan and sets forth certain operational rules related to those terms.</w:t>
      </w:r>
    </w:p>
    <w:p>
      <w:pPr>
        <w:spacing w:after="0" w:line="320" w:lineRule="exact"/>
        <w:rPr>
          <w:sz w:val="20"/>
          <w:szCs w:val="20"/>
          <w:color w:val="auto"/>
        </w:rPr>
      </w:pPr>
    </w:p>
    <w:p>
      <w:pPr>
        <w:ind w:left="7"/>
        <w:spacing w:after="0"/>
        <w:rPr>
          <w:sz w:val="20"/>
          <w:szCs w:val="20"/>
          <w:color w:val="auto"/>
        </w:rPr>
      </w:pPr>
      <w:r>
        <w:rPr>
          <w:rFonts w:ascii="Arial" w:cs="Arial" w:eastAsia="Arial" w:hAnsi="Arial"/>
          <w:sz w:val="22"/>
          <w:szCs w:val="22"/>
          <w:b w:val="1"/>
          <w:bCs w:val="1"/>
          <w:color w:val="auto"/>
        </w:rPr>
        <w:t>2.  Purpose</w:t>
      </w:r>
    </w:p>
    <w:p>
      <w:pPr>
        <w:spacing w:after="0" w:line="222" w:lineRule="exact"/>
        <w:rPr>
          <w:sz w:val="20"/>
          <w:szCs w:val="20"/>
          <w:color w:val="auto"/>
        </w:rPr>
      </w:pPr>
    </w:p>
    <w:p>
      <w:pPr>
        <w:jc w:val="both"/>
        <w:ind w:left="7"/>
        <w:spacing w:after="0" w:line="266" w:lineRule="auto"/>
        <w:rPr>
          <w:sz w:val="20"/>
          <w:szCs w:val="20"/>
          <w:color w:val="auto"/>
        </w:rPr>
      </w:pPr>
      <w:r>
        <w:rPr>
          <w:rFonts w:ascii="Arial" w:cs="Arial" w:eastAsia="Arial" w:hAnsi="Arial"/>
          <w:sz w:val="14"/>
          <w:szCs w:val="14"/>
          <w:color w:val="auto"/>
        </w:rPr>
        <w:t>The Plan has been established to advance the interests of the Company by providing for the grant to Participants of Stock-based and other incentive Awards. The Plan was originally approved by the Board on April 20, 2023 effective on the Original Effective Date and was amended and restated effective as June 18, 2024 and on May 15, 2025 (the “</w:t>
      </w:r>
      <w:r>
        <w:rPr>
          <w:rFonts w:ascii="Arial" w:cs="Arial" w:eastAsia="Arial" w:hAnsi="Arial"/>
          <w:sz w:val="14"/>
          <w:szCs w:val="14"/>
          <w:b w:val="1"/>
          <w:bCs w:val="1"/>
          <w:color w:val="auto"/>
        </w:rPr>
        <w:t>Effective</w:t>
      </w:r>
      <w:r>
        <w:rPr>
          <w:rFonts w:ascii="Arial" w:cs="Arial" w:eastAsia="Arial" w:hAnsi="Arial"/>
          <w:sz w:val="14"/>
          <w:szCs w:val="14"/>
          <w:color w:val="auto"/>
        </w:rPr>
        <w:t xml:space="preserve"> </w:t>
      </w:r>
      <w:r>
        <w:rPr>
          <w:rFonts w:ascii="Arial" w:cs="Arial" w:eastAsia="Arial" w:hAnsi="Arial"/>
          <w:sz w:val="14"/>
          <w:szCs w:val="14"/>
          <w:b w:val="1"/>
          <w:bCs w:val="1"/>
          <w:color w:val="auto"/>
        </w:rPr>
        <w:t>Date</w:t>
      </w:r>
      <w:r>
        <w:rPr>
          <w:rFonts w:ascii="Arial" w:cs="Arial" w:eastAsia="Arial" w:hAnsi="Arial"/>
          <w:sz w:val="14"/>
          <w:szCs w:val="14"/>
          <w:color w:val="auto"/>
        </w:rPr>
        <w:t>”).</w:t>
      </w:r>
    </w:p>
    <w:p>
      <w:pPr>
        <w:spacing w:after="0" w:line="272" w:lineRule="exact"/>
        <w:rPr>
          <w:sz w:val="20"/>
          <w:szCs w:val="20"/>
          <w:color w:val="auto"/>
        </w:rPr>
      </w:pPr>
    </w:p>
    <w:p>
      <w:pPr>
        <w:ind w:left="7"/>
        <w:spacing w:after="0"/>
        <w:rPr>
          <w:sz w:val="20"/>
          <w:szCs w:val="20"/>
          <w:color w:val="auto"/>
        </w:rPr>
      </w:pPr>
      <w:r>
        <w:rPr>
          <w:rFonts w:ascii="Arial" w:cs="Arial" w:eastAsia="Arial" w:hAnsi="Arial"/>
          <w:sz w:val="22"/>
          <w:szCs w:val="22"/>
          <w:b w:val="1"/>
          <w:bCs w:val="1"/>
          <w:color w:val="auto"/>
        </w:rPr>
        <w:t>3.  Administration</w:t>
      </w:r>
    </w:p>
    <w:p>
      <w:pPr>
        <w:spacing w:after="0" w:line="222" w:lineRule="exact"/>
        <w:rPr>
          <w:sz w:val="20"/>
          <w:szCs w:val="20"/>
          <w:color w:val="auto"/>
        </w:rPr>
      </w:pPr>
    </w:p>
    <w:p>
      <w:pPr>
        <w:jc w:val="both"/>
        <w:ind w:left="7"/>
        <w:spacing w:after="0" w:line="250" w:lineRule="auto"/>
        <w:rPr>
          <w:sz w:val="20"/>
          <w:szCs w:val="20"/>
          <w:color w:val="auto"/>
        </w:rPr>
      </w:pPr>
      <w:r>
        <w:rPr>
          <w:rFonts w:ascii="Arial" w:cs="Arial" w:eastAsia="Arial" w:hAnsi="Arial"/>
          <w:sz w:val="14"/>
          <w:szCs w:val="14"/>
          <w:color w:val="221E1F"/>
        </w:rPr>
        <w:t>The Administrator has discretionary authority, subject only to the express provisions of the Plan, to (a) interpret and construe the Plan, any rules and regulations under the Plan and the terms and conditions of any Award; (b) determine eligibility for and grant Awards; (c) determine, modify or waive the terms and conditions of any Award; (d) prescribe forms, rules and procedures relating to the Plan; (e) establish and verify the extent of satisfaction of any Performance Criteria or other conditions applicable to the grant, issuance, retention, vesting, exercisability or settlement of any Award; (f) determine the extent to which adjustments are required pursuant to Section 7; (g) approve corrections in the documentation or administration of any Award; and otherwise do all things necessary or appropriate to carry out the purposes of the Plan. Determinations of the Administrator made under the Plan will be conclusive and will bind all parties.</w:t>
      </w:r>
    </w:p>
    <w:p>
      <w:pPr>
        <w:spacing w:after="0" w:line="291" w:lineRule="exact"/>
        <w:rPr>
          <w:sz w:val="20"/>
          <w:szCs w:val="20"/>
          <w:color w:val="auto"/>
        </w:rPr>
      </w:pPr>
    </w:p>
    <w:p>
      <w:pPr>
        <w:ind w:left="7"/>
        <w:spacing w:after="0"/>
        <w:rPr>
          <w:sz w:val="20"/>
          <w:szCs w:val="20"/>
          <w:color w:val="auto"/>
        </w:rPr>
      </w:pPr>
      <w:r>
        <w:rPr>
          <w:rFonts w:ascii="Arial" w:cs="Arial" w:eastAsia="Arial" w:hAnsi="Arial"/>
          <w:sz w:val="22"/>
          <w:szCs w:val="22"/>
          <w:b w:val="1"/>
          <w:bCs w:val="1"/>
          <w:color w:val="auto"/>
        </w:rPr>
        <w:t>4.  Limits on Awards Under the Plan</w:t>
      </w:r>
    </w:p>
    <w:p>
      <w:pPr>
        <w:spacing w:after="0" w:line="222" w:lineRule="exact"/>
        <w:rPr>
          <w:sz w:val="20"/>
          <w:szCs w:val="20"/>
          <w:color w:val="auto"/>
        </w:rPr>
      </w:pPr>
    </w:p>
    <w:p>
      <w:pPr>
        <w:ind w:left="287" w:hanging="287"/>
        <w:spacing w:after="0"/>
        <w:tabs>
          <w:tab w:leader="none" w:pos="287" w:val="left"/>
        </w:tabs>
        <w:numPr>
          <w:ilvl w:val="0"/>
          <w:numId w:val="53"/>
        </w:numPr>
        <w:rPr>
          <w:rFonts w:ascii="Arial" w:cs="Arial" w:eastAsia="Arial" w:hAnsi="Arial"/>
          <w:sz w:val="14"/>
          <w:szCs w:val="14"/>
          <w:b w:val="1"/>
          <w:bCs w:val="1"/>
          <w:color w:val="7CBD3F"/>
        </w:rPr>
      </w:pPr>
      <w:r>
        <w:rPr>
          <w:rFonts w:ascii="Arial" w:cs="Arial" w:eastAsia="Arial" w:hAnsi="Arial"/>
          <w:sz w:val="14"/>
          <w:szCs w:val="14"/>
          <w:color w:val="auto"/>
        </w:rPr>
        <w:t>Number of Shares.</w:t>
      </w:r>
    </w:p>
    <w:p>
      <w:pPr>
        <w:spacing w:after="0" w:line="165" w:lineRule="exact"/>
        <w:rPr>
          <w:rFonts w:ascii="Arial" w:cs="Arial" w:eastAsia="Arial" w:hAnsi="Arial"/>
          <w:sz w:val="14"/>
          <w:szCs w:val="14"/>
          <w:b w:val="1"/>
          <w:bCs w:val="1"/>
          <w:color w:val="7CBD3F"/>
        </w:rPr>
      </w:pPr>
    </w:p>
    <w:p>
      <w:pPr>
        <w:jc w:val="both"/>
        <w:ind w:left="567" w:hanging="287"/>
        <w:spacing w:after="0" w:line="252" w:lineRule="auto"/>
        <w:tabs>
          <w:tab w:leader="none" w:pos="567" w:val="left"/>
        </w:tabs>
        <w:numPr>
          <w:ilvl w:val="1"/>
          <w:numId w:val="53"/>
        </w:numPr>
        <w:rPr>
          <w:rFonts w:ascii="Arial" w:cs="Arial" w:eastAsia="Arial" w:hAnsi="Arial"/>
          <w:sz w:val="14"/>
          <w:szCs w:val="14"/>
          <w:b w:val="1"/>
          <w:bCs w:val="1"/>
          <w:color w:val="7CBD3F"/>
        </w:rPr>
      </w:pPr>
      <w:r>
        <w:rPr>
          <w:rFonts w:ascii="Arial" w:cs="Arial" w:eastAsia="Arial" w:hAnsi="Arial"/>
          <w:sz w:val="14"/>
          <w:szCs w:val="14"/>
          <w:color w:val="221E1F"/>
        </w:rPr>
        <w:t xml:space="preserve">The maximum number of shares of Stock that may be delivered in satisfaction of Awards under the Plan is (A) 11,500,000, </w:t>
      </w:r>
      <w:r>
        <w:rPr>
          <w:rFonts w:ascii="Arial" w:cs="Arial" w:eastAsia="Arial" w:hAnsi="Arial"/>
          <w:sz w:val="14"/>
          <w:szCs w:val="14"/>
          <w:i w:val="1"/>
          <w:iCs w:val="1"/>
          <w:color w:val="221E1F"/>
        </w:rPr>
        <w:t>plus</w:t>
      </w:r>
      <w:r>
        <w:rPr>
          <w:rFonts w:ascii="Arial" w:cs="Arial" w:eastAsia="Arial" w:hAnsi="Arial"/>
          <w:sz w:val="14"/>
          <w:szCs w:val="14"/>
          <w:color w:val="221E1F"/>
        </w:rPr>
        <w:t xml:space="preserve"> (B) the number of shares of Stock subject to any Award outstanding under a Prior Plan as of the Original Effective Date that after the Original Effective Date are not issued because such Award is forfeited, canceled, terminates, expires or otherwise lapses without being exercised (to the extent applicable), or is settled in cash. Up to 8,500,000 shares of Stock may be issued in satisfaction of ISOs, but nothing in this Section 4(a) will be construed as requiring that any, or any fixed number of, ISOs be awarded under the Plan. The limits set forth in this Section 4(a) shall be construed to comply with Section 422.</w:t>
      </w:r>
    </w:p>
    <w:p>
      <w:pPr>
        <w:spacing w:after="0" w:line="40" w:lineRule="exact"/>
        <w:rPr>
          <w:rFonts w:ascii="Arial" w:cs="Arial" w:eastAsia="Arial" w:hAnsi="Arial"/>
          <w:sz w:val="14"/>
          <w:szCs w:val="14"/>
          <w:b w:val="1"/>
          <w:bCs w:val="1"/>
          <w:color w:val="7CBD3F"/>
        </w:rPr>
      </w:pPr>
    </w:p>
    <w:p>
      <w:pPr>
        <w:jc w:val="both"/>
        <w:ind w:left="567" w:hanging="287"/>
        <w:spacing w:after="0" w:line="250" w:lineRule="auto"/>
        <w:tabs>
          <w:tab w:leader="none" w:pos="567" w:val="left"/>
        </w:tabs>
        <w:numPr>
          <w:ilvl w:val="1"/>
          <w:numId w:val="53"/>
        </w:numPr>
        <w:rPr>
          <w:rFonts w:ascii="Arial" w:cs="Arial" w:eastAsia="Arial" w:hAnsi="Arial"/>
          <w:sz w:val="14"/>
          <w:szCs w:val="14"/>
          <w:b w:val="1"/>
          <w:bCs w:val="1"/>
          <w:color w:val="7CBD3F"/>
        </w:rPr>
      </w:pPr>
      <w:r>
        <w:rPr>
          <w:rFonts w:ascii="Arial" w:cs="Arial" w:eastAsia="Arial" w:hAnsi="Arial"/>
          <w:sz w:val="14"/>
          <w:szCs w:val="14"/>
          <w:color w:val="auto"/>
        </w:rPr>
        <w:t>For purposes of this Section 4(a), if an outstanding Award is forfeited, canceled, terminates, expires or otherwise lapses without being exercised (to the extent applicable), or is settled in cash, the shares of Stock allocable to the terminated portion of such Award or such forfeited shares of Stock shall again be available for issuance under the Plan. Notwithstanding the foregoing, the following shares shall not be available for issuance under the Plan: (A) shares withheld from an Award under the Plan or a Prior Plan to satisfy the tax withholding obligations with respect to such Award, (B) shares withheld from an Award under the Plan or a Prior Plan in payment of the exercise price of an Award requiring exercise, (C) shares repurchased on the open market by the Company using proceeds from the exercise price paid with respect to Awards under the Plan or a Prior Plan, or (D) gross shares subject to an SAR granted under the Plan or a Prior Plan that are not issued in connection with the Stock-settlement of such SAR.</w:t>
      </w:r>
    </w:p>
    <w:p>
      <w:pPr>
        <w:spacing w:after="0" w:line="136" w:lineRule="exact"/>
        <w:rPr>
          <w:rFonts w:ascii="Arial" w:cs="Arial" w:eastAsia="Arial" w:hAnsi="Arial"/>
          <w:sz w:val="14"/>
          <w:szCs w:val="14"/>
          <w:b w:val="1"/>
          <w:bCs w:val="1"/>
          <w:color w:val="7CBD3F"/>
        </w:rPr>
      </w:pPr>
    </w:p>
    <w:p>
      <w:pPr>
        <w:ind w:left="287" w:right="20" w:hanging="287"/>
        <w:spacing w:after="0" w:line="278" w:lineRule="auto"/>
        <w:tabs>
          <w:tab w:leader="none" w:pos="287" w:val="left"/>
        </w:tabs>
        <w:numPr>
          <w:ilvl w:val="0"/>
          <w:numId w:val="53"/>
        </w:numPr>
        <w:rPr>
          <w:rFonts w:ascii="Arial" w:cs="Arial" w:eastAsia="Arial" w:hAnsi="Arial"/>
          <w:sz w:val="14"/>
          <w:szCs w:val="14"/>
          <w:b w:val="1"/>
          <w:bCs w:val="1"/>
          <w:color w:val="7CBD3F"/>
        </w:rPr>
      </w:pPr>
      <w:r>
        <w:rPr>
          <w:rFonts w:ascii="Arial" w:cs="Arial" w:eastAsia="Arial" w:hAnsi="Arial"/>
          <w:sz w:val="14"/>
          <w:szCs w:val="14"/>
          <w:color w:val="auto"/>
        </w:rPr>
        <w:t>Type of Shares. Stock delivered by the Company under the Plan may be authorized but unissued Stock or previously issued Stock acquired by the Company. No fractional shares of Stock will be delivered under the Plan.</w:t>
      </w:r>
    </w:p>
    <w:p>
      <w:pPr>
        <w:spacing w:after="0" w:line="23" w:lineRule="exact"/>
        <w:rPr>
          <w:rFonts w:ascii="Arial" w:cs="Arial" w:eastAsia="Arial" w:hAnsi="Arial"/>
          <w:sz w:val="14"/>
          <w:szCs w:val="14"/>
          <w:b w:val="1"/>
          <w:bCs w:val="1"/>
          <w:color w:val="7CBD3F"/>
        </w:rPr>
      </w:pPr>
    </w:p>
    <w:p>
      <w:pPr>
        <w:jc w:val="both"/>
        <w:ind w:left="287" w:hanging="287"/>
        <w:spacing w:after="0" w:line="252" w:lineRule="auto"/>
        <w:tabs>
          <w:tab w:leader="none" w:pos="287" w:val="left"/>
        </w:tabs>
        <w:numPr>
          <w:ilvl w:val="0"/>
          <w:numId w:val="53"/>
        </w:numPr>
        <w:rPr>
          <w:rFonts w:ascii="Arial" w:cs="Arial" w:eastAsia="Arial" w:hAnsi="Arial"/>
          <w:sz w:val="14"/>
          <w:szCs w:val="14"/>
          <w:b w:val="1"/>
          <w:bCs w:val="1"/>
          <w:color w:val="7CBD3F"/>
        </w:rPr>
      </w:pPr>
      <w:r>
        <w:rPr>
          <w:rFonts w:ascii="Arial" w:cs="Arial" w:eastAsia="Arial" w:hAnsi="Arial"/>
          <w:sz w:val="14"/>
          <w:szCs w:val="14"/>
          <w:color w:val="221E1F"/>
        </w:rPr>
        <w:t>Limit on Non-Employee Director Compensation. The aggregate dollar value of equity-based (based on the grant date fair value of equity-based Awards determined for financial reporting purposes) and cash compensation granted under the Plan or otherwise to any non-employee director shall not exceed $900,000 during any calendar year for services provided as a non-employee director; provided, however, that in the calendar year in which a non-employee director first joins the Board or during any calendar year in which a non-employee director is designated as Chairman of the Board or Lead Director, the maximum aggregate dollar value of equity-based and cash compensation granted to the non-employee director may be up to $1,500,000.</w:t>
      </w:r>
    </w:p>
    <w:p>
      <w:pPr>
        <w:spacing w:after="0" w:line="134"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221E1F"/>
        </w:rPr>
        <w:t xml:space="preserve">ULTRAGENYX PHARMACEUTICAL INC. </w:t>
      </w:r>
      <w:r>
        <w:rPr>
          <w:rFonts w:ascii="Arial" w:cs="Arial" w:eastAsia="Arial" w:hAnsi="Arial"/>
          <w:sz w:val="14"/>
          <w:szCs w:val="14"/>
          <w:color w:val="7BBD3E"/>
        </w:rPr>
        <w:t>•</w:t>
      </w:r>
      <w:r>
        <w:rPr>
          <w:rFonts w:ascii="Arial" w:cs="Arial" w:eastAsia="Arial" w:hAnsi="Arial"/>
          <w:sz w:val="14"/>
          <w:szCs w:val="14"/>
          <w:b w:val="1"/>
          <w:bCs w:val="1"/>
          <w:color w:val="221E1F"/>
        </w:rPr>
        <w:t xml:space="preserve"> </w:t>
      </w:r>
      <w:r>
        <w:rPr>
          <w:rFonts w:ascii="Arial" w:cs="Arial" w:eastAsia="Arial" w:hAnsi="Arial"/>
          <w:sz w:val="14"/>
          <w:szCs w:val="14"/>
          <w:color w:val="221E1F"/>
        </w:rPr>
        <w:t>2025 Proxy Statement</w:t>
      </w:r>
      <w:r>
        <w:rPr>
          <w:rFonts w:ascii="Arial" w:cs="Arial" w:eastAsia="Arial" w:hAnsi="Arial"/>
          <w:sz w:val="14"/>
          <w:szCs w:val="14"/>
          <w:b w:val="1"/>
          <w:bCs w:val="1"/>
          <w:color w:val="221E1F"/>
        </w:rPr>
        <w:tab/>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150735" cy="298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0735" cy="29845"/>
                    </a:xfrm>
                    <a:prstGeom prst="rect">
                      <a:avLst/>
                    </a:prstGeom>
                    <a:noFill/>
                  </pic:spPr>
                </pic:pic>
              </a:graphicData>
            </a:graphic>
          </wp:anchor>
        </w:drawing>
      </w:r>
    </w:p>
    <w:p>
      <w:pPr>
        <w:sectPr>
          <w:pgSz w:w="11900" w:h="16838" w:orient="portrait"/>
          <w:cols w:equalWidth="0" w:num="1">
            <w:col w:w="11267"/>
          </w:cols>
          <w:pgMar w:left="313" w:top="225" w:right="319" w:bottom="1440" w:gutter="0" w:footer="0" w:header="0"/>
        </w:sectPr>
      </w:pPr>
    </w:p>
    <w:bookmarkStart w:id="75" w:name="page76"/>
    <w:bookmarkEnd w:id="75"/>
    <w:p>
      <w:pPr>
        <w:ind w:left="7"/>
        <w:spacing w:after="0"/>
        <w:rPr>
          <w:sz w:val="20"/>
          <w:szCs w:val="20"/>
          <w:color w:val="auto"/>
        </w:rPr>
      </w:pPr>
      <w:r>
        <w:rPr>
          <w:rFonts w:ascii="Arial" w:cs="Arial" w:eastAsia="Arial" w:hAnsi="Arial"/>
          <w:sz w:val="12"/>
          <w:szCs w:val="12"/>
          <w:b w:val="1"/>
          <w:bCs w:val="1"/>
          <w:u w:val="single" w:color="auto"/>
          <w:color w:val="0000EE"/>
        </w:rPr>
        <w:t>Back to Contents</w:t>
      </w:r>
    </w:p>
    <w:p>
      <w:pPr>
        <w:spacing w:after="0" w:line="141" w:lineRule="exact"/>
        <w:rPr>
          <w:sz w:val="20"/>
          <w:szCs w:val="20"/>
          <w:color w:val="auto"/>
        </w:rPr>
      </w:pPr>
    </w:p>
    <w:p>
      <w:pPr>
        <w:ind w:left="7"/>
        <w:spacing w:after="0"/>
        <w:rPr>
          <w:sz w:val="20"/>
          <w:szCs w:val="20"/>
          <w:color w:val="auto"/>
        </w:rPr>
      </w:pPr>
      <w:r>
        <w:rPr>
          <w:rFonts w:ascii="Arial" w:cs="Arial" w:eastAsia="Arial" w:hAnsi="Arial"/>
          <w:sz w:val="22"/>
          <w:szCs w:val="22"/>
          <w:b w:val="1"/>
          <w:bCs w:val="1"/>
          <w:color w:val="auto"/>
        </w:rPr>
        <w:t>5.  Eligibility and Participation</w:t>
      </w:r>
    </w:p>
    <w:p>
      <w:pPr>
        <w:spacing w:after="0" w:line="222" w:lineRule="exact"/>
        <w:rPr>
          <w:sz w:val="20"/>
          <w:szCs w:val="20"/>
          <w:color w:val="auto"/>
        </w:rPr>
      </w:pPr>
    </w:p>
    <w:p>
      <w:pPr>
        <w:jc w:val="both"/>
        <w:ind w:left="7"/>
        <w:spacing w:after="0" w:line="252" w:lineRule="auto"/>
        <w:rPr>
          <w:sz w:val="20"/>
          <w:szCs w:val="20"/>
          <w:color w:val="auto"/>
        </w:rPr>
      </w:pPr>
      <w:r>
        <w:rPr>
          <w:rFonts w:ascii="Arial" w:cs="Arial" w:eastAsia="Arial" w:hAnsi="Arial"/>
          <w:sz w:val="14"/>
          <w:szCs w:val="14"/>
          <w:color w:val="auto"/>
        </w:rPr>
        <w:t>The Administrator will select Participants from among key Employees and directors of, and consultants and advisors to, the Company and its Affiliates. Eligibility for ISOs is limited to individuals described in the first sentence of this Section 5 who are employees of the Company or of a “parent corporation” or “subsidiary corporation” of the Company as those terms are defined in Section 424 of the Code. Eligibility for Stock Options other than ISOs is limited to individuals described in the first sentence of this Section 5 who are providing direct services on the date of grant of the Stock Option to the Company or to a subsidiary of the Company that would be described in the first sentence of Section 1.409A-1(b)(5)(iii)(E) of the Treasury Regulations.</w:t>
      </w:r>
    </w:p>
    <w:p>
      <w:pPr>
        <w:spacing w:after="0" w:line="289" w:lineRule="exact"/>
        <w:rPr>
          <w:sz w:val="20"/>
          <w:szCs w:val="20"/>
          <w:color w:val="auto"/>
        </w:rPr>
      </w:pPr>
    </w:p>
    <w:p>
      <w:pPr>
        <w:ind w:left="7"/>
        <w:spacing w:after="0"/>
        <w:rPr>
          <w:sz w:val="20"/>
          <w:szCs w:val="20"/>
          <w:color w:val="auto"/>
        </w:rPr>
      </w:pPr>
      <w:r>
        <w:rPr>
          <w:rFonts w:ascii="Arial" w:cs="Arial" w:eastAsia="Arial" w:hAnsi="Arial"/>
          <w:sz w:val="22"/>
          <w:szCs w:val="22"/>
          <w:b w:val="1"/>
          <w:bCs w:val="1"/>
          <w:color w:val="auto"/>
        </w:rPr>
        <w:t>6.  Rules Applicable to Awards</w:t>
      </w:r>
    </w:p>
    <w:p>
      <w:pPr>
        <w:spacing w:after="0" w:line="222" w:lineRule="exact"/>
        <w:rPr>
          <w:sz w:val="20"/>
          <w:szCs w:val="20"/>
          <w:color w:val="auto"/>
        </w:rPr>
      </w:pPr>
    </w:p>
    <w:p>
      <w:pPr>
        <w:ind w:left="287" w:hanging="287"/>
        <w:spacing w:after="0"/>
        <w:tabs>
          <w:tab w:leader="none" w:pos="287" w:val="left"/>
        </w:tabs>
        <w:numPr>
          <w:ilvl w:val="0"/>
          <w:numId w:val="54"/>
        </w:numPr>
        <w:rPr>
          <w:rFonts w:ascii="Arial" w:cs="Arial" w:eastAsia="Arial" w:hAnsi="Arial"/>
          <w:sz w:val="14"/>
          <w:szCs w:val="14"/>
          <w:b w:val="1"/>
          <w:bCs w:val="1"/>
          <w:color w:val="7CBD3F"/>
        </w:rPr>
      </w:pPr>
      <w:r>
        <w:rPr>
          <w:rFonts w:ascii="Arial" w:cs="Arial" w:eastAsia="Arial" w:hAnsi="Arial"/>
          <w:sz w:val="14"/>
          <w:szCs w:val="14"/>
          <w:color w:val="auto"/>
        </w:rPr>
        <w:t>All Awards.</w:t>
      </w:r>
    </w:p>
    <w:p>
      <w:pPr>
        <w:spacing w:after="0" w:line="165" w:lineRule="exact"/>
        <w:rPr>
          <w:rFonts w:ascii="Arial" w:cs="Arial" w:eastAsia="Arial" w:hAnsi="Arial"/>
          <w:sz w:val="14"/>
          <w:szCs w:val="14"/>
          <w:b w:val="1"/>
          <w:bCs w:val="1"/>
          <w:color w:val="7CBD3F"/>
        </w:rPr>
      </w:pPr>
    </w:p>
    <w:p>
      <w:pPr>
        <w:jc w:val="both"/>
        <w:ind w:left="567" w:hanging="287"/>
        <w:spacing w:after="0" w:line="255" w:lineRule="auto"/>
        <w:tabs>
          <w:tab w:leader="none" w:pos="567" w:val="left"/>
        </w:tabs>
        <w:numPr>
          <w:ilvl w:val="1"/>
          <w:numId w:val="54"/>
        </w:numPr>
        <w:rPr>
          <w:rFonts w:ascii="Arial" w:cs="Arial" w:eastAsia="Arial" w:hAnsi="Arial"/>
          <w:sz w:val="14"/>
          <w:szCs w:val="14"/>
          <w:b w:val="1"/>
          <w:bCs w:val="1"/>
          <w:color w:val="7CBD3F"/>
        </w:rPr>
      </w:pPr>
      <w:r>
        <w:rPr>
          <w:rFonts w:ascii="Arial" w:cs="Arial" w:eastAsia="Arial" w:hAnsi="Arial"/>
          <w:sz w:val="14"/>
          <w:szCs w:val="14"/>
          <w:color w:val="221E1F"/>
        </w:rPr>
        <w:t>Award Provisions. The Administrator will determine the terms of all Awards, subject to the limitations provided herein. By accepting (or, under such rules as the Administrator may prescribe, being deemed to have accepted) an Award, the Participant will be deemed to have agreed to the terms of the Award and the Plan. Notwithstanding any provision of this Plan to the contrary, awards of an acquired company that are converted, replaced or adjusted in connection with the acquisition may contain terms and conditions that are inconsistent with the terms and conditions specified herein, as determined by the Administrator.</w:t>
      </w:r>
    </w:p>
    <w:p>
      <w:pPr>
        <w:spacing w:after="0" w:line="38" w:lineRule="exact"/>
        <w:rPr>
          <w:rFonts w:ascii="Arial" w:cs="Arial" w:eastAsia="Arial" w:hAnsi="Arial"/>
          <w:sz w:val="14"/>
          <w:szCs w:val="14"/>
          <w:b w:val="1"/>
          <w:bCs w:val="1"/>
          <w:color w:val="7CBD3F"/>
        </w:rPr>
      </w:pPr>
    </w:p>
    <w:p>
      <w:pPr>
        <w:ind w:left="567" w:hanging="287"/>
        <w:spacing w:after="0" w:line="278" w:lineRule="auto"/>
        <w:tabs>
          <w:tab w:leader="none" w:pos="567" w:val="left"/>
        </w:tabs>
        <w:numPr>
          <w:ilvl w:val="1"/>
          <w:numId w:val="54"/>
        </w:numPr>
        <w:rPr>
          <w:rFonts w:ascii="Arial" w:cs="Arial" w:eastAsia="Arial" w:hAnsi="Arial"/>
          <w:sz w:val="14"/>
          <w:szCs w:val="14"/>
          <w:b w:val="1"/>
          <w:bCs w:val="1"/>
          <w:color w:val="7CBD3F"/>
        </w:rPr>
      </w:pPr>
      <w:r>
        <w:rPr>
          <w:rFonts w:ascii="Arial" w:cs="Arial" w:eastAsia="Arial" w:hAnsi="Arial"/>
          <w:sz w:val="14"/>
          <w:szCs w:val="14"/>
          <w:color w:val="221E1F"/>
        </w:rPr>
        <w:t>Term of Plan. No Awards may be made after 10 years from the Effective Date, but previously granted Awards may continue beyond that date in accordance with their terms. Notwithstanding the foregoing, no ISOs may be granted after 10 years from Date of Adoption.</w:t>
      </w:r>
    </w:p>
    <w:p>
      <w:pPr>
        <w:spacing w:after="0" w:line="23" w:lineRule="exact"/>
        <w:rPr>
          <w:rFonts w:ascii="Arial" w:cs="Arial" w:eastAsia="Arial" w:hAnsi="Arial"/>
          <w:sz w:val="14"/>
          <w:szCs w:val="14"/>
          <w:b w:val="1"/>
          <w:bCs w:val="1"/>
          <w:color w:val="7CBD3F"/>
        </w:rPr>
      </w:pPr>
    </w:p>
    <w:p>
      <w:pPr>
        <w:jc w:val="both"/>
        <w:ind w:left="567" w:hanging="287"/>
        <w:spacing w:after="0" w:line="252" w:lineRule="auto"/>
        <w:tabs>
          <w:tab w:leader="none" w:pos="567" w:val="left"/>
        </w:tabs>
        <w:numPr>
          <w:ilvl w:val="1"/>
          <w:numId w:val="54"/>
        </w:numPr>
        <w:rPr>
          <w:rFonts w:ascii="Arial" w:cs="Arial" w:eastAsia="Arial" w:hAnsi="Arial"/>
          <w:sz w:val="14"/>
          <w:szCs w:val="14"/>
          <w:b w:val="1"/>
          <w:bCs w:val="1"/>
          <w:color w:val="7CBD3F"/>
        </w:rPr>
      </w:pPr>
      <w:r>
        <w:rPr>
          <w:rFonts w:ascii="Arial" w:cs="Arial" w:eastAsia="Arial" w:hAnsi="Arial"/>
          <w:sz w:val="14"/>
          <w:szCs w:val="14"/>
          <w:color w:val="221E1F"/>
        </w:rPr>
        <w:t>Transferability. Neither ISOs nor, except as the Administrator otherwise expressly provides in accordance with the second sentence of this Section 6(a)(iii), other Awards may be transferred other than by will or by the laws of descent and distribution. During a Participant’s lifetime, ISOs (and, except as the Administrator otherwise expressly provides in accordance with the second sentence of this Section 6(a)(iii), SARs and NSOs) may be exercised only by the Participant. The Administrator may permit the gratuitous transfer (i.e., transfer not for value) of Awards other than ISOs to any transferee eligible to be covered by the provisions of Form S-8 (under the Securities Act), subject to such limitations as the Administrator may impose.</w:t>
      </w:r>
    </w:p>
    <w:p>
      <w:pPr>
        <w:spacing w:after="0" w:line="40" w:lineRule="exact"/>
        <w:rPr>
          <w:rFonts w:ascii="Arial" w:cs="Arial" w:eastAsia="Arial" w:hAnsi="Arial"/>
          <w:sz w:val="14"/>
          <w:szCs w:val="14"/>
          <w:b w:val="1"/>
          <w:bCs w:val="1"/>
          <w:color w:val="7CBD3F"/>
        </w:rPr>
      </w:pPr>
    </w:p>
    <w:p>
      <w:pPr>
        <w:jc w:val="both"/>
        <w:ind w:left="567" w:hanging="287"/>
        <w:spacing w:after="0" w:line="255" w:lineRule="auto"/>
        <w:tabs>
          <w:tab w:leader="none" w:pos="567" w:val="left"/>
        </w:tabs>
        <w:numPr>
          <w:ilvl w:val="1"/>
          <w:numId w:val="54"/>
        </w:numPr>
        <w:rPr>
          <w:rFonts w:ascii="Arial" w:cs="Arial" w:eastAsia="Arial" w:hAnsi="Arial"/>
          <w:sz w:val="14"/>
          <w:szCs w:val="14"/>
          <w:b w:val="1"/>
          <w:bCs w:val="1"/>
          <w:color w:val="7CBD3F"/>
        </w:rPr>
      </w:pPr>
      <w:r>
        <w:rPr>
          <w:rFonts w:ascii="Arial" w:cs="Arial" w:eastAsia="Arial" w:hAnsi="Arial"/>
          <w:sz w:val="14"/>
          <w:szCs w:val="14"/>
          <w:color w:val="auto"/>
        </w:rPr>
        <w:t>Vesting, etc. The Administrator will determine the time or times at which an Award will vest or become exercisable and the terms on which a Stock Option or SAR will remain exercisable. Without limiting the foregoing, the Administrator may at any time accelerate the vesting or exercisability of an Award, regardless of any adverse or potentially adverse tax or other consequences resulting from such acceleration. Unless the Administrator expressly provides otherwise, however, the following rules will apply if a Participant’s Employment ceases:</w:t>
      </w:r>
    </w:p>
    <w:p>
      <w:pPr>
        <w:spacing w:after="0" w:line="50" w:lineRule="exact"/>
        <w:rPr>
          <w:rFonts w:ascii="Arial" w:cs="Arial" w:eastAsia="Arial" w:hAnsi="Arial"/>
          <w:sz w:val="14"/>
          <w:szCs w:val="14"/>
          <w:b w:val="1"/>
          <w:bCs w:val="1"/>
          <w:color w:val="7CBD3F"/>
        </w:rPr>
      </w:pPr>
    </w:p>
    <w:p>
      <w:pPr>
        <w:jc w:val="both"/>
        <w:ind w:left="847" w:hanging="287"/>
        <w:spacing w:after="0" w:line="260" w:lineRule="auto"/>
        <w:tabs>
          <w:tab w:leader="none" w:pos="847" w:val="left"/>
        </w:tabs>
        <w:numPr>
          <w:ilvl w:val="2"/>
          <w:numId w:val="54"/>
        </w:numPr>
        <w:rPr>
          <w:rFonts w:ascii="Arial" w:cs="Arial" w:eastAsia="Arial" w:hAnsi="Arial"/>
          <w:sz w:val="14"/>
          <w:szCs w:val="14"/>
          <w:b w:val="1"/>
          <w:bCs w:val="1"/>
          <w:color w:val="7CBD3F"/>
        </w:rPr>
      </w:pPr>
      <w:r>
        <w:rPr>
          <w:rFonts w:ascii="Arial" w:cs="Arial" w:eastAsia="Arial" w:hAnsi="Arial"/>
          <w:sz w:val="14"/>
          <w:szCs w:val="14"/>
          <w:color w:val="221E1F"/>
        </w:rPr>
        <w:t>Immediately upon the cessation of the Participant’s Employment and except as provided in (B) and (C) below, each Stock Option and SAR that is then held by the Participant or by the Participant’s permitted transferees, if any, will cease to be exercisable and will terminate and all other Awards that are then held by the Participant or by the Participant’s permitted transferees, if any, to the extent not already vested will be forfeited.</w:t>
      </w:r>
    </w:p>
    <w:p>
      <w:pPr>
        <w:spacing w:after="0" w:line="36" w:lineRule="exact"/>
        <w:rPr>
          <w:rFonts w:ascii="Arial" w:cs="Arial" w:eastAsia="Arial" w:hAnsi="Arial"/>
          <w:sz w:val="14"/>
          <w:szCs w:val="14"/>
          <w:b w:val="1"/>
          <w:bCs w:val="1"/>
          <w:color w:val="7CBD3F"/>
        </w:rPr>
      </w:pPr>
    </w:p>
    <w:p>
      <w:pPr>
        <w:jc w:val="both"/>
        <w:ind w:left="847" w:hanging="287"/>
        <w:spacing w:after="0" w:line="260" w:lineRule="auto"/>
        <w:tabs>
          <w:tab w:leader="none" w:pos="847" w:val="left"/>
        </w:tabs>
        <w:numPr>
          <w:ilvl w:val="2"/>
          <w:numId w:val="54"/>
        </w:numPr>
        <w:rPr>
          <w:rFonts w:ascii="Arial" w:cs="Arial" w:eastAsia="Arial" w:hAnsi="Arial"/>
          <w:sz w:val="14"/>
          <w:szCs w:val="14"/>
          <w:b w:val="1"/>
          <w:bCs w:val="1"/>
          <w:color w:val="7CBD3F"/>
        </w:rPr>
      </w:pPr>
      <w:r>
        <w:rPr>
          <w:rFonts w:ascii="Arial" w:cs="Arial" w:eastAsia="Arial" w:hAnsi="Arial"/>
          <w:sz w:val="14"/>
          <w:szCs w:val="14"/>
          <w:color w:val="221E1F"/>
        </w:rPr>
        <w:t>Subject to (C) and (D) below, all Stock Options and SARs held by the Participant or the Participant’s permitted transferees, if any, immediately prior to the cessation of the Participant’s Employment, to the extent then exercisable, will remain exercisable for the lesser of (i) a period of three months or (ii) the period ending on the latest date on which such Stock Option or SAR could have been exercised without regard to this Section 6(a)(iv), and will thereupon immediately terminate.</w:t>
      </w:r>
    </w:p>
    <w:p>
      <w:pPr>
        <w:spacing w:after="0" w:line="36" w:lineRule="exact"/>
        <w:rPr>
          <w:rFonts w:ascii="Arial" w:cs="Arial" w:eastAsia="Arial" w:hAnsi="Arial"/>
          <w:sz w:val="14"/>
          <w:szCs w:val="14"/>
          <w:b w:val="1"/>
          <w:bCs w:val="1"/>
          <w:color w:val="7CBD3F"/>
        </w:rPr>
      </w:pPr>
    </w:p>
    <w:p>
      <w:pPr>
        <w:jc w:val="both"/>
        <w:ind w:left="847" w:right="20" w:hanging="287"/>
        <w:spacing w:after="0" w:line="260" w:lineRule="auto"/>
        <w:tabs>
          <w:tab w:leader="none" w:pos="847" w:val="left"/>
        </w:tabs>
        <w:numPr>
          <w:ilvl w:val="2"/>
          <w:numId w:val="54"/>
        </w:numPr>
        <w:rPr>
          <w:rFonts w:ascii="Arial" w:cs="Arial" w:eastAsia="Arial" w:hAnsi="Arial"/>
          <w:sz w:val="14"/>
          <w:szCs w:val="14"/>
          <w:b w:val="1"/>
          <w:bCs w:val="1"/>
          <w:color w:val="7CBD3F"/>
        </w:rPr>
      </w:pPr>
      <w:r>
        <w:rPr>
          <w:rFonts w:ascii="Arial" w:cs="Arial" w:eastAsia="Arial" w:hAnsi="Arial"/>
          <w:sz w:val="14"/>
          <w:szCs w:val="14"/>
          <w:color w:val="221E1F"/>
        </w:rPr>
        <w:t>All Stock Options and SARs held by a Participant or the Participant’s permitted transferees, if any, immediately prior to the Participant’s death, to the extent then exercisable, will remain exercisable for the lesser of (i) the one year period ending with the first anniversary of the Participant’s death or (ii) the period ending on the latest date on which such Stock Option or SAR could have been exercised without regard to this Section 6(a)(iv), and will thereupon immediately terminate.</w:t>
      </w:r>
    </w:p>
    <w:p>
      <w:pPr>
        <w:spacing w:after="0" w:line="36" w:lineRule="exact"/>
        <w:rPr>
          <w:rFonts w:ascii="Arial" w:cs="Arial" w:eastAsia="Arial" w:hAnsi="Arial"/>
          <w:sz w:val="14"/>
          <w:szCs w:val="14"/>
          <w:b w:val="1"/>
          <w:bCs w:val="1"/>
          <w:color w:val="7CBD3F"/>
        </w:rPr>
      </w:pPr>
    </w:p>
    <w:p>
      <w:pPr>
        <w:jc w:val="both"/>
        <w:ind w:left="847" w:right="20" w:hanging="287"/>
        <w:spacing w:after="0" w:line="260" w:lineRule="auto"/>
        <w:tabs>
          <w:tab w:leader="none" w:pos="847" w:val="left"/>
        </w:tabs>
        <w:numPr>
          <w:ilvl w:val="2"/>
          <w:numId w:val="54"/>
        </w:numPr>
        <w:rPr>
          <w:rFonts w:ascii="Arial" w:cs="Arial" w:eastAsia="Arial" w:hAnsi="Arial"/>
          <w:sz w:val="14"/>
          <w:szCs w:val="14"/>
          <w:b w:val="1"/>
          <w:bCs w:val="1"/>
          <w:color w:val="7CBD3F"/>
        </w:rPr>
      </w:pPr>
      <w:r>
        <w:rPr>
          <w:rFonts w:ascii="Arial" w:cs="Arial" w:eastAsia="Arial" w:hAnsi="Arial"/>
          <w:sz w:val="14"/>
          <w:szCs w:val="14"/>
          <w:color w:val="221E1F"/>
        </w:rPr>
        <w:t>All Stock Options and SARs (whether or not exercisable) held by a Participant or the Participant’s permitted transferees, if any, immediately prior to the cessation of the Participant’s Employment will immediately terminate upon such notice of cessation of Employment if the termination is for Cause or occurs in circumstances that in the sole determination of the Administrator would have constituted grounds for the Participant’s Employment to be terminated for Cause.</w:t>
      </w:r>
    </w:p>
    <w:p>
      <w:pPr>
        <w:spacing w:after="0" w:line="48" w:lineRule="exact"/>
        <w:rPr>
          <w:rFonts w:ascii="Arial" w:cs="Arial" w:eastAsia="Arial" w:hAnsi="Arial"/>
          <w:sz w:val="14"/>
          <w:szCs w:val="14"/>
          <w:b w:val="1"/>
          <w:bCs w:val="1"/>
          <w:color w:val="7CBD3F"/>
        </w:rPr>
      </w:pPr>
    </w:p>
    <w:p>
      <w:pPr>
        <w:jc w:val="both"/>
        <w:ind w:left="567" w:hanging="287"/>
        <w:spacing w:after="0" w:line="255" w:lineRule="auto"/>
        <w:tabs>
          <w:tab w:leader="none" w:pos="567" w:val="left"/>
        </w:tabs>
        <w:numPr>
          <w:ilvl w:val="1"/>
          <w:numId w:val="54"/>
        </w:numPr>
        <w:rPr>
          <w:rFonts w:ascii="Arial" w:cs="Arial" w:eastAsia="Arial" w:hAnsi="Arial"/>
          <w:sz w:val="14"/>
          <w:szCs w:val="14"/>
          <w:b w:val="1"/>
          <w:bCs w:val="1"/>
          <w:color w:val="7CBD3F"/>
        </w:rPr>
      </w:pPr>
      <w:r>
        <w:rPr>
          <w:rFonts w:ascii="Arial" w:cs="Arial" w:eastAsia="Arial" w:hAnsi="Arial"/>
          <w:sz w:val="14"/>
          <w:szCs w:val="14"/>
          <w:color w:val="auto"/>
        </w:rPr>
        <w:t>Additional Restrictions. The Administrator may cancel, rescind, withhold or otherwise limit or restrict any Award at any time if the Participant is not in compliance with all applicable provisions of the Award agreement and the Plan, or if the Participant breaches any agreement with the Company or its Affiliates with respect to confidentiality. Without limiting the generality of the foregoing, the Administrator may recover Awards made under the Plan and payments under or gain in respect of any Award to the extent required to comply with Company policy, including the Company’s Clawback Policy.</w:t>
      </w:r>
    </w:p>
    <w:p>
      <w:pPr>
        <w:spacing w:after="0" w:line="38" w:lineRule="exact"/>
        <w:rPr>
          <w:rFonts w:ascii="Arial" w:cs="Arial" w:eastAsia="Arial" w:hAnsi="Arial"/>
          <w:sz w:val="14"/>
          <w:szCs w:val="14"/>
          <w:b w:val="1"/>
          <w:bCs w:val="1"/>
          <w:color w:val="7CBD3F"/>
        </w:rPr>
      </w:pPr>
    </w:p>
    <w:p>
      <w:pPr>
        <w:ind w:left="567" w:hanging="287"/>
        <w:spacing w:after="0"/>
        <w:tabs>
          <w:tab w:leader="none" w:pos="567" w:val="left"/>
        </w:tabs>
        <w:numPr>
          <w:ilvl w:val="1"/>
          <w:numId w:val="54"/>
        </w:numPr>
        <w:rPr>
          <w:rFonts w:ascii="Arial" w:cs="Arial" w:eastAsia="Arial" w:hAnsi="Arial"/>
          <w:sz w:val="14"/>
          <w:szCs w:val="14"/>
          <w:b w:val="1"/>
          <w:bCs w:val="1"/>
          <w:color w:val="7CBD3F"/>
        </w:rPr>
      </w:pPr>
      <w:r>
        <w:rPr>
          <w:rFonts w:ascii="Arial" w:cs="Arial" w:eastAsia="Arial" w:hAnsi="Arial"/>
          <w:sz w:val="14"/>
          <w:szCs w:val="14"/>
          <w:color w:val="auto"/>
        </w:rPr>
        <w:t>Taxes. The delivery, vesting and retention of Stock, cash or other property under an Award are conditioned upon</w:t>
      </w:r>
    </w:p>
    <w:p>
      <w:pPr>
        <w:spacing w:after="0" w:line="165"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221E1F"/>
        </w:rPr>
        <w:t xml:space="preserve">ULTRAGENYX PHARMACEUTICAL INC. </w:t>
      </w:r>
      <w:r>
        <w:rPr>
          <w:rFonts w:ascii="Arial" w:cs="Arial" w:eastAsia="Arial" w:hAnsi="Arial"/>
          <w:sz w:val="14"/>
          <w:szCs w:val="14"/>
          <w:color w:val="7BBD3E"/>
        </w:rPr>
        <w:t>•</w:t>
      </w:r>
      <w:r>
        <w:rPr>
          <w:rFonts w:ascii="Arial" w:cs="Arial" w:eastAsia="Arial" w:hAnsi="Arial"/>
          <w:sz w:val="14"/>
          <w:szCs w:val="14"/>
          <w:b w:val="1"/>
          <w:bCs w:val="1"/>
          <w:color w:val="221E1F"/>
        </w:rPr>
        <w:t xml:space="preserve"> </w:t>
      </w:r>
      <w:r>
        <w:rPr>
          <w:rFonts w:ascii="Arial" w:cs="Arial" w:eastAsia="Arial" w:hAnsi="Arial"/>
          <w:sz w:val="14"/>
          <w:szCs w:val="14"/>
          <w:color w:val="221E1F"/>
        </w:rPr>
        <w:t>2025 Proxy Statement</w:t>
      </w:r>
      <w:r>
        <w:rPr>
          <w:rFonts w:ascii="Arial" w:cs="Arial" w:eastAsia="Arial" w:hAnsi="Arial"/>
          <w:sz w:val="14"/>
          <w:szCs w:val="14"/>
          <w:b w:val="1"/>
          <w:bCs w:val="1"/>
          <w:color w:val="221E1F"/>
        </w:rPr>
        <w:tab/>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150735" cy="298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0735" cy="29845"/>
                    </a:xfrm>
                    <a:prstGeom prst="rect">
                      <a:avLst/>
                    </a:prstGeom>
                    <a:noFill/>
                  </pic:spPr>
                </pic:pic>
              </a:graphicData>
            </a:graphic>
          </wp:anchor>
        </w:drawing>
      </w:r>
    </w:p>
    <w:p>
      <w:pPr>
        <w:sectPr>
          <w:pgSz w:w="11900" w:h="16838" w:orient="portrait"/>
          <w:cols w:equalWidth="0" w:num="1">
            <w:col w:w="11267"/>
          </w:cols>
          <w:pgMar w:left="313" w:top="225" w:right="319" w:bottom="1440" w:gutter="0" w:footer="0" w:header="0"/>
        </w:sectPr>
      </w:pPr>
    </w:p>
    <w:bookmarkStart w:id="76" w:name="page77"/>
    <w:bookmarkEnd w:id="76"/>
    <w:p>
      <w:pPr>
        <w:ind w:left="7"/>
        <w:spacing w:after="0"/>
        <w:rPr>
          <w:sz w:val="20"/>
          <w:szCs w:val="20"/>
          <w:color w:val="auto"/>
        </w:rPr>
      </w:pPr>
      <w:r>
        <w:rPr>
          <w:rFonts w:ascii="Arial" w:cs="Arial" w:eastAsia="Arial" w:hAnsi="Arial"/>
          <w:sz w:val="12"/>
          <w:szCs w:val="12"/>
          <w:b w:val="1"/>
          <w:bCs w:val="1"/>
          <w:u w:val="single" w:color="auto"/>
          <w:color w:val="0000EE"/>
        </w:rPr>
        <w:t>Back to Contents</w:t>
      </w:r>
    </w:p>
    <w:p>
      <w:pPr>
        <w:spacing w:after="0" w:line="149" w:lineRule="exact"/>
        <w:rPr>
          <w:sz w:val="20"/>
          <w:szCs w:val="20"/>
          <w:color w:val="auto"/>
        </w:rPr>
      </w:pPr>
    </w:p>
    <w:p>
      <w:pPr>
        <w:jc w:val="both"/>
        <w:ind w:left="627"/>
        <w:spacing w:after="0" w:line="260" w:lineRule="auto"/>
        <w:rPr>
          <w:sz w:val="20"/>
          <w:szCs w:val="20"/>
          <w:color w:val="auto"/>
        </w:rPr>
      </w:pPr>
      <w:r>
        <w:rPr>
          <w:rFonts w:ascii="Arial" w:cs="Arial" w:eastAsia="Arial" w:hAnsi="Arial"/>
          <w:sz w:val="14"/>
          <w:szCs w:val="14"/>
          <w:color w:val="221E1F"/>
        </w:rPr>
        <w:t>full satisfaction by the Participant of all tax withholding requirements with respect to the Award. The Administrator will prescribe such rules for the withholding of taxes as it deems necessary. The Administrator may, but need not, hold back shares of Stock from an Award or permit a Participant to tender previously owned shares of Stock in satisfaction of tax withholding requirements (but not in excess of the maximum statutory withholding rate).</w:t>
      </w:r>
    </w:p>
    <w:p>
      <w:pPr>
        <w:spacing w:after="0" w:line="36" w:lineRule="exact"/>
        <w:rPr>
          <w:sz w:val="20"/>
          <w:szCs w:val="20"/>
          <w:color w:val="auto"/>
        </w:rPr>
      </w:pPr>
    </w:p>
    <w:p>
      <w:pPr>
        <w:jc w:val="both"/>
        <w:ind w:left="627" w:hanging="347"/>
        <w:spacing w:after="0" w:line="250" w:lineRule="auto"/>
        <w:tabs>
          <w:tab w:leader="none" w:pos="627" w:val="left"/>
        </w:tabs>
        <w:numPr>
          <w:ilvl w:val="1"/>
          <w:numId w:val="55"/>
        </w:numPr>
        <w:rPr>
          <w:rFonts w:ascii="Arial" w:cs="Arial" w:eastAsia="Arial" w:hAnsi="Arial"/>
          <w:sz w:val="14"/>
          <w:szCs w:val="14"/>
          <w:b w:val="1"/>
          <w:bCs w:val="1"/>
          <w:color w:val="7CBD3F"/>
        </w:rPr>
      </w:pPr>
      <w:r>
        <w:rPr>
          <w:rFonts w:ascii="Arial" w:cs="Arial" w:eastAsia="Arial" w:hAnsi="Arial"/>
          <w:sz w:val="14"/>
          <w:szCs w:val="14"/>
          <w:color w:val="auto"/>
        </w:rPr>
        <w:t>Dividend Equivalents, Etc. The Administrator may provide for the payment of amounts (on terms and subject to conditions established by the Administrator, except to the extent provided otherwise in this Section 6(a)(vii)) in lieu of cash dividends or other cash distributions with respect to Stock subject to an Award whether or not the holder of such Award is otherwise entitled to share in the actual dividend or distribution in respect of such Award. Any entitlement to dividend equivalents or similar entitlements will be established and administered either consistent with an exemption from, or in compliance with, the requirements of Section 409A. Dividends or dividend equivalent amounts payable in respect of Awards shall be subject to the same limits or restrictions as the Awards to which they relate and shall not be payable until such Awards vest. Notwithstanding the foregoing, no Stock Options or SARs shall provide for payment or accrual of dividends or dividend equivalents.</w:t>
      </w:r>
    </w:p>
    <w:p>
      <w:pPr>
        <w:spacing w:after="0" w:line="42" w:lineRule="exact"/>
        <w:rPr>
          <w:rFonts w:ascii="Arial" w:cs="Arial" w:eastAsia="Arial" w:hAnsi="Arial"/>
          <w:sz w:val="14"/>
          <w:szCs w:val="14"/>
          <w:b w:val="1"/>
          <w:bCs w:val="1"/>
          <w:color w:val="7CBD3F"/>
        </w:rPr>
      </w:pPr>
    </w:p>
    <w:p>
      <w:pPr>
        <w:jc w:val="both"/>
        <w:ind w:left="627" w:hanging="347"/>
        <w:spacing w:after="0" w:line="260" w:lineRule="auto"/>
        <w:tabs>
          <w:tab w:leader="none" w:pos="627" w:val="left"/>
        </w:tabs>
        <w:numPr>
          <w:ilvl w:val="1"/>
          <w:numId w:val="55"/>
        </w:numPr>
        <w:rPr>
          <w:rFonts w:ascii="Arial" w:cs="Arial" w:eastAsia="Arial" w:hAnsi="Arial"/>
          <w:sz w:val="14"/>
          <w:szCs w:val="14"/>
          <w:b w:val="1"/>
          <w:bCs w:val="1"/>
          <w:color w:val="7CBD3F"/>
        </w:rPr>
      </w:pPr>
      <w:r>
        <w:rPr>
          <w:rFonts w:ascii="Arial" w:cs="Arial" w:eastAsia="Arial" w:hAnsi="Arial"/>
          <w:sz w:val="14"/>
          <w:szCs w:val="14"/>
          <w:color w:val="auto"/>
        </w:rPr>
        <w:t>Rights Limited. Nothing in the Plan will be construed as giving any person the right to continued employment or service with the Company or its Affiliates, or any rights as a stockholder except as to shares of Stock actually issued under the Plan. The loss of existing or potential profit in Awards will not constitute an element of damages in the event of termination of Employment for any reason, even if the termination is in violation of an obligation of the Company or any Affiliate to the Participant.</w:t>
      </w:r>
    </w:p>
    <w:p>
      <w:pPr>
        <w:spacing w:after="0" w:line="36" w:lineRule="exact"/>
        <w:rPr>
          <w:rFonts w:ascii="Arial" w:cs="Arial" w:eastAsia="Arial" w:hAnsi="Arial"/>
          <w:sz w:val="14"/>
          <w:szCs w:val="14"/>
          <w:b w:val="1"/>
          <w:bCs w:val="1"/>
          <w:color w:val="7CBD3F"/>
        </w:rPr>
      </w:pPr>
    </w:p>
    <w:p>
      <w:pPr>
        <w:jc w:val="both"/>
        <w:ind w:left="627" w:hanging="347"/>
        <w:spacing w:after="0" w:line="252" w:lineRule="auto"/>
        <w:tabs>
          <w:tab w:leader="none" w:pos="627" w:val="left"/>
        </w:tabs>
        <w:numPr>
          <w:ilvl w:val="1"/>
          <w:numId w:val="55"/>
        </w:numPr>
        <w:rPr>
          <w:rFonts w:ascii="Arial" w:cs="Arial" w:eastAsia="Arial" w:hAnsi="Arial"/>
          <w:sz w:val="14"/>
          <w:szCs w:val="14"/>
          <w:b w:val="1"/>
          <w:bCs w:val="1"/>
          <w:color w:val="7CBD3F"/>
        </w:rPr>
      </w:pPr>
      <w:r>
        <w:rPr>
          <w:rFonts w:ascii="Arial" w:cs="Arial" w:eastAsia="Arial" w:hAnsi="Arial"/>
          <w:sz w:val="14"/>
          <w:szCs w:val="14"/>
          <w:color w:val="221E1F"/>
        </w:rPr>
        <w:t>Coordination with Other Plans. Awards under the Plan may be granted in tandem with, or in satisfaction of or substitution for, other Awards under the Plan or awards made under other compensatory plans or programs of the Company or its Affiliates. For example, but without limiting the generality of the foregoing, awards under other compensatory plans or programs of the Company or its Affiliates may be settled in Stock (including, without limitation, Unrestricted Stock) if the Administrator so determines, in which case the shares delivered will be treated as awarded under the Plan (and will reduce the number of shares thereafter available under the Plan in accordance with the rules set forth in Section 4).</w:t>
      </w:r>
    </w:p>
    <w:p>
      <w:pPr>
        <w:spacing w:after="0" w:line="40" w:lineRule="exact"/>
        <w:rPr>
          <w:rFonts w:ascii="Arial" w:cs="Arial" w:eastAsia="Arial" w:hAnsi="Arial"/>
          <w:sz w:val="14"/>
          <w:szCs w:val="14"/>
          <w:b w:val="1"/>
          <w:bCs w:val="1"/>
          <w:color w:val="7CBD3F"/>
        </w:rPr>
      </w:pPr>
    </w:p>
    <w:p>
      <w:pPr>
        <w:ind w:left="627" w:right="20" w:hanging="347"/>
        <w:spacing w:after="0" w:line="278" w:lineRule="auto"/>
        <w:tabs>
          <w:tab w:leader="none" w:pos="627" w:val="left"/>
        </w:tabs>
        <w:numPr>
          <w:ilvl w:val="1"/>
          <w:numId w:val="55"/>
        </w:numPr>
        <w:rPr>
          <w:rFonts w:ascii="Arial" w:cs="Arial" w:eastAsia="Arial" w:hAnsi="Arial"/>
          <w:sz w:val="14"/>
          <w:szCs w:val="14"/>
          <w:b w:val="1"/>
          <w:bCs w:val="1"/>
          <w:color w:val="7CBD3F"/>
        </w:rPr>
      </w:pPr>
      <w:r>
        <w:rPr>
          <w:rFonts w:ascii="Arial" w:cs="Arial" w:eastAsia="Arial" w:hAnsi="Arial"/>
          <w:sz w:val="14"/>
          <w:szCs w:val="14"/>
          <w:color w:val="auto"/>
        </w:rPr>
        <w:t>Section 409A. Each Award will contain such terms as the Administrator determines, and will be construed and administered, such that the Award either qualifies for an exemption from the requirements of Section 409A or satisfies such requirements.</w:t>
      </w:r>
    </w:p>
    <w:p>
      <w:pPr>
        <w:spacing w:after="0" w:line="35" w:lineRule="exact"/>
        <w:rPr>
          <w:rFonts w:ascii="Arial" w:cs="Arial" w:eastAsia="Arial" w:hAnsi="Arial"/>
          <w:sz w:val="14"/>
          <w:szCs w:val="14"/>
          <w:b w:val="1"/>
          <w:bCs w:val="1"/>
          <w:color w:val="7CBD3F"/>
        </w:rPr>
      </w:pPr>
    </w:p>
    <w:p>
      <w:pPr>
        <w:ind w:left="287" w:hanging="287"/>
        <w:spacing w:after="0"/>
        <w:tabs>
          <w:tab w:leader="none" w:pos="287" w:val="left"/>
        </w:tabs>
        <w:numPr>
          <w:ilvl w:val="0"/>
          <w:numId w:val="56"/>
        </w:numPr>
        <w:rPr>
          <w:rFonts w:ascii="Arial" w:cs="Arial" w:eastAsia="Arial" w:hAnsi="Arial"/>
          <w:sz w:val="14"/>
          <w:szCs w:val="14"/>
          <w:b w:val="1"/>
          <w:bCs w:val="1"/>
          <w:color w:val="7CBD3F"/>
        </w:rPr>
      </w:pPr>
      <w:r>
        <w:rPr>
          <w:rFonts w:ascii="Arial" w:cs="Arial" w:eastAsia="Arial" w:hAnsi="Arial"/>
          <w:sz w:val="14"/>
          <w:szCs w:val="14"/>
          <w:color w:val="auto"/>
        </w:rPr>
        <w:t>Stock Options and SARs.</w:t>
      </w:r>
    </w:p>
    <w:p>
      <w:pPr>
        <w:spacing w:after="0" w:line="83" w:lineRule="exact"/>
        <w:rPr>
          <w:rFonts w:ascii="Arial" w:cs="Arial" w:eastAsia="Arial" w:hAnsi="Arial"/>
          <w:sz w:val="14"/>
          <w:szCs w:val="14"/>
          <w:b w:val="1"/>
          <w:bCs w:val="1"/>
          <w:color w:val="7CBD3F"/>
        </w:rPr>
      </w:pPr>
    </w:p>
    <w:p>
      <w:pPr>
        <w:jc w:val="both"/>
        <w:ind w:left="567" w:hanging="287"/>
        <w:spacing w:after="0" w:line="252" w:lineRule="auto"/>
        <w:tabs>
          <w:tab w:leader="none" w:pos="567" w:val="left"/>
        </w:tabs>
        <w:numPr>
          <w:ilvl w:val="1"/>
          <w:numId w:val="56"/>
        </w:numPr>
        <w:rPr>
          <w:rFonts w:ascii="Arial" w:cs="Arial" w:eastAsia="Arial" w:hAnsi="Arial"/>
          <w:sz w:val="14"/>
          <w:szCs w:val="14"/>
          <w:b w:val="1"/>
          <w:bCs w:val="1"/>
          <w:color w:val="7CBD3F"/>
        </w:rPr>
      </w:pPr>
      <w:r>
        <w:rPr>
          <w:rFonts w:ascii="Arial" w:cs="Arial" w:eastAsia="Arial" w:hAnsi="Arial"/>
          <w:sz w:val="14"/>
          <w:szCs w:val="14"/>
          <w:color w:val="auto"/>
        </w:rPr>
        <w:t>Time and Manner of Exercise. Unless the Administrator expressly provides otherwise, no Stock Option or SAR will be deemed to have been exercised until the Administrator receives a notice of exercise (in form acceptable to the Administrator), which may be an electronic notice, signed (including electronic signature in form acceptable to the Administrator) by the appropriate person and accompanied by any payment required under the Award. A Stock Option or SAR exercised by any person other than the Participant will not be deemed to have been exercised until the Administrator has received such evidence as it may require that the person exercising the Award has the right to do so.</w:t>
      </w:r>
    </w:p>
    <w:p>
      <w:pPr>
        <w:spacing w:after="0" w:line="40" w:lineRule="exact"/>
        <w:rPr>
          <w:rFonts w:ascii="Arial" w:cs="Arial" w:eastAsia="Arial" w:hAnsi="Arial"/>
          <w:sz w:val="14"/>
          <w:szCs w:val="14"/>
          <w:b w:val="1"/>
          <w:bCs w:val="1"/>
          <w:color w:val="7CBD3F"/>
        </w:rPr>
      </w:pPr>
    </w:p>
    <w:p>
      <w:pPr>
        <w:jc w:val="both"/>
        <w:ind w:left="567" w:hanging="287"/>
        <w:spacing w:after="0" w:line="260" w:lineRule="auto"/>
        <w:tabs>
          <w:tab w:leader="none" w:pos="567" w:val="left"/>
        </w:tabs>
        <w:numPr>
          <w:ilvl w:val="1"/>
          <w:numId w:val="56"/>
        </w:numPr>
        <w:rPr>
          <w:rFonts w:ascii="Arial" w:cs="Arial" w:eastAsia="Arial" w:hAnsi="Arial"/>
          <w:sz w:val="14"/>
          <w:szCs w:val="14"/>
          <w:b w:val="1"/>
          <w:bCs w:val="1"/>
          <w:color w:val="7CBD3F"/>
        </w:rPr>
      </w:pPr>
      <w:r>
        <w:rPr>
          <w:rFonts w:ascii="Arial" w:cs="Arial" w:eastAsia="Arial" w:hAnsi="Arial"/>
          <w:sz w:val="14"/>
          <w:szCs w:val="14"/>
          <w:color w:val="auto"/>
        </w:rPr>
        <w:t>Exercise Price. The exercise price (or the base value from which appreciation is to be measured) of each Award requiring exercise will be no less than 100% (or in the case of an ISO granted to a ten-percent shareholder within the meaning of Section 422, 110%) of the Fair Market Value of the Stock subject to the Award, determined as of the date of grant, or such higher amount as the Administrator may determine in connection with the grant.</w:t>
      </w:r>
    </w:p>
    <w:p>
      <w:pPr>
        <w:spacing w:after="0" w:line="36" w:lineRule="exact"/>
        <w:rPr>
          <w:rFonts w:ascii="Arial" w:cs="Arial" w:eastAsia="Arial" w:hAnsi="Arial"/>
          <w:sz w:val="14"/>
          <w:szCs w:val="14"/>
          <w:b w:val="1"/>
          <w:bCs w:val="1"/>
          <w:color w:val="7CBD3F"/>
        </w:rPr>
      </w:pPr>
    </w:p>
    <w:p>
      <w:pPr>
        <w:ind w:left="567" w:right="20" w:hanging="287"/>
        <w:spacing w:after="0" w:line="278" w:lineRule="auto"/>
        <w:tabs>
          <w:tab w:leader="none" w:pos="567" w:val="left"/>
        </w:tabs>
        <w:numPr>
          <w:ilvl w:val="1"/>
          <w:numId w:val="56"/>
        </w:numPr>
        <w:rPr>
          <w:rFonts w:ascii="Arial" w:cs="Arial" w:eastAsia="Arial" w:hAnsi="Arial"/>
          <w:sz w:val="14"/>
          <w:szCs w:val="14"/>
          <w:b w:val="1"/>
          <w:bCs w:val="1"/>
          <w:color w:val="7CBD3F"/>
        </w:rPr>
      </w:pPr>
      <w:r>
        <w:rPr>
          <w:rFonts w:ascii="Arial" w:cs="Arial" w:eastAsia="Arial" w:hAnsi="Arial"/>
          <w:sz w:val="14"/>
          <w:szCs w:val="14"/>
          <w:color w:val="221E1F"/>
        </w:rPr>
        <w:t>Payment of Exercise Price. Where the exercise of an Award is to be accompanied by payment, payment of the exercise price will be by cash or check acceptable to the Administrator or by such other legally permissible means, if any, as may be acceptable to the Administrator.</w:t>
      </w:r>
    </w:p>
    <w:p>
      <w:pPr>
        <w:spacing w:after="0" w:line="23" w:lineRule="exact"/>
        <w:rPr>
          <w:rFonts w:ascii="Arial" w:cs="Arial" w:eastAsia="Arial" w:hAnsi="Arial"/>
          <w:sz w:val="14"/>
          <w:szCs w:val="14"/>
          <w:b w:val="1"/>
          <w:bCs w:val="1"/>
          <w:color w:val="7CBD3F"/>
        </w:rPr>
      </w:pPr>
    </w:p>
    <w:p>
      <w:pPr>
        <w:jc w:val="both"/>
        <w:ind w:left="567" w:hanging="287"/>
        <w:spacing w:after="0" w:line="247" w:lineRule="auto"/>
        <w:tabs>
          <w:tab w:leader="none" w:pos="567" w:val="left"/>
        </w:tabs>
        <w:numPr>
          <w:ilvl w:val="1"/>
          <w:numId w:val="56"/>
        </w:numPr>
        <w:rPr>
          <w:rFonts w:ascii="Arial" w:cs="Arial" w:eastAsia="Arial" w:hAnsi="Arial"/>
          <w:sz w:val="14"/>
          <w:szCs w:val="14"/>
          <w:b w:val="1"/>
          <w:bCs w:val="1"/>
          <w:color w:val="7CBD3F"/>
        </w:rPr>
      </w:pPr>
      <w:r>
        <w:rPr>
          <w:rFonts w:ascii="Arial" w:cs="Arial" w:eastAsia="Arial" w:hAnsi="Arial"/>
          <w:sz w:val="14"/>
          <w:szCs w:val="14"/>
          <w:color w:val="221E1F"/>
        </w:rPr>
        <w:t>Maximum Term. Stock Options and SARs will have a maximum term not to exceed 10 years from the date of grant (or five years from the date of grant in the case of an ISO granted to a ten-percent shareholder described in Section 6(b)(ii) above); provided, however, that, if a Participant still holding an outstanding but unexercised NSO or SAR 10 years from the date of grant (or, in the case of an NSO or SAR with a maximum term of less than 10 years, such maximum term) is prohibited by applicable law from exercising such Stock Options or SARs, and if at such time the Stock is publicly traded (as determined by the Administrator), the maximum term of such Award will instead be deemed to expire on the 30</w:t>
      </w:r>
      <w:r>
        <w:rPr>
          <w:rFonts w:ascii="Arial" w:cs="Arial" w:eastAsia="Arial" w:hAnsi="Arial"/>
          <w:sz w:val="23"/>
          <w:szCs w:val="23"/>
          <w:color w:val="221E1F"/>
          <w:vertAlign w:val="superscript"/>
        </w:rPr>
        <w:t>th</w:t>
      </w:r>
      <w:r>
        <w:rPr>
          <w:rFonts w:ascii="Arial" w:cs="Arial" w:eastAsia="Arial" w:hAnsi="Arial"/>
          <w:sz w:val="14"/>
          <w:szCs w:val="14"/>
          <w:color w:val="221E1F"/>
        </w:rPr>
        <w:t xml:space="preserve"> day following the date the Participant is no longer prohibited from engaging in such open market sales.</w:t>
      </w:r>
    </w:p>
    <w:p>
      <w:pPr>
        <w:jc w:val="both"/>
        <w:ind w:left="567" w:hanging="287"/>
        <w:spacing w:after="0" w:line="248" w:lineRule="auto"/>
        <w:tabs>
          <w:tab w:leader="none" w:pos="567" w:val="left"/>
        </w:tabs>
        <w:numPr>
          <w:ilvl w:val="1"/>
          <w:numId w:val="56"/>
        </w:numPr>
        <w:rPr>
          <w:rFonts w:ascii="Arial" w:cs="Arial" w:eastAsia="Arial" w:hAnsi="Arial"/>
          <w:sz w:val="14"/>
          <w:szCs w:val="14"/>
          <w:b w:val="1"/>
          <w:bCs w:val="1"/>
          <w:color w:val="7CBD3F"/>
        </w:rPr>
      </w:pPr>
      <w:r>
        <w:rPr>
          <w:rFonts w:ascii="Arial" w:cs="Arial" w:eastAsia="Arial" w:hAnsi="Arial"/>
          <w:sz w:val="14"/>
          <w:szCs w:val="14"/>
          <w:color w:val="auto"/>
        </w:rPr>
        <w:t>No Repricing without Stockholder Approval. The Company shall not, without stockholder approval (except in the case of a change in the Company’s capitalization (as described in Section 7(b)), (A) reduce the exercise price of a Stock Option or SAR, (B) other than in the case of Covered Transaction, at any time when the exercise price of a Stock Option or SAR is above the Fair Market Value of a share of Stock, cancel and re-grant or exchange such Stock Option or SAR for cash or a new Award having a lower (or no) exercise price, or (c) take any other action with respect to an Award that would be treated as a repricing under generally accepted accounting principles.</w:t>
      </w:r>
    </w:p>
    <w:p>
      <w:pPr>
        <w:spacing w:after="0" w:line="43" w:lineRule="exact"/>
        <w:rPr>
          <w:rFonts w:ascii="Arial" w:cs="Arial" w:eastAsia="Arial" w:hAnsi="Arial"/>
          <w:sz w:val="14"/>
          <w:szCs w:val="14"/>
          <w:b w:val="1"/>
          <w:bCs w:val="1"/>
          <w:color w:val="7CBD3F"/>
        </w:rPr>
      </w:pPr>
    </w:p>
    <w:p>
      <w:pPr>
        <w:ind w:left="567" w:right="20" w:hanging="287"/>
        <w:spacing w:after="0" w:line="278" w:lineRule="auto"/>
        <w:tabs>
          <w:tab w:leader="none" w:pos="567" w:val="left"/>
        </w:tabs>
        <w:numPr>
          <w:ilvl w:val="1"/>
          <w:numId w:val="56"/>
        </w:numPr>
        <w:rPr>
          <w:rFonts w:ascii="Arial" w:cs="Arial" w:eastAsia="Arial" w:hAnsi="Arial"/>
          <w:sz w:val="14"/>
          <w:szCs w:val="14"/>
          <w:b w:val="1"/>
          <w:bCs w:val="1"/>
          <w:color w:val="7CBD3F"/>
        </w:rPr>
      </w:pPr>
      <w:r>
        <w:rPr>
          <w:rFonts w:ascii="Arial" w:cs="Arial" w:eastAsia="Arial" w:hAnsi="Arial"/>
          <w:sz w:val="14"/>
          <w:szCs w:val="14"/>
          <w:color w:val="auto"/>
        </w:rPr>
        <w:t>No Reload Grants. Stock Options shall not be granted under the Plan in consideration for, and shall not be conditioned upon the delivery of, shares of Stock to the Company in payment of the exercise price and/or tax withholding obligation under any other employee stock option.</w:t>
      </w:r>
    </w:p>
    <w:p>
      <w:pPr>
        <w:spacing w:after="0" w:line="117"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221E1F"/>
        </w:rPr>
        <w:t xml:space="preserve">ULTRAGENYX PHARMACEUTICAL INC. </w:t>
      </w:r>
      <w:r>
        <w:rPr>
          <w:rFonts w:ascii="Arial" w:cs="Arial" w:eastAsia="Arial" w:hAnsi="Arial"/>
          <w:sz w:val="14"/>
          <w:szCs w:val="14"/>
          <w:color w:val="7BBD3E"/>
        </w:rPr>
        <w:t>•</w:t>
      </w:r>
      <w:r>
        <w:rPr>
          <w:rFonts w:ascii="Arial" w:cs="Arial" w:eastAsia="Arial" w:hAnsi="Arial"/>
          <w:sz w:val="14"/>
          <w:szCs w:val="14"/>
          <w:b w:val="1"/>
          <w:bCs w:val="1"/>
          <w:color w:val="221E1F"/>
        </w:rPr>
        <w:t xml:space="preserve"> </w:t>
      </w:r>
      <w:r>
        <w:rPr>
          <w:rFonts w:ascii="Arial" w:cs="Arial" w:eastAsia="Arial" w:hAnsi="Arial"/>
          <w:sz w:val="14"/>
          <w:szCs w:val="14"/>
          <w:color w:val="221E1F"/>
        </w:rPr>
        <w:t>2025 Proxy Statement</w:t>
      </w:r>
      <w:r>
        <w:rPr>
          <w:rFonts w:ascii="Arial" w:cs="Arial" w:eastAsia="Arial" w:hAnsi="Arial"/>
          <w:sz w:val="14"/>
          <w:szCs w:val="14"/>
          <w:b w:val="1"/>
          <w:bCs w:val="1"/>
          <w:color w:val="221E1F"/>
        </w:rPr>
        <w:tab/>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150735" cy="298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0735" cy="29845"/>
                    </a:xfrm>
                    <a:prstGeom prst="rect">
                      <a:avLst/>
                    </a:prstGeom>
                    <a:noFill/>
                  </pic:spPr>
                </pic:pic>
              </a:graphicData>
            </a:graphic>
          </wp:anchor>
        </w:drawing>
      </w:r>
    </w:p>
    <w:p>
      <w:pPr>
        <w:sectPr>
          <w:pgSz w:w="11900" w:h="16838" w:orient="portrait"/>
          <w:cols w:equalWidth="0" w:num="1">
            <w:col w:w="11267"/>
          </w:cols>
          <w:pgMar w:left="313" w:top="225" w:right="319" w:bottom="1440" w:gutter="0" w:footer="0" w:header="0"/>
        </w:sectPr>
      </w:pPr>
    </w:p>
    <w:bookmarkStart w:id="77" w:name="page78"/>
    <w:bookmarkEnd w:id="77"/>
    <w:p>
      <w:pPr>
        <w:ind w:left="7"/>
        <w:spacing w:after="0"/>
        <w:rPr>
          <w:sz w:val="20"/>
          <w:szCs w:val="20"/>
          <w:color w:val="auto"/>
        </w:rPr>
      </w:pPr>
      <w:r>
        <w:rPr>
          <w:rFonts w:ascii="Arial" w:cs="Arial" w:eastAsia="Arial" w:hAnsi="Arial"/>
          <w:sz w:val="12"/>
          <w:szCs w:val="12"/>
          <w:b w:val="1"/>
          <w:bCs w:val="1"/>
          <w:u w:val="single" w:color="auto"/>
          <w:color w:val="0000EE"/>
        </w:rPr>
        <w:t>Back to Contents</w:t>
      </w:r>
    </w:p>
    <w:p>
      <w:pPr>
        <w:spacing w:after="0" w:line="141" w:lineRule="exact"/>
        <w:rPr>
          <w:sz w:val="20"/>
          <w:szCs w:val="20"/>
          <w:color w:val="auto"/>
        </w:rPr>
      </w:pPr>
    </w:p>
    <w:p>
      <w:pPr>
        <w:ind w:left="7"/>
        <w:spacing w:after="0"/>
        <w:rPr>
          <w:sz w:val="20"/>
          <w:szCs w:val="20"/>
          <w:color w:val="auto"/>
        </w:rPr>
      </w:pPr>
      <w:r>
        <w:rPr>
          <w:rFonts w:ascii="Arial" w:cs="Arial" w:eastAsia="Arial" w:hAnsi="Arial"/>
          <w:sz w:val="22"/>
          <w:szCs w:val="22"/>
          <w:b w:val="1"/>
          <w:bCs w:val="1"/>
          <w:color w:val="auto"/>
        </w:rPr>
        <w:t>7.  Effect of Certain Transactions</w:t>
      </w:r>
    </w:p>
    <w:p>
      <w:pPr>
        <w:spacing w:after="0" w:line="222" w:lineRule="exact"/>
        <w:rPr>
          <w:sz w:val="20"/>
          <w:szCs w:val="20"/>
          <w:color w:val="auto"/>
        </w:rPr>
      </w:pPr>
    </w:p>
    <w:p>
      <w:pPr>
        <w:ind w:left="287" w:hanging="287"/>
        <w:spacing w:after="0"/>
        <w:tabs>
          <w:tab w:leader="none" w:pos="287" w:val="left"/>
        </w:tabs>
        <w:numPr>
          <w:ilvl w:val="0"/>
          <w:numId w:val="57"/>
        </w:numPr>
        <w:rPr>
          <w:rFonts w:ascii="Arial" w:cs="Arial" w:eastAsia="Arial" w:hAnsi="Arial"/>
          <w:sz w:val="14"/>
          <w:szCs w:val="14"/>
          <w:b w:val="1"/>
          <w:bCs w:val="1"/>
          <w:color w:val="7CBD3F"/>
        </w:rPr>
      </w:pPr>
      <w:r>
        <w:rPr>
          <w:rFonts w:ascii="Arial" w:cs="Arial" w:eastAsia="Arial" w:hAnsi="Arial"/>
          <w:sz w:val="14"/>
          <w:szCs w:val="14"/>
          <w:color w:val="auto"/>
        </w:rPr>
        <w:t>Mergers, etc. Except as otherwise provided in an Award agreement, the following provisions will apply in the event of a Covered Transaction:</w:t>
      </w:r>
    </w:p>
    <w:p>
      <w:pPr>
        <w:spacing w:after="0" w:line="83" w:lineRule="exact"/>
        <w:rPr>
          <w:rFonts w:ascii="Arial" w:cs="Arial" w:eastAsia="Arial" w:hAnsi="Arial"/>
          <w:sz w:val="14"/>
          <w:szCs w:val="14"/>
          <w:b w:val="1"/>
          <w:bCs w:val="1"/>
          <w:color w:val="7CBD3F"/>
        </w:rPr>
      </w:pPr>
    </w:p>
    <w:p>
      <w:pPr>
        <w:jc w:val="both"/>
        <w:ind w:left="567" w:hanging="287"/>
        <w:spacing w:after="0" w:line="267" w:lineRule="auto"/>
        <w:tabs>
          <w:tab w:leader="none" w:pos="567" w:val="left"/>
        </w:tabs>
        <w:numPr>
          <w:ilvl w:val="1"/>
          <w:numId w:val="57"/>
        </w:numPr>
        <w:rPr>
          <w:rFonts w:ascii="Arial" w:cs="Arial" w:eastAsia="Arial" w:hAnsi="Arial"/>
          <w:sz w:val="13"/>
          <w:szCs w:val="13"/>
          <w:b w:val="1"/>
          <w:bCs w:val="1"/>
          <w:color w:val="7CBD3F"/>
        </w:rPr>
      </w:pPr>
      <w:r>
        <w:rPr>
          <w:rFonts w:ascii="Arial" w:cs="Arial" w:eastAsia="Arial" w:hAnsi="Arial"/>
          <w:sz w:val="13"/>
          <w:szCs w:val="13"/>
          <w:color w:val="221E1F"/>
        </w:rPr>
        <w:t>Assumption or Substitution. If the Covered Transaction is one in which there is an acquiring or surviving entity, the Administrator may (but, for the avoidance of doubt, need not) provide (i) for the assumption or continuation of some or all outstanding Awards or any portion thereof or (ii) for the grant of new awards in substitution therefor by the acquiror or survivor or an affiliate of the acquiror or survivor. Notwithstanding any provision of this Section 7, in the event of a Covered Transaction in which the acquiring or surviving entity does not assume or continue outstanding Awards or provide for the grant of new awards in substitution therefor, all Awards that are not assumed, continued or substituted for shall be treated as follows effective immediately prior to the Covered Transaction: (A) in the case of a Stock Option or SAR, the Participant shall have the ability to exercise such Stock Option or SAR, including any portion of the Stock Option or SAR not previously exercisable, (B) in the case of any Award the vesting of which is in whole or in part subject to Performance Criteria, all conditions to the grant, issuance, retention, vesting or transferability of, or any other restrictions applicable to, such Award shall immediately lapse and the Participant shall have the right to receive a payment based on target level achievement or actual performance through a date determined by the Committee, as determined by the Committee, and (C) in the case of any other Award all conditions to the grant, issuance, retention, vesting or transferability of, or any other restrictions applicable to, such Award shall immediately lapse. In no event shall any action be taken pursuant to this Section 7(a)(i) that would change the payment or settlement date of an Award in a manner that would result in the imposition of any additional taxes or penalties pursuant to Section 409A of the Code.</w:t>
      </w:r>
    </w:p>
    <w:p>
      <w:pPr>
        <w:spacing w:after="0" w:line="35" w:lineRule="exact"/>
        <w:rPr>
          <w:rFonts w:ascii="Arial" w:cs="Arial" w:eastAsia="Arial" w:hAnsi="Arial"/>
          <w:sz w:val="13"/>
          <w:szCs w:val="13"/>
          <w:b w:val="1"/>
          <w:bCs w:val="1"/>
          <w:color w:val="7CBD3F"/>
        </w:rPr>
      </w:pPr>
    </w:p>
    <w:p>
      <w:pPr>
        <w:jc w:val="both"/>
        <w:ind w:left="567" w:hanging="287"/>
        <w:spacing w:after="0" w:line="249" w:lineRule="auto"/>
        <w:tabs>
          <w:tab w:leader="none" w:pos="567" w:val="left"/>
        </w:tabs>
        <w:numPr>
          <w:ilvl w:val="1"/>
          <w:numId w:val="57"/>
        </w:numPr>
        <w:rPr>
          <w:rFonts w:ascii="Arial" w:cs="Arial" w:eastAsia="Arial" w:hAnsi="Arial"/>
          <w:sz w:val="14"/>
          <w:szCs w:val="14"/>
          <w:b w:val="1"/>
          <w:bCs w:val="1"/>
          <w:color w:val="7CBD3F"/>
        </w:rPr>
      </w:pPr>
      <w:r>
        <w:rPr>
          <w:rFonts w:ascii="Arial" w:cs="Arial" w:eastAsia="Arial" w:hAnsi="Arial"/>
          <w:sz w:val="14"/>
          <w:szCs w:val="14"/>
          <w:color w:val="221E1F"/>
        </w:rPr>
        <w:t>Cash-Out of Awards. Subject to Section 7(a)(v) below the Administrator may (but, for the avoidance of doubt, need not) provide for payment (a “cash- out”), with respect to some or all Awards or any portion thereof, equal in the case of each affected Award or portion thereof to the excess, if any, of (A) the fair market value of one share of Stock (as determined by the Administrator in its reasonable discretion) times the number of shares of Stock subject to the Award or such portion, over (B) the aggregate exercise or purchase price, if any, under the Award or such portion (in the case of an SAR, the aggregate base value above which appreciation is measured), in each case on such payment terms (which need not be the same as the terms of payment to holders of Stock) and other terms, and subject to such conditions, as the Administrator determines; provided, however, that if the fair market value of one share of Stock (as determined by the Administrator in its reasonable discretion) does not exceed the exercise price of such Award, then the Award shall be cancelled without any payment of consideration therefor.</w:t>
      </w:r>
    </w:p>
    <w:p>
      <w:pPr>
        <w:spacing w:after="0" w:line="43" w:lineRule="exact"/>
        <w:rPr>
          <w:rFonts w:ascii="Arial" w:cs="Arial" w:eastAsia="Arial" w:hAnsi="Arial"/>
          <w:sz w:val="14"/>
          <w:szCs w:val="14"/>
          <w:b w:val="1"/>
          <w:bCs w:val="1"/>
          <w:color w:val="7CBD3F"/>
        </w:rPr>
      </w:pPr>
    </w:p>
    <w:p>
      <w:pPr>
        <w:jc w:val="both"/>
        <w:ind w:left="567" w:hanging="287"/>
        <w:spacing w:after="0" w:line="252" w:lineRule="auto"/>
        <w:tabs>
          <w:tab w:leader="none" w:pos="567" w:val="left"/>
        </w:tabs>
        <w:numPr>
          <w:ilvl w:val="1"/>
          <w:numId w:val="57"/>
        </w:numPr>
        <w:rPr>
          <w:rFonts w:ascii="Arial" w:cs="Arial" w:eastAsia="Arial" w:hAnsi="Arial"/>
          <w:sz w:val="14"/>
          <w:szCs w:val="14"/>
          <w:b w:val="1"/>
          <w:bCs w:val="1"/>
          <w:color w:val="7CBD3F"/>
        </w:rPr>
      </w:pPr>
      <w:r>
        <w:rPr>
          <w:rFonts w:ascii="Arial" w:cs="Arial" w:eastAsia="Arial" w:hAnsi="Arial"/>
          <w:sz w:val="14"/>
          <w:szCs w:val="14"/>
          <w:color w:val="221E1F"/>
        </w:rPr>
        <w:t>Acceleration of Certain Awards. Subject to Section 7(a)(v) below, the Administrator may (but, for the avoidance of doubt, need not) provide that any Award requiring exercise will become exercisable, in full or in part and/or that the delivery of any shares of Stock remaining deliverable under any outstanding Award of Stock Units (including Restricted Stock Units and Performance Awards to the extent consisting of Stock Units) will be accelerated in full or in part, in each case on a basis that gives the holder of the Award a reasonable opportunity, as determined by the Administrator, following exercise of the Award or the delivery of the shares, as the case may be, to participate as a stockholder in the Covered Transaction.</w:t>
      </w:r>
    </w:p>
    <w:p>
      <w:pPr>
        <w:spacing w:after="0" w:line="40" w:lineRule="exact"/>
        <w:rPr>
          <w:rFonts w:ascii="Arial" w:cs="Arial" w:eastAsia="Arial" w:hAnsi="Arial"/>
          <w:sz w:val="14"/>
          <w:szCs w:val="14"/>
          <w:b w:val="1"/>
          <w:bCs w:val="1"/>
          <w:color w:val="7CBD3F"/>
        </w:rPr>
      </w:pPr>
    </w:p>
    <w:p>
      <w:pPr>
        <w:jc w:val="both"/>
        <w:ind w:left="567" w:hanging="287"/>
        <w:spacing w:after="0" w:line="260" w:lineRule="auto"/>
        <w:tabs>
          <w:tab w:leader="none" w:pos="567" w:val="left"/>
        </w:tabs>
        <w:numPr>
          <w:ilvl w:val="1"/>
          <w:numId w:val="57"/>
        </w:numPr>
        <w:rPr>
          <w:rFonts w:ascii="Arial" w:cs="Arial" w:eastAsia="Arial" w:hAnsi="Arial"/>
          <w:sz w:val="14"/>
          <w:szCs w:val="14"/>
          <w:b w:val="1"/>
          <w:bCs w:val="1"/>
          <w:color w:val="7CBD3F"/>
        </w:rPr>
      </w:pPr>
      <w:r>
        <w:rPr>
          <w:rFonts w:ascii="Arial" w:cs="Arial" w:eastAsia="Arial" w:hAnsi="Arial"/>
          <w:sz w:val="14"/>
          <w:szCs w:val="14"/>
          <w:color w:val="221E1F"/>
        </w:rPr>
        <w:t>Termination of Awards Upon Consummation of Covered Transaction. Except as the Administrator may otherwise determine in any case, each Award will automatically terminate (and in the case of outstanding shares of Restricted Stock, will automatically be forfeited) upon consummation of the Covered Transaction, other than Awards assumed or continued pursuant to Section 7(a)(i) above.</w:t>
      </w:r>
    </w:p>
    <w:p>
      <w:pPr>
        <w:spacing w:after="0" w:line="36" w:lineRule="exact"/>
        <w:rPr>
          <w:rFonts w:ascii="Arial" w:cs="Arial" w:eastAsia="Arial" w:hAnsi="Arial"/>
          <w:sz w:val="14"/>
          <w:szCs w:val="14"/>
          <w:b w:val="1"/>
          <w:bCs w:val="1"/>
          <w:color w:val="7CBD3F"/>
        </w:rPr>
      </w:pPr>
    </w:p>
    <w:p>
      <w:pPr>
        <w:jc w:val="both"/>
        <w:ind w:left="567" w:hanging="287"/>
        <w:spacing w:after="0" w:line="249" w:lineRule="auto"/>
        <w:tabs>
          <w:tab w:leader="none" w:pos="567" w:val="left"/>
        </w:tabs>
        <w:numPr>
          <w:ilvl w:val="1"/>
          <w:numId w:val="57"/>
        </w:numPr>
        <w:rPr>
          <w:rFonts w:ascii="Arial" w:cs="Arial" w:eastAsia="Arial" w:hAnsi="Arial"/>
          <w:sz w:val="14"/>
          <w:szCs w:val="14"/>
          <w:b w:val="1"/>
          <w:bCs w:val="1"/>
          <w:color w:val="7CBD3F"/>
        </w:rPr>
      </w:pPr>
      <w:r>
        <w:rPr>
          <w:rFonts w:ascii="Arial" w:cs="Arial" w:eastAsia="Arial" w:hAnsi="Arial"/>
          <w:sz w:val="14"/>
          <w:szCs w:val="14"/>
          <w:color w:val="auto"/>
        </w:rPr>
        <w:t>Additional Limitations. Any share of Stock and any cash or other property delivered pursuant to Section 7(a)(ii) or Section 7(a)(iii) above with respect to an Award may, in the discretion of the Administrator, contain such restrictions, if any, as the Administrator deems appropriate to reflect any Performance Criteria or other vesting conditions to which the Award was subject and that did not lapse (and were not satisfied) in connection with the Covered Transaction. For purposes of the immediately preceding sentence, a cash-out under Section 7(a)(ii) above or acceleration under Section 7(a)(iii) above will not, in and of itself, be treated as the lapsing (or satisfaction) of a Performance Criteria or other vesting condition. In the case of Restricted Stock that does not vest and is not forfeited in connection with the Covered Transaction, the Administrator may require that any amounts delivered, exchanged or otherwise paid in respect of such Stock in connection with the Covered Transaction be placed in escrow or otherwise made subject to such restrictions as the Administrator deems appropriate to carry out the intent of the Plan.</w:t>
      </w:r>
    </w:p>
    <w:p>
      <w:pPr>
        <w:spacing w:after="0" w:line="54" w:lineRule="exact"/>
        <w:rPr>
          <w:rFonts w:ascii="Arial" w:cs="Arial" w:eastAsia="Arial" w:hAnsi="Arial"/>
          <w:sz w:val="14"/>
          <w:szCs w:val="14"/>
          <w:b w:val="1"/>
          <w:bCs w:val="1"/>
          <w:color w:val="7CBD3F"/>
        </w:rPr>
      </w:pPr>
    </w:p>
    <w:p>
      <w:pPr>
        <w:ind w:left="287" w:hanging="287"/>
        <w:spacing w:after="0"/>
        <w:tabs>
          <w:tab w:leader="none" w:pos="287" w:val="left"/>
        </w:tabs>
        <w:numPr>
          <w:ilvl w:val="0"/>
          <w:numId w:val="57"/>
        </w:numPr>
        <w:rPr>
          <w:rFonts w:ascii="Arial" w:cs="Arial" w:eastAsia="Arial" w:hAnsi="Arial"/>
          <w:sz w:val="14"/>
          <w:szCs w:val="14"/>
          <w:b w:val="1"/>
          <w:bCs w:val="1"/>
          <w:color w:val="7CBD3F"/>
        </w:rPr>
      </w:pPr>
      <w:r>
        <w:rPr>
          <w:rFonts w:ascii="Arial" w:cs="Arial" w:eastAsia="Arial" w:hAnsi="Arial"/>
          <w:sz w:val="14"/>
          <w:szCs w:val="14"/>
          <w:color w:val="auto"/>
        </w:rPr>
        <w:t>Changes in and Distributions With Respect to Stock.</w:t>
      </w:r>
    </w:p>
    <w:p>
      <w:pPr>
        <w:spacing w:after="0" w:line="83" w:lineRule="exact"/>
        <w:rPr>
          <w:rFonts w:ascii="Arial" w:cs="Arial" w:eastAsia="Arial" w:hAnsi="Arial"/>
          <w:sz w:val="14"/>
          <w:szCs w:val="14"/>
          <w:b w:val="1"/>
          <w:bCs w:val="1"/>
          <w:color w:val="7CBD3F"/>
        </w:rPr>
      </w:pPr>
    </w:p>
    <w:p>
      <w:pPr>
        <w:jc w:val="both"/>
        <w:ind w:left="567" w:hanging="287"/>
        <w:spacing w:after="0" w:line="252" w:lineRule="auto"/>
        <w:tabs>
          <w:tab w:leader="none" w:pos="567" w:val="left"/>
        </w:tabs>
        <w:numPr>
          <w:ilvl w:val="1"/>
          <w:numId w:val="57"/>
        </w:numPr>
        <w:rPr>
          <w:rFonts w:ascii="Arial" w:cs="Arial" w:eastAsia="Arial" w:hAnsi="Arial"/>
          <w:sz w:val="14"/>
          <w:szCs w:val="14"/>
          <w:b w:val="1"/>
          <w:bCs w:val="1"/>
          <w:color w:val="7CBD3F"/>
        </w:rPr>
      </w:pPr>
      <w:r>
        <w:rPr>
          <w:rFonts w:ascii="Arial" w:cs="Arial" w:eastAsia="Arial" w:hAnsi="Arial"/>
          <w:sz w:val="14"/>
          <w:szCs w:val="14"/>
          <w:color w:val="221E1F"/>
        </w:rPr>
        <w:t>Basic Adjustment Provisions. In the event of a stock dividend, stock split or combination of shares (including a reverse stock split), recapitalization or other change in the Company’s capital structure that constitutes an equity restructuring within the meaning of FASB ASC 718, the Administrator will make appropriate adjustments to the maximum number of shares specified in Section 4(a) that may be delivered under the Plan and will also make appropriate adjustments to the number and kind of shares of stock or securities subject to Awards then outstanding or subsequently granted, any exercise prices relating to Awards and any other provision of Awards affected by such change.</w:t>
      </w:r>
    </w:p>
    <w:p>
      <w:pPr>
        <w:spacing w:after="0" w:line="40" w:lineRule="exact"/>
        <w:rPr>
          <w:rFonts w:ascii="Arial" w:cs="Arial" w:eastAsia="Arial" w:hAnsi="Arial"/>
          <w:sz w:val="14"/>
          <w:szCs w:val="14"/>
          <w:b w:val="1"/>
          <w:bCs w:val="1"/>
          <w:color w:val="7CBD3F"/>
        </w:rPr>
      </w:pPr>
    </w:p>
    <w:p>
      <w:pPr>
        <w:ind w:left="567" w:hanging="287"/>
        <w:spacing w:after="0" w:line="278" w:lineRule="auto"/>
        <w:tabs>
          <w:tab w:leader="none" w:pos="567" w:val="left"/>
        </w:tabs>
        <w:numPr>
          <w:ilvl w:val="1"/>
          <w:numId w:val="57"/>
        </w:numPr>
        <w:rPr>
          <w:rFonts w:ascii="Arial" w:cs="Arial" w:eastAsia="Arial" w:hAnsi="Arial"/>
          <w:sz w:val="14"/>
          <w:szCs w:val="14"/>
          <w:b w:val="1"/>
          <w:bCs w:val="1"/>
          <w:color w:val="7CBD3F"/>
        </w:rPr>
      </w:pPr>
      <w:r>
        <w:rPr>
          <w:rFonts w:ascii="Arial" w:cs="Arial" w:eastAsia="Arial" w:hAnsi="Arial"/>
          <w:sz w:val="14"/>
          <w:szCs w:val="14"/>
          <w:color w:val="221E1F"/>
        </w:rPr>
        <w:t>Certain Other Adjustments. The Administrator may also make adjustments of the type described in Section 7(b)(i) above to take into account distributions to stockholders other than</w:t>
      </w:r>
    </w:p>
    <w:p>
      <w:pPr>
        <w:spacing w:after="0" w:line="117"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221E1F"/>
        </w:rPr>
        <w:t xml:space="preserve">ULTRAGENYX PHARMACEUTICAL INC. </w:t>
      </w:r>
      <w:r>
        <w:rPr>
          <w:rFonts w:ascii="Arial" w:cs="Arial" w:eastAsia="Arial" w:hAnsi="Arial"/>
          <w:sz w:val="14"/>
          <w:szCs w:val="14"/>
          <w:color w:val="7BBD3E"/>
        </w:rPr>
        <w:t>•</w:t>
      </w:r>
      <w:r>
        <w:rPr>
          <w:rFonts w:ascii="Arial" w:cs="Arial" w:eastAsia="Arial" w:hAnsi="Arial"/>
          <w:sz w:val="14"/>
          <w:szCs w:val="14"/>
          <w:b w:val="1"/>
          <w:bCs w:val="1"/>
          <w:color w:val="221E1F"/>
        </w:rPr>
        <w:t xml:space="preserve"> </w:t>
      </w:r>
      <w:r>
        <w:rPr>
          <w:rFonts w:ascii="Arial" w:cs="Arial" w:eastAsia="Arial" w:hAnsi="Arial"/>
          <w:sz w:val="14"/>
          <w:szCs w:val="14"/>
          <w:color w:val="221E1F"/>
        </w:rPr>
        <w:t>2025 Proxy Statement</w:t>
      </w:r>
      <w:r>
        <w:rPr>
          <w:rFonts w:ascii="Arial" w:cs="Arial" w:eastAsia="Arial" w:hAnsi="Arial"/>
          <w:sz w:val="14"/>
          <w:szCs w:val="14"/>
          <w:b w:val="1"/>
          <w:bCs w:val="1"/>
          <w:color w:val="221E1F"/>
        </w:rPr>
        <w:tab/>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150735" cy="298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0735" cy="29845"/>
                    </a:xfrm>
                    <a:prstGeom prst="rect">
                      <a:avLst/>
                    </a:prstGeom>
                    <a:noFill/>
                  </pic:spPr>
                </pic:pic>
              </a:graphicData>
            </a:graphic>
          </wp:anchor>
        </w:drawing>
      </w:r>
    </w:p>
    <w:p>
      <w:pPr>
        <w:sectPr>
          <w:pgSz w:w="11900" w:h="16838" w:orient="portrait"/>
          <w:cols w:equalWidth="0" w:num="1">
            <w:col w:w="11267"/>
          </w:cols>
          <w:pgMar w:left="313" w:top="225" w:right="319" w:bottom="1440" w:gutter="0" w:footer="0" w:header="0"/>
        </w:sectPr>
      </w:pPr>
    </w:p>
    <w:bookmarkStart w:id="78" w:name="page79"/>
    <w:bookmarkEnd w:id="78"/>
    <w:p>
      <w:pPr>
        <w:ind w:left="7"/>
        <w:spacing w:after="0"/>
        <w:rPr>
          <w:sz w:val="20"/>
          <w:szCs w:val="20"/>
          <w:color w:val="auto"/>
        </w:rPr>
      </w:pPr>
      <w:r>
        <w:rPr>
          <w:rFonts w:ascii="Arial" w:cs="Arial" w:eastAsia="Arial" w:hAnsi="Arial"/>
          <w:sz w:val="12"/>
          <w:szCs w:val="12"/>
          <w:b w:val="1"/>
          <w:bCs w:val="1"/>
          <w:u w:val="single" w:color="auto"/>
          <w:color w:val="0000EE"/>
        </w:rPr>
        <w:t>Back to Contents</w:t>
      </w:r>
    </w:p>
    <w:p>
      <w:pPr>
        <w:spacing w:after="0" w:line="149" w:lineRule="exact"/>
        <w:rPr>
          <w:sz w:val="20"/>
          <w:szCs w:val="20"/>
          <w:color w:val="auto"/>
        </w:rPr>
      </w:pPr>
    </w:p>
    <w:p>
      <w:pPr>
        <w:ind w:left="567" w:right="20"/>
        <w:spacing w:after="0" w:line="278" w:lineRule="auto"/>
        <w:rPr>
          <w:sz w:val="20"/>
          <w:szCs w:val="20"/>
          <w:color w:val="auto"/>
        </w:rPr>
      </w:pPr>
      <w:r>
        <w:rPr>
          <w:rFonts w:ascii="Arial" w:cs="Arial" w:eastAsia="Arial" w:hAnsi="Arial"/>
          <w:sz w:val="14"/>
          <w:szCs w:val="14"/>
          <w:color w:val="auto"/>
        </w:rPr>
        <w:t>those provided for in Section 7(a) and 7(b)(i), or any other event, if the Administrator determines that adjustments are appropriate to avoid distortion in the operation of the Plan, having due regard for the qualification of ISOs under Section 422 and the requirements of Section 409A, where applicable.</w:t>
      </w:r>
    </w:p>
    <w:p>
      <w:pPr>
        <w:spacing w:after="0" w:line="23" w:lineRule="exact"/>
        <w:rPr>
          <w:sz w:val="20"/>
          <w:szCs w:val="20"/>
          <w:color w:val="auto"/>
        </w:rPr>
      </w:pPr>
    </w:p>
    <w:p>
      <w:pPr>
        <w:ind w:left="567" w:right="20" w:hanging="287"/>
        <w:spacing w:after="0" w:line="278" w:lineRule="auto"/>
        <w:tabs>
          <w:tab w:leader="none" w:pos="567" w:val="left"/>
        </w:tabs>
        <w:numPr>
          <w:ilvl w:val="1"/>
          <w:numId w:val="58"/>
        </w:numPr>
        <w:rPr>
          <w:rFonts w:ascii="Arial" w:cs="Arial" w:eastAsia="Arial" w:hAnsi="Arial"/>
          <w:sz w:val="14"/>
          <w:szCs w:val="14"/>
          <w:b w:val="1"/>
          <w:bCs w:val="1"/>
          <w:color w:val="7CBD3F"/>
        </w:rPr>
      </w:pPr>
      <w:r>
        <w:rPr>
          <w:rFonts w:ascii="Arial" w:cs="Arial" w:eastAsia="Arial" w:hAnsi="Arial"/>
          <w:sz w:val="14"/>
          <w:szCs w:val="14"/>
          <w:color w:val="auto"/>
        </w:rPr>
        <w:t>Continuing Application of Plan Terms. References in the Plan to shares of Stock will be construed to include any stock or securities resulting from an adjustment pursuant to this Section 7.</w:t>
      </w:r>
    </w:p>
    <w:p>
      <w:pPr>
        <w:spacing w:after="0" w:line="271" w:lineRule="exact"/>
        <w:rPr>
          <w:rFonts w:ascii="Arial" w:cs="Arial" w:eastAsia="Arial" w:hAnsi="Arial"/>
          <w:sz w:val="14"/>
          <w:szCs w:val="14"/>
          <w:b w:val="1"/>
          <w:bCs w:val="1"/>
          <w:color w:val="7CBD3F"/>
        </w:rPr>
      </w:pPr>
    </w:p>
    <w:p>
      <w:pPr>
        <w:ind w:left="307" w:hanging="307"/>
        <w:spacing w:after="0"/>
        <w:tabs>
          <w:tab w:leader="none" w:pos="307" w:val="left"/>
        </w:tabs>
        <w:numPr>
          <w:ilvl w:val="0"/>
          <w:numId w:val="59"/>
        </w:numPr>
        <w:rPr>
          <w:rFonts w:ascii="Arial" w:cs="Arial" w:eastAsia="Arial" w:hAnsi="Arial"/>
          <w:sz w:val="22"/>
          <w:szCs w:val="22"/>
          <w:b w:val="1"/>
          <w:bCs w:val="1"/>
          <w:color w:val="auto"/>
        </w:rPr>
      </w:pPr>
      <w:r>
        <w:rPr>
          <w:rFonts w:ascii="Arial" w:cs="Arial" w:eastAsia="Arial" w:hAnsi="Arial"/>
          <w:sz w:val="22"/>
          <w:szCs w:val="22"/>
          <w:b w:val="1"/>
          <w:bCs w:val="1"/>
          <w:color w:val="auto"/>
        </w:rPr>
        <w:t>Legal Conditions on Delivery of Stock</w:t>
      </w:r>
    </w:p>
    <w:p>
      <w:pPr>
        <w:spacing w:after="0" w:line="222" w:lineRule="exact"/>
        <w:rPr>
          <w:sz w:val="20"/>
          <w:szCs w:val="20"/>
          <w:color w:val="auto"/>
        </w:rPr>
      </w:pPr>
    </w:p>
    <w:p>
      <w:pPr>
        <w:jc w:val="both"/>
        <w:ind w:left="7"/>
        <w:spacing w:after="0" w:line="247" w:lineRule="auto"/>
        <w:rPr>
          <w:sz w:val="20"/>
          <w:szCs w:val="20"/>
          <w:color w:val="auto"/>
        </w:rPr>
      </w:pPr>
      <w:r>
        <w:rPr>
          <w:rFonts w:ascii="Arial" w:cs="Arial" w:eastAsia="Arial" w:hAnsi="Arial"/>
          <w:sz w:val="14"/>
          <w:szCs w:val="14"/>
          <w:color w:val="221E1F"/>
        </w:rPr>
        <w:t>The Company will not be obligated to deliver any shares of Stock pursuant to the Plan or to remove any restriction from shares of Stock previously delivered under the Plan until: (a) the Company is satisfied that all legal matters in connection with the issuance and delivery of such shares have been addressed and resolved; (b) if the outstanding Stock is at the time of delivery listed on any stock exchange or national market system, the shares to be delivered have been listed or authorized to be listed on such exchange or system upon official notice of issuance; and (c) all conditions of the Award have been satisfied or waived. The Company may require, as a condition to exercise of the Award, such representations or agreements as counsel for the Company may consider appropriate to avoid violation of the Securities Act or any applicable state or non-U.S. securities law. Any Stock required to be issued to Participants under the Plan will be evidenced in such manner as the Administrator may deem appropriate, including book-entry registration or delivery of stock certificates. In the event that the Administrator determines that Stock certificates will be issued to Participants under the Plan, the Administrator may require that certificates evidencing Stock issued under the Plan bear an appropriate legend reflecting any restriction on transfer applicable to such Stock, and the Company may hold the certificates pending lapse of the applicable restrictions.</w:t>
      </w:r>
    </w:p>
    <w:p>
      <w:pPr>
        <w:spacing w:after="0" w:line="296" w:lineRule="exact"/>
        <w:rPr>
          <w:sz w:val="20"/>
          <w:szCs w:val="20"/>
          <w:color w:val="auto"/>
        </w:rPr>
      </w:pPr>
    </w:p>
    <w:p>
      <w:pPr>
        <w:ind w:left="7"/>
        <w:spacing w:after="0"/>
        <w:rPr>
          <w:sz w:val="20"/>
          <w:szCs w:val="20"/>
          <w:color w:val="auto"/>
        </w:rPr>
      </w:pPr>
      <w:r>
        <w:rPr>
          <w:rFonts w:ascii="Arial" w:cs="Arial" w:eastAsia="Arial" w:hAnsi="Arial"/>
          <w:sz w:val="22"/>
          <w:szCs w:val="22"/>
          <w:b w:val="1"/>
          <w:bCs w:val="1"/>
          <w:color w:val="auto"/>
        </w:rPr>
        <w:t>9. Amendment and Termination</w:t>
      </w:r>
    </w:p>
    <w:p>
      <w:pPr>
        <w:spacing w:after="0" w:line="222" w:lineRule="exact"/>
        <w:rPr>
          <w:sz w:val="20"/>
          <w:szCs w:val="20"/>
          <w:color w:val="auto"/>
        </w:rPr>
      </w:pPr>
    </w:p>
    <w:p>
      <w:pPr>
        <w:jc w:val="both"/>
        <w:ind w:left="7"/>
        <w:spacing w:after="0" w:line="252" w:lineRule="auto"/>
        <w:rPr>
          <w:sz w:val="20"/>
          <w:szCs w:val="20"/>
          <w:color w:val="auto"/>
        </w:rPr>
      </w:pPr>
      <w:r>
        <w:rPr>
          <w:rFonts w:ascii="Arial" w:cs="Arial" w:eastAsia="Arial" w:hAnsi="Arial"/>
          <w:sz w:val="14"/>
          <w:szCs w:val="14"/>
          <w:color w:val="auto"/>
        </w:rPr>
        <w:t>The Administrator may at any time or times amend the Plan or any outstanding Award for any purpose which may at the time be permitted by law, and may at any time terminate the Plan as to any future grants of Awards; provided, that except as otherwise expressly provided in the Plan the Administrator may not, without the Participant’s consent, alter the terms of an Award so as to affect materially and adversely the Participant’s rights under the Award, unless the Administrator expressly reserved the right to do so at the time the Award was granted. Any amendments to the Plan will be conditioned upon stockholder approval only to the extent, if any, such approval is required by law (including the Code and applicable stock exchange requirements), as determined by the Administrator.</w:t>
      </w:r>
    </w:p>
    <w:p>
      <w:pPr>
        <w:spacing w:after="0" w:line="289" w:lineRule="exact"/>
        <w:rPr>
          <w:sz w:val="20"/>
          <w:szCs w:val="20"/>
          <w:color w:val="auto"/>
        </w:rPr>
      </w:pPr>
    </w:p>
    <w:p>
      <w:pPr>
        <w:ind w:left="7"/>
        <w:spacing w:after="0"/>
        <w:rPr>
          <w:sz w:val="20"/>
          <w:szCs w:val="20"/>
          <w:color w:val="auto"/>
        </w:rPr>
      </w:pPr>
      <w:r>
        <w:rPr>
          <w:rFonts w:ascii="Arial" w:cs="Arial" w:eastAsia="Arial" w:hAnsi="Arial"/>
          <w:sz w:val="22"/>
          <w:szCs w:val="22"/>
          <w:b w:val="1"/>
          <w:bCs w:val="1"/>
          <w:color w:val="auto"/>
        </w:rPr>
        <w:t>10. Other Compensation Arrangements</w:t>
      </w:r>
    </w:p>
    <w:p>
      <w:pPr>
        <w:spacing w:after="0" w:line="222" w:lineRule="exact"/>
        <w:rPr>
          <w:sz w:val="20"/>
          <w:szCs w:val="20"/>
          <w:color w:val="auto"/>
        </w:rPr>
      </w:pPr>
    </w:p>
    <w:p>
      <w:pPr>
        <w:jc w:val="both"/>
        <w:ind w:left="7" w:right="20"/>
        <w:spacing w:after="0" w:line="278" w:lineRule="auto"/>
        <w:rPr>
          <w:sz w:val="20"/>
          <w:szCs w:val="20"/>
          <w:color w:val="auto"/>
        </w:rPr>
      </w:pPr>
      <w:r>
        <w:rPr>
          <w:rFonts w:ascii="Arial" w:cs="Arial" w:eastAsia="Arial" w:hAnsi="Arial"/>
          <w:sz w:val="14"/>
          <w:szCs w:val="14"/>
          <w:color w:val="auto"/>
        </w:rPr>
        <w:t>The existence of the Plan or the grant of any Award will not in any way affect the Company’s right to Award a person bonuses or other compensation in addition to Awards under the Plan.</w:t>
      </w:r>
    </w:p>
    <w:p>
      <w:pPr>
        <w:spacing w:after="0" w:line="272" w:lineRule="exact"/>
        <w:rPr>
          <w:sz w:val="20"/>
          <w:szCs w:val="20"/>
          <w:color w:val="auto"/>
        </w:rPr>
      </w:pPr>
    </w:p>
    <w:p>
      <w:pPr>
        <w:ind w:left="7"/>
        <w:spacing w:after="0"/>
        <w:rPr>
          <w:sz w:val="20"/>
          <w:szCs w:val="20"/>
          <w:color w:val="auto"/>
        </w:rPr>
      </w:pPr>
      <w:r>
        <w:rPr>
          <w:rFonts w:ascii="Arial" w:cs="Arial" w:eastAsia="Arial" w:hAnsi="Arial"/>
          <w:sz w:val="22"/>
          <w:szCs w:val="22"/>
          <w:b w:val="1"/>
          <w:bCs w:val="1"/>
          <w:color w:val="auto"/>
        </w:rPr>
        <w:t>11. Miscellaneous</w:t>
      </w:r>
    </w:p>
    <w:p>
      <w:pPr>
        <w:spacing w:after="0" w:line="222" w:lineRule="exact"/>
        <w:rPr>
          <w:sz w:val="20"/>
          <w:szCs w:val="20"/>
          <w:color w:val="auto"/>
        </w:rPr>
      </w:pPr>
    </w:p>
    <w:p>
      <w:pPr>
        <w:jc w:val="both"/>
        <w:ind w:left="287" w:hanging="287"/>
        <w:spacing w:after="0" w:line="248" w:lineRule="auto"/>
        <w:tabs>
          <w:tab w:leader="none" w:pos="287" w:val="left"/>
        </w:tabs>
        <w:numPr>
          <w:ilvl w:val="0"/>
          <w:numId w:val="60"/>
        </w:numPr>
        <w:rPr>
          <w:rFonts w:ascii="Arial" w:cs="Arial" w:eastAsia="Arial" w:hAnsi="Arial"/>
          <w:sz w:val="14"/>
          <w:szCs w:val="14"/>
          <w:b w:val="1"/>
          <w:bCs w:val="1"/>
          <w:color w:val="7CBD3F"/>
        </w:rPr>
      </w:pPr>
      <w:r>
        <w:rPr>
          <w:rFonts w:ascii="Arial" w:cs="Arial" w:eastAsia="Arial" w:hAnsi="Arial"/>
          <w:sz w:val="14"/>
          <w:szCs w:val="14"/>
          <w:color w:val="221E1F"/>
        </w:rPr>
        <w:t>Waiver of Jury Trial. By accepting an Award under the Plan and to the extent permitted under applicable law, each Participant waives any right to a trial by jury in any action, proceeding or counterclaim concerning any rights under the Plan and any Award, or under any amendment, waiver, consent, instrument, document or other agreement delivered or which in the future may be delivered in connection therewith, and agrees that any such action, proceedings or counterclaim will be tried before a court and not before a jury. By accepting an Award under the Plan, each Participant certifies that no officer, representative, or attorney of the Company has represented, expressly or otherwise, that the Company would not, in the event of any action, proceeding or counterclaim, seek to enforce the foregoing waivers. Notwithstanding anything to the contrary in the Plan, nothing herein is to be construed as limiting the ability of the Company and a Participant to agree to submit disputes arising under the terms of the Plan or any Award made hereunder to binding arbitration or as limiting the ability of the Company to require any eligible individual to agree to submit such disputes to binding arbitration as a condition of receiving an Award hereunder.</w:t>
      </w:r>
    </w:p>
    <w:p>
      <w:pPr>
        <w:spacing w:after="0" w:line="44" w:lineRule="exact"/>
        <w:rPr>
          <w:rFonts w:ascii="Arial" w:cs="Arial" w:eastAsia="Arial" w:hAnsi="Arial"/>
          <w:sz w:val="14"/>
          <w:szCs w:val="14"/>
          <w:b w:val="1"/>
          <w:bCs w:val="1"/>
          <w:color w:val="7CBD3F"/>
        </w:rPr>
      </w:pPr>
    </w:p>
    <w:p>
      <w:pPr>
        <w:jc w:val="both"/>
        <w:ind w:left="287" w:hanging="287"/>
        <w:spacing w:after="0" w:line="255" w:lineRule="auto"/>
        <w:tabs>
          <w:tab w:leader="none" w:pos="287" w:val="left"/>
        </w:tabs>
        <w:numPr>
          <w:ilvl w:val="0"/>
          <w:numId w:val="60"/>
        </w:numPr>
        <w:rPr>
          <w:rFonts w:ascii="Arial" w:cs="Arial" w:eastAsia="Arial" w:hAnsi="Arial"/>
          <w:sz w:val="14"/>
          <w:szCs w:val="14"/>
          <w:b w:val="1"/>
          <w:bCs w:val="1"/>
          <w:color w:val="7CBD3F"/>
        </w:rPr>
      </w:pPr>
      <w:r>
        <w:rPr>
          <w:rFonts w:ascii="Arial" w:cs="Arial" w:eastAsia="Arial" w:hAnsi="Arial"/>
          <w:sz w:val="14"/>
          <w:szCs w:val="14"/>
          <w:color w:val="auto"/>
        </w:rPr>
        <w:t>Limitation of Liability. Notwithstanding anything to the contrary in the Plan, neither the Company, nor any Affiliate, nor the Administrator, nor any person acting on behalf of the Company, any Affiliate, or the Administrator, will be liable to any Participant or to the estate or beneficiary of any Participant or to any other holder of an Award by reason of any acceleration of income, or any additional tax (including any interest and penalties), asserted by reason of the failure of an Award to satisfy the requirements of Section 422 or Section 409A or by reason of Section 4999 of the Code, or otherwise asserted with respect to the Award.</w:t>
      </w:r>
    </w:p>
    <w:p>
      <w:pPr>
        <w:spacing w:after="0" w:line="132"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221E1F"/>
        </w:rPr>
        <w:t xml:space="preserve">ULTRAGENYX PHARMACEUTICAL INC. </w:t>
      </w:r>
      <w:r>
        <w:rPr>
          <w:rFonts w:ascii="Arial" w:cs="Arial" w:eastAsia="Arial" w:hAnsi="Arial"/>
          <w:sz w:val="14"/>
          <w:szCs w:val="14"/>
          <w:color w:val="7BBD3E"/>
        </w:rPr>
        <w:t>•</w:t>
      </w:r>
      <w:r>
        <w:rPr>
          <w:rFonts w:ascii="Arial" w:cs="Arial" w:eastAsia="Arial" w:hAnsi="Arial"/>
          <w:sz w:val="14"/>
          <w:szCs w:val="14"/>
          <w:b w:val="1"/>
          <w:bCs w:val="1"/>
          <w:color w:val="221E1F"/>
        </w:rPr>
        <w:t xml:space="preserve"> </w:t>
      </w:r>
      <w:r>
        <w:rPr>
          <w:rFonts w:ascii="Arial" w:cs="Arial" w:eastAsia="Arial" w:hAnsi="Arial"/>
          <w:sz w:val="14"/>
          <w:szCs w:val="14"/>
          <w:color w:val="221E1F"/>
        </w:rPr>
        <w:t>2025 Proxy Statement</w:t>
      </w:r>
      <w:r>
        <w:rPr>
          <w:rFonts w:ascii="Arial" w:cs="Arial" w:eastAsia="Arial" w:hAnsi="Arial"/>
          <w:sz w:val="14"/>
          <w:szCs w:val="14"/>
          <w:b w:val="1"/>
          <w:bCs w:val="1"/>
          <w:color w:val="221E1F"/>
        </w:rPr>
        <w:tab/>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150735" cy="298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0735" cy="29845"/>
                    </a:xfrm>
                    <a:prstGeom prst="rect">
                      <a:avLst/>
                    </a:prstGeom>
                    <a:noFill/>
                  </pic:spPr>
                </pic:pic>
              </a:graphicData>
            </a:graphic>
          </wp:anchor>
        </w:drawing>
      </w:r>
    </w:p>
    <w:p>
      <w:pPr>
        <w:sectPr>
          <w:pgSz w:w="11900" w:h="16838" w:orient="portrait"/>
          <w:cols w:equalWidth="0" w:num="1">
            <w:col w:w="11267"/>
          </w:cols>
          <w:pgMar w:left="313" w:top="225" w:right="319" w:bottom="1440" w:gutter="0" w:footer="0" w:header="0"/>
        </w:sectPr>
      </w:pPr>
    </w:p>
    <w:bookmarkStart w:id="79" w:name="page80"/>
    <w:bookmarkEnd w:id="79"/>
    <w:p>
      <w:pPr>
        <w:ind w:left="7"/>
        <w:spacing w:after="0"/>
        <w:rPr>
          <w:sz w:val="20"/>
          <w:szCs w:val="20"/>
          <w:color w:val="auto"/>
        </w:rPr>
      </w:pPr>
      <w:r>
        <w:rPr>
          <w:rFonts w:ascii="Arial" w:cs="Arial" w:eastAsia="Arial" w:hAnsi="Arial"/>
          <w:sz w:val="12"/>
          <w:szCs w:val="12"/>
          <w:b w:val="1"/>
          <w:bCs w:val="1"/>
          <w:u w:val="single" w:color="auto"/>
          <w:color w:val="0000EE"/>
        </w:rPr>
        <w:t>Back to Contents</w:t>
      </w:r>
    </w:p>
    <w:p>
      <w:pPr>
        <w:spacing w:after="0" w:line="141" w:lineRule="exact"/>
        <w:rPr>
          <w:sz w:val="20"/>
          <w:szCs w:val="20"/>
          <w:color w:val="auto"/>
        </w:rPr>
      </w:pPr>
    </w:p>
    <w:p>
      <w:pPr>
        <w:ind w:left="7"/>
        <w:spacing w:after="0"/>
        <w:rPr>
          <w:sz w:val="20"/>
          <w:szCs w:val="20"/>
          <w:color w:val="auto"/>
        </w:rPr>
      </w:pPr>
      <w:r>
        <w:rPr>
          <w:rFonts w:ascii="Arial" w:cs="Arial" w:eastAsia="Arial" w:hAnsi="Arial"/>
          <w:sz w:val="22"/>
          <w:szCs w:val="22"/>
          <w:b w:val="1"/>
          <w:bCs w:val="1"/>
          <w:color w:val="auto"/>
        </w:rPr>
        <w:t>12.  Establishment of Sub-Plans</w:t>
      </w:r>
    </w:p>
    <w:p>
      <w:pPr>
        <w:spacing w:after="0" w:line="222" w:lineRule="exact"/>
        <w:rPr>
          <w:sz w:val="20"/>
          <w:szCs w:val="20"/>
          <w:color w:val="auto"/>
        </w:rPr>
      </w:pPr>
    </w:p>
    <w:p>
      <w:pPr>
        <w:jc w:val="both"/>
        <w:ind w:left="7"/>
        <w:spacing w:after="0" w:line="255" w:lineRule="auto"/>
        <w:rPr>
          <w:sz w:val="20"/>
          <w:szCs w:val="20"/>
          <w:color w:val="auto"/>
        </w:rPr>
      </w:pPr>
      <w:r>
        <w:rPr>
          <w:rFonts w:ascii="Arial" w:cs="Arial" w:eastAsia="Arial" w:hAnsi="Arial"/>
          <w:sz w:val="14"/>
          <w:szCs w:val="14"/>
          <w:color w:val="221E1F"/>
        </w:rPr>
        <w:t>The Administrator may from time to time establish one or more sub-plans under the Plan for purposes of satisfying applicable blue sky, securities or tax laws of various jurisdictions. The Administrator will establish such sub-plans by adopting supplements to the Plan setting forth (a) such limitations on the Administrator’s discretion under the Plan as it deems necessary or desirable and (b) such additional terms and conditions not otherwise inconsistent with the Plan as it deems necessary or desirable. All supplements so established will be deemed to be part of the Plan, but each supplement will apply only to Participants within the affected jurisdiction (as determined by the Administrator).</w:t>
      </w:r>
    </w:p>
    <w:p>
      <w:pPr>
        <w:spacing w:after="0" w:line="287" w:lineRule="exact"/>
        <w:rPr>
          <w:sz w:val="20"/>
          <w:szCs w:val="20"/>
          <w:color w:val="auto"/>
        </w:rPr>
      </w:pPr>
    </w:p>
    <w:p>
      <w:pPr>
        <w:ind w:left="7"/>
        <w:spacing w:after="0"/>
        <w:rPr>
          <w:sz w:val="20"/>
          <w:szCs w:val="20"/>
          <w:color w:val="auto"/>
        </w:rPr>
      </w:pPr>
      <w:r>
        <w:rPr>
          <w:rFonts w:ascii="Arial" w:cs="Arial" w:eastAsia="Arial" w:hAnsi="Arial"/>
          <w:sz w:val="22"/>
          <w:szCs w:val="22"/>
          <w:b w:val="1"/>
          <w:bCs w:val="1"/>
          <w:color w:val="auto"/>
        </w:rPr>
        <w:t>13.  Governing Law</w:t>
      </w:r>
    </w:p>
    <w:p>
      <w:pPr>
        <w:spacing w:after="0" w:line="222" w:lineRule="exact"/>
        <w:rPr>
          <w:sz w:val="20"/>
          <w:szCs w:val="20"/>
          <w:color w:val="auto"/>
        </w:rPr>
      </w:pPr>
    </w:p>
    <w:p>
      <w:pPr>
        <w:jc w:val="both"/>
        <w:ind w:left="287" w:hanging="287"/>
        <w:spacing w:after="0" w:line="260" w:lineRule="auto"/>
        <w:tabs>
          <w:tab w:leader="none" w:pos="287" w:val="left"/>
        </w:tabs>
        <w:numPr>
          <w:ilvl w:val="0"/>
          <w:numId w:val="61"/>
        </w:numPr>
        <w:rPr>
          <w:rFonts w:ascii="Arial" w:cs="Arial" w:eastAsia="Arial" w:hAnsi="Arial"/>
          <w:sz w:val="14"/>
          <w:szCs w:val="14"/>
          <w:b w:val="1"/>
          <w:bCs w:val="1"/>
          <w:color w:val="7CBD3F"/>
        </w:rPr>
      </w:pPr>
      <w:r>
        <w:rPr>
          <w:rFonts w:ascii="Arial" w:cs="Arial" w:eastAsia="Arial" w:hAnsi="Arial"/>
          <w:sz w:val="14"/>
          <w:szCs w:val="14"/>
          <w:color w:val="auto"/>
        </w:rPr>
        <w:t>Certain Requirements of Corporate Law. Awards will be granted and administered consistent with the requirements of applicable Delaware law relating to the issuance of stock and the consideration to be received therefor, and with the applicable requirements of the stock exchanges or other trading systems on which the Stock is listed or entered for trading, in each case as determined by the Administrator.</w:t>
      </w:r>
    </w:p>
    <w:p>
      <w:pPr>
        <w:spacing w:after="0" w:line="36" w:lineRule="exact"/>
        <w:rPr>
          <w:rFonts w:ascii="Arial" w:cs="Arial" w:eastAsia="Arial" w:hAnsi="Arial"/>
          <w:sz w:val="14"/>
          <w:szCs w:val="14"/>
          <w:b w:val="1"/>
          <w:bCs w:val="1"/>
          <w:color w:val="7CBD3F"/>
        </w:rPr>
      </w:pPr>
    </w:p>
    <w:p>
      <w:pPr>
        <w:jc w:val="both"/>
        <w:ind w:left="287" w:right="20" w:hanging="287"/>
        <w:spacing w:after="0" w:line="255" w:lineRule="auto"/>
        <w:tabs>
          <w:tab w:leader="none" w:pos="287" w:val="left"/>
        </w:tabs>
        <w:numPr>
          <w:ilvl w:val="0"/>
          <w:numId w:val="61"/>
        </w:numPr>
        <w:rPr>
          <w:rFonts w:ascii="Arial" w:cs="Arial" w:eastAsia="Arial" w:hAnsi="Arial"/>
          <w:sz w:val="14"/>
          <w:szCs w:val="14"/>
          <w:b w:val="1"/>
          <w:bCs w:val="1"/>
          <w:color w:val="7CBD3F"/>
        </w:rPr>
      </w:pPr>
      <w:r>
        <w:rPr>
          <w:rFonts w:ascii="Arial" w:cs="Arial" w:eastAsia="Arial" w:hAnsi="Arial"/>
          <w:sz w:val="14"/>
          <w:szCs w:val="14"/>
          <w:color w:val="221E1F"/>
        </w:rPr>
        <w:t>Other Matters. Except as otherwise provided by the express terms of an Award agreement, under a sub-plan described in Section 12 or as provided in Section 13(a) above, the provisions of the Plan and of Awards under the Plan and all claims or disputes arising out of or based upon the Plan or any Award under the Plan or relating to the subject matter hereof or thereof will be governed by and construed in accordance with the domestic substantive laws of the State of Delaware without giving effect to any choice or conflict of laws provision or rule that would cause the application of the domestic substantive laws of any other jurisdiction.</w:t>
      </w:r>
    </w:p>
    <w:p>
      <w:pPr>
        <w:spacing w:after="0" w:line="38" w:lineRule="exact"/>
        <w:rPr>
          <w:rFonts w:ascii="Arial" w:cs="Arial" w:eastAsia="Arial" w:hAnsi="Arial"/>
          <w:sz w:val="14"/>
          <w:szCs w:val="14"/>
          <w:b w:val="1"/>
          <w:bCs w:val="1"/>
          <w:color w:val="7CBD3F"/>
        </w:rPr>
      </w:pPr>
    </w:p>
    <w:p>
      <w:pPr>
        <w:jc w:val="both"/>
        <w:ind w:left="287" w:hanging="287"/>
        <w:spacing w:after="0" w:line="249" w:lineRule="auto"/>
        <w:tabs>
          <w:tab w:leader="none" w:pos="287" w:val="left"/>
        </w:tabs>
        <w:numPr>
          <w:ilvl w:val="0"/>
          <w:numId w:val="61"/>
        </w:numPr>
        <w:rPr>
          <w:rFonts w:ascii="Arial" w:cs="Arial" w:eastAsia="Arial" w:hAnsi="Arial"/>
          <w:sz w:val="14"/>
          <w:szCs w:val="14"/>
          <w:b w:val="1"/>
          <w:bCs w:val="1"/>
          <w:color w:val="7CBD3F"/>
        </w:rPr>
      </w:pPr>
      <w:r>
        <w:rPr>
          <w:rFonts w:ascii="Arial" w:cs="Arial" w:eastAsia="Arial" w:hAnsi="Arial"/>
          <w:sz w:val="14"/>
          <w:szCs w:val="14"/>
          <w:color w:val="auto"/>
        </w:rPr>
        <w:t>Jurisdiction. By accepting an Award, each Participant will be deemed to (a) have submitted irrevocably and unconditionally to the jurisdiction of the federal and state courts located within the geographic boundaries of the United States District Court for the Northern District of California for the purpose of any suit, action or other proceeding arising out of or based upon the Plan or any Award; (b) agree not to commence any suit, action or other proceeding arising out of or based upon the Plan or an Award, except in the federal and state courts located within the geographic boundaries of the United States District Court for the Northern District of California; and (c) waive, and agree not to assert, by way of motion as a defense or otherwise, in any such suit, action or proceeding, any claim that it is not subject personally to the jurisdiction of the above-named courts that its property is exempt or immune from attachment or execution, that the suit, action or proceeding is brought in an inconvenient forum, that the venue of the suit, action or proceeding is improper or that the Plan or an Award or the subject matter thereof may not be enforced in or by such court.</w:t>
      </w:r>
    </w:p>
    <w:p>
      <w:pPr>
        <w:spacing w:after="0" w:line="136"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221E1F"/>
        </w:rPr>
        <w:t xml:space="preserve">ULTRAGENYX PHARMACEUTICAL INC. </w:t>
      </w:r>
      <w:r>
        <w:rPr>
          <w:rFonts w:ascii="Arial" w:cs="Arial" w:eastAsia="Arial" w:hAnsi="Arial"/>
          <w:sz w:val="14"/>
          <w:szCs w:val="14"/>
          <w:color w:val="7BBD3E"/>
        </w:rPr>
        <w:t>•</w:t>
      </w:r>
      <w:r>
        <w:rPr>
          <w:rFonts w:ascii="Arial" w:cs="Arial" w:eastAsia="Arial" w:hAnsi="Arial"/>
          <w:sz w:val="14"/>
          <w:szCs w:val="14"/>
          <w:b w:val="1"/>
          <w:bCs w:val="1"/>
          <w:color w:val="221E1F"/>
        </w:rPr>
        <w:t xml:space="preserve"> </w:t>
      </w:r>
      <w:r>
        <w:rPr>
          <w:rFonts w:ascii="Arial" w:cs="Arial" w:eastAsia="Arial" w:hAnsi="Arial"/>
          <w:sz w:val="14"/>
          <w:szCs w:val="14"/>
          <w:color w:val="221E1F"/>
        </w:rPr>
        <w:t>2025 Proxy Statement</w:t>
      </w:r>
      <w:r>
        <w:rPr>
          <w:rFonts w:ascii="Arial" w:cs="Arial" w:eastAsia="Arial" w:hAnsi="Arial"/>
          <w:sz w:val="14"/>
          <w:szCs w:val="14"/>
          <w:b w:val="1"/>
          <w:bCs w:val="1"/>
          <w:color w:val="221E1F"/>
        </w:rPr>
        <w:tab/>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150735"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0735" cy="29845"/>
                    </a:xfrm>
                    <a:prstGeom prst="rect">
                      <a:avLst/>
                    </a:prstGeom>
                    <a:noFill/>
                  </pic:spPr>
                </pic:pic>
              </a:graphicData>
            </a:graphic>
          </wp:anchor>
        </w:drawing>
      </w:r>
    </w:p>
    <w:p>
      <w:pPr>
        <w:sectPr>
          <w:pgSz w:w="11900" w:h="16838" w:orient="portrait"/>
          <w:cols w:equalWidth="0" w:num="1">
            <w:col w:w="11267"/>
          </w:cols>
          <w:pgMar w:left="313" w:top="225" w:right="319" w:bottom="1440" w:gutter="0" w:footer="0" w:header="0"/>
        </w:sectPr>
      </w:pPr>
    </w:p>
    <w:bookmarkStart w:id="80" w:name="page81"/>
    <w:bookmarkEnd w:id="80"/>
    <w:p>
      <w:pPr>
        <w:spacing w:after="0"/>
        <w:rPr>
          <w:sz w:val="20"/>
          <w:szCs w:val="20"/>
          <w:color w:val="auto"/>
        </w:rPr>
      </w:pPr>
      <w:r>
        <w:rPr>
          <w:rFonts w:ascii="Arial" w:cs="Arial" w:eastAsia="Arial" w:hAnsi="Arial"/>
          <w:sz w:val="12"/>
          <w:szCs w:val="12"/>
          <w:b w:val="1"/>
          <w:bCs w:val="1"/>
          <w:u w:val="single" w:color="auto"/>
          <w:color w:val="0000EE"/>
        </w:rPr>
        <w:t>Back to Contents</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743E79"/>
        </w:rPr>
        <w:t>EXHIBIT A</w:t>
      </w:r>
    </w:p>
    <w:p>
      <w:pPr>
        <w:spacing w:after="0" w:line="23" w:lineRule="exact"/>
        <w:rPr>
          <w:sz w:val="20"/>
          <w:szCs w:val="20"/>
          <w:color w:val="auto"/>
        </w:rPr>
      </w:pPr>
    </w:p>
    <w:p>
      <w:pPr>
        <w:spacing w:after="0"/>
        <w:rPr>
          <w:sz w:val="20"/>
          <w:szCs w:val="20"/>
          <w:color w:val="auto"/>
        </w:rPr>
      </w:pPr>
      <w:r>
        <w:rPr>
          <w:rFonts w:ascii="Arial" w:cs="Arial" w:eastAsia="Arial" w:hAnsi="Arial"/>
          <w:sz w:val="31"/>
          <w:szCs w:val="31"/>
          <w:b w:val="1"/>
          <w:bCs w:val="1"/>
          <w:color w:val="7CBD3F"/>
        </w:rPr>
        <w:t>Definition of Terms</w:t>
      </w:r>
    </w:p>
    <w:p>
      <w:pPr>
        <w:spacing w:after="0" w:line="355" w:lineRule="exact"/>
        <w:rPr>
          <w:sz w:val="20"/>
          <w:szCs w:val="20"/>
          <w:color w:val="auto"/>
        </w:rPr>
      </w:pPr>
    </w:p>
    <w:p>
      <w:pPr>
        <w:spacing w:after="0"/>
        <w:rPr>
          <w:sz w:val="20"/>
          <w:szCs w:val="20"/>
          <w:color w:val="auto"/>
        </w:rPr>
      </w:pPr>
      <w:r>
        <w:rPr>
          <w:rFonts w:ascii="Arial" w:cs="Arial" w:eastAsia="Arial" w:hAnsi="Arial"/>
          <w:sz w:val="14"/>
          <w:szCs w:val="14"/>
          <w:color w:val="221E1F"/>
        </w:rPr>
        <w:t>The following terms, when used in the Plan, will have the meanings and be subject to the provisions set forth below:</w:t>
      </w:r>
    </w:p>
    <w:p>
      <w:pPr>
        <w:spacing w:after="0" w:line="165" w:lineRule="exact"/>
        <w:rPr>
          <w:sz w:val="20"/>
          <w:szCs w:val="20"/>
          <w:color w:val="auto"/>
        </w:rPr>
      </w:pPr>
    </w:p>
    <w:p>
      <w:pPr>
        <w:jc w:val="both"/>
        <w:ind w:right="20"/>
        <w:spacing w:after="0" w:line="252" w:lineRule="auto"/>
        <w:rPr>
          <w:sz w:val="20"/>
          <w:szCs w:val="20"/>
          <w:color w:val="auto"/>
        </w:rPr>
      </w:pPr>
      <w:r>
        <w:rPr>
          <w:rFonts w:ascii="Arial" w:cs="Arial" w:eastAsia="Arial" w:hAnsi="Arial"/>
          <w:sz w:val="14"/>
          <w:szCs w:val="14"/>
          <w:b w:val="1"/>
          <w:bCs w:val="1"/>
          <w:color w:val="221E1F"/>
        </w:rPr>
        <w:t xml:space="preserve">“Administrator”: </w:t>
      </w:r>
      <w:r>
        <w:rPr>
          <w:rFonts w:ascii="Arial" w:cs="Arial" w:eastAsia="Arial" w:hAnsi="Arial"/>
          <w:sz w:val="14"/>
          <w:szCs w:val="14"/>
          <w:color w:val="221E1F"/>
        </w:rPr>
        <w:t>The Compensation Committee, except that the Compensation Committee may, subject to applicable law, delegate (i) to one or more of its members (or one or more</w:t>
      </w:r>
      <w:r>
        <w:rPr>
          <w:rFonts w:ascii="Arial" w:cs="Arial" w:eastAsia="Arial" w:hAnsi="Arial"/>
          <w:sz w:val="14"/>
          <w:szCs w:val="14"/>
          <w:b w:val="1"/>
          <w:bCs w:val="1"/>
          <w:color w:val="221E1F"/>
        </w:rPr>
        <w:t xml:space="preserve"> </w:t>
      </w:r>
      <w:r>
        <w:rPr>
          <w:rFonts w:ascii="Arial" w:cs="Arial" w:eastAsia="Arial" w:hAnsi="Arial"/>
          <w:sz w:val="14"/>
          <w:szCs w:val="14"/>
          <w:color w:val="221E1F"/>
        </w:rPr>
        <w:t>other members of the Board (including the full Board)) such of its duties, powers and responsibilities as it may determine; (ii) to one or more officers or Employees of the Company the power to grant Awards to the extent permitted by Section 157(c) of the Delaware General Corporation Law; and (iii) to such Employees or other persons as it determines such ministerial tasks as it deems appropriate. In the event of any delegation described in the preceding sentence, the term “Administrator” will include the person or persons so delegated to the extent of such delegation.</w:t>
      </w:r>
    </w:p>
    <w:p>
      <w:pPr>
        <w:spacing w:after="0" w:line="134" w:lineRule="exact"/>
        <w:rPr>
          <w:sz w:val="20"/>
          <w:szCs w:val="20"/>
          <w:color w:val="auto"/>
        </w:rPr>
      </w:pPr>
    </w:p>
    <w:p>
      <w:pPr>
        <w:jc w:val="both"/>
        <w:ind w:right="20"/>
        <w:spacing w:after="0" w:line="278" w:lineRule="auto"/>
        <w:rPr>
          <w:sz w:val="20"/>
          <w:szCs w:val="20"/>
          <w:color w:val="auto"/>
        </w:rPr>
      </w:pPr>
      <w:r>
        <w:rPr>
          <w:rFonts w:ascii="Arial" w:cs="Arial" w:eastAsia="Arial" w:hAnsi="Arial"/>
          <w:sz w:val="14"/>
          <w:szCs w:val="14"/>
          <w:b w:val="1"/>
          <w:bCs w:val="1"/>
          <w:color w:val="221E1F"/>
        </w:rPr>
        <w:t xml:space="preserve">“Affiliate”: </w:t>
      </w:r>
      <w:r>
        <w:rPr>
          <w:rFonts w:ascii="Arial" w:cs="Arial" w:eastAsia="Arial" w:hAnsi="Arial"/>
          <w:sz w:val="14"/>
          <w:szCs w:val="14"/>
          <w:color w:val="221E1F"/>
        </w:rPr>
        <w:t>Any corporation or other entity that stands in a relationship to the Company that would result in the Company and such corporation or other entity being treated as one</w:t>
      </w:r>
      <w:r>
        <w:rPr>
          <w:rFonts w:ascii="Arial" w:cs="Arial" w:eastAsia="Arial" w:hAnsi="Arial"/>
          <w:sz w:val="14"/>
          <w:szCs w:val="14"/>
          <w:b w:val="1"/>
          <w:bCs w:val="1"/>
          <w:color w:val="221E1F"/>
        </w:rPr>
        <w:t xml:space="preserve"> </w:t>
      </w:r>
      <w:r>
        <w:rPr>
          <w:rFonts w:ascii="Arial" w:cs="Arial" w:eastAsia="Arial" w:hAnsi="Arial"/>
          <w:sz w:val="14"/>
          <w:szCs w:val="14"/>
          <w:color w:val="221E1F"/>
        </w:rPr>
        <w:t>employer under Section 414(b) and Section 414(c) of the Code.</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color w:val="221E1F"/>
        </w:rPr>
        <w:t xml:space="preserve">“Award”: </w:t>
      </w:r>
      <w:r>
        <w:rPr>
          <w:rFonts w:ascii="Arial" w:cs="Arial" w:eastAsia="Arial" w:hAnsi="Arial"/>
          <w:sz w:val="14"/>
          <w:szCs w:val="14"/>
          <w:color w:val="221E1F"/>
        </w:rPr>
        <w:t>Any or a combination of the following:</w:t>
      </w:r>
    </w:p>
    <w:p>
      <w:pPr>
        <w:spacing w:after="0" w:line="165" w:lineRule="exact"/>
        <w:rPr>
          <w:sz w:val="20"/>
          <w:szCs w:val="20"/>
          <w:color w:val="auto"/>
        </w:rPr>
      </w:pPr>
    </w:p>
    <w:p>
      <w:pPr>
        <w:ind w:left="620" w:hanging="347"/>
        <w:spacing w:after="0"/>
        <w:tabs>
          <w:tab w:leader="none" w:pos="620" w:val="left"/>
        </w:tabs>
        <w:numPr>
          <w:ilvl w:val="0"/>
          <w:numId w:val="62"/>
        </w:numPr>
        <w:rPr>
          <w:rFonts w:ascii="Arial" w:cs="Arial" w:eastAsia="Arial" w:hAnsi="Arial"/>
          <w:sz w:val="14"/>
          <w:szCs w:val="14"/>
          <w:b w:val="1"/>
          <w:bCs w:val="1"/>
          <w:color w:val="7CBD3F"/>
        </w:rPr>
      </w:pPr>
      <w:r>
        <w:rPr>
          <w:rFonts w:ascii="Arial" w:cs="Arial" w:eastAsia="Arial" w:hAnsi="Arial"/>
          <w:sz w:val="14"/>
          <w:szCs w:val="14"/>
          <w:color w:val="auto"/>
        </w:rPr>
        <w:t>Stock Options.</w:t>
      </w:r>
    </w:p>
    <w:p>
      <w:pPr>
        <w:spacing w:after="0" w:line="72" w:lineRule="exact"/>
        <w:rPr>
          <w:rFonts w:ascii="Arial" w:cs="Arial" w:eastAsia="Arial" w:hAnsi="Arial"/>
          <w:sz w:val="14"/>
          <w:szCs w:val="14"/>
          <w:b w:val="1"/>
          <w:bCs w:val="1"/>
          <w:color w:val="7CBD3F"/>
        </w:rPr>
      </w:pPr>
    </w:p>
    <w:p>
      <w:pPr>
        <w:ind w:left="620" w:hanging="347"/>
        <w:spacing w:after="0"/>
        <w:tabs>
          <w:tab w:leader="none" w:pos="620" w:val="left"/>
        </w:tabs>
        <w:numPr>
          <w:ilvl w:val="0"/>
          <w:numId w:val="62"/>
        </w:numPr>
        <w:rPr>
          <w:rFonts w:ascii="Arial" w:cs="Arial" w:eastAsia="Arial" w:hAnsi="Arial"/>
          <w:sz w:val="14"/>
          <w:szCs w:val="14"/>
          <w:b w:val="1"/>
          <w:bCs w:val="1"/>
          <w:color w:val="7CBD3F"/>
        </w:rPr>
      </w:pPr>
      <w:r>
        <w:rPr>
          <w:rFonts w:ascii="Arial" w:cs="Arial" w:eastAsia="Arial" w:hAnsi="Arial"/>
          <w:sz w:val="14"/>
          <w:szCs w:val="14"/>
          <w:color w:val="auto"/>
        </w:rPr>
        <w:t>SARs.</w:t>
      </w:r>
    </w:p>
    <w:p>
      <w:pPr>
        <w:spacing w:after="0" w:line="72" w:lineRule="exact"/>
        <w:rPr>
          <w:rFonts w:ascii="Arial" w:cs="Arial" w:eastAsia="Arial" w:hAnsi="Arial"/>
          <w:sz w:val="14"/>
          <w:szCs w:val="14"/>
          <w:b w:val="1"/>
          <w:bCs w:val="1"/>
          <w:color w:val="7CBD3F"/>
        </w:rPr>
      </w:pPr>
    </w:p>
    <w:p>
      <w:pPr>
        <w:ind w:left="620" w:hanging="347"/>
        <w:spacing w:after="0"/>
        <w:tabs>
          <w:tab w:leader="none" w:pos="620" w:val="left"/>
        </w:tabs>
        <w:numPr>
          <w:ilvl w:val="0"/>
          <w:numId w:val="62"/>
        </w:numPr>
        <w:rPr>
          <w:rFonts w:ascii="Arial" w:cs="Arial" w:eastAsia="Arial" w:hAnsi="Arial"/>
          <w:sz w:val="14"/>
          <w:szCs w:val="14"/>
          <w:b w:val="1"/>
          <w:bCs w:val="1"/>
          <w:color w:val="7CBD3F"/>
        </w:rPr>
      </w:pPr>
      <w:r>
        <w:rPr>
          <w:rFonts w:ascii="Arial" w:cs="Arial" w:eastAsia="Arial" w:hAnsi="Arial"/>
          <w:sz w:val="14"/>
          <w:szCs w:val="14"/>
          <w:color w:val="auto"/>
        </w:rPr>
        <w:t>Restricted Stock.</w:t>
      </w:r>
    </w:p>
    <w:p>
      <w:pPr>
        <w:spacing w:after="0" w:line="72" w:lineRule="exact"/>
        <w:rPr>
          <w:rFonts w:ascii="Arial" w:cs="Arial" w:eastAsia="Arial" w:hAnsi="Arial"/>
          <w:sz w:val="14"/>
          <w:szCs w:val="14"/>
          <w:b w:val="1"/>
          <w:bCs w:val="1"/>
          <w:color w:val="7CBD3F"/>
        </w:rPr>
      </w:pPr>
    </w:p>
    <w:p>
      <w:pPr>
        <w:ind w:left="620" w:hanging="347"/>
        <w:spacing w:after="0"/>
        <w:tabs>
          <w:tab w:leader="none" w:pos="620" w:val="left"/>
        </w:tabs>
        <w:numPr>
          <w:ilvl w:val="0"/>
          <w:numId w:val="62"/>
        </w:numPr>
        <w:rPr>
          <w:rFonts w:ascii="Arial" w:cs="Arial" w:eastAsia="Arial" w:hAnsi="Arial"/>
          <w:sz w:val="14"/>
          <w:szCs w:val="14"/>
          <w:b w:val="1"/>
          <w:bCs w:val="1"/>
          <w:color w:val="7CBD3F"/>
        </w:rPr>
      </w:pPr>
      <w:r>
        <w:rPr>
          <w:rFonts w:ascii="Arial" w:cs="Arial" w:eastAsia="Arial" w:hAnsi="Arial"/>
          <w:sz w:val="14"/>
          <w:szCs w:val="14"/>
          <w:color w:val="auto"/>
        </w:rPr>
        <w:t>Unrestricted Stock.</w:t>
      </w:r>
    </w:p>
    <w:p>
      <w:pPr>
        <w:spacing w:after="0" w:line="72" w:lineRule="exact"/>
        <w:rPr>
          <w:rFonts w:ascii="Arial" w:cs="Arial" w:eastAsia="Arial" w:hAnsi="Arial"/>
          <w:sz w:val="14"/>
          <w:szCs w:val="14"/>
          <w:b w:val="1"/>
          <w:bCs w:val="1"/>
          <w:color w:val="7CBD3F"/>
        </w:rPr>
      </w:pPr>
    </w:p>
    <w:p>
      <w:pPr>
        <w:ind w:left="620" w:hanging="347"/>
        <w:spacing w:after="0"/>
        <w:tabs>
          <w:tab w:leader="none" w:pos="620" w:val="left"/>
        </w:tabs>
        <w:numPr>
          <w:ilvl w:val="0"/>
          <w:numId w:val="62"/>
        </w:numPr>
        <w:rPr>
          <w:rFonts w:ascii="Arial" w:cs="Arial" w:eastAsia="Arial" w:hAnsi="Arial"/>
          <w:sz w:val="14"/>
          <w:szCs w:val="14"/>
          <w:b w:val="1"/>
          <w:bCs w:val="1"/>
          <w:color w:val="7CBD3F"/>
        </w:rPr>
      </w:pPr>
      <w:r>
        <w:rPr>
          <w:rFonts w:ascii="Arial" w:cs="Arial" w:eastAsia="Arial" w:hAnsi="Arial"/>
          <w:sz w:val="14"/>
          <w:szCs w:val="14"/>
          <w:color w:val="auto"/>
        </w:rPr>
        <w:t>Stock Units, including Restricted Stock Units.</w:t>
      </w:r>
    </w:p>
    <w:p>
      <w:pPr>
        <w:spacing w:after="0" w:line="72" w:lineRule="exact"/>
        <w:rPr>
          <w:rFonts w:ascii="Arial" w:cs="Arial" w:eastAsia="Arial" w:hAnsi="Arial"/>
          <w:sz w:val="14"/>
          <w:szCs w:val="14"/>
          <w:b w:val="1"/>
          <w:bCs w:val="1"/>
          <w:color w:val="7CBD3F"/>
        </w:rPr>
      </w:pPr>
    </w:p>
    <w:p>
      <w:pPr>
        <w:ind w:left="620" w:hanging="347"/>
        <w:spacing w:after="0"/>
        <w:tabs>
          <w:tab w:leader="none" w:pos="620" w:val="left"/>
        </w:tabs>
        <w:numPr>
          <w:ilvl w:val="0"/>
          <w:numId w:val="62"/>
        </w:numPr>
        <w:rPr>
          <w:rFonts w:ascii="Arial" w:cs="Arial" w:eastAsia="Arial" w:hAnsi="Arial"/>
          <w:sz w:val="14"/>
          <w:szCs w:val="14"/>
          <w:b w:val="1"/>
          <w:bCs w:val="1"/>
          <w:color w:val="7CBD3F"/>
        </w:rPr>
      </w:pPr>
      <w:r>
        <w:rPr>
          <w:rFonts w:ascii="Arial" w:cs="Arial" w:eastAsia="Arial" w:hAnsi="Arial"/>
          <w:sz w:val="14"/>
          <w:szCs w:val="14"/>
          <w:color w:val="auto"/>
        </w:rPr>
        <w:t>Performance Awards.</w:t>
      </w:r>
    </w:p>
    <w:p>
      <w:pPr>
        <w:spacing w:after="0" w:line="72" w:lineRule="exact"/>
        <w:rPr>
          <w:rFonts w:ascii="Arial" w:cs="Arial" w:eastAsia="Arial" w:hAnsi="Arial"/>
          <w:sz w:val="14"/>
          <w:szCs w:val="14"/>
          <w:b w:val="1"/>
          <w:bCs w:val="1"/>
          <w:color w:val="7CBD3F"/>
        </w:rPr>
      </w:pPr>
    </w:p>
    <w:p>
      <w:pPr>
        <w:ind w:left="620" w:hanging="347"/>
        <w:spacing w:after="0"/>
        <w:tabs>
          <w:tab w:leader="none" w:pos="620" w:val="left"/>
        </w:tabs>
        <w:numPr>
          <w:ilvl w:val="0"/>
          <w:numId w:val="62"/>
        </w:numPr>
        <w:rPr>
          <w:rFonts w:ascii="Arial" w:cs="Arial" w:eastAsia="Arial" w:hAnsi="Arial"/>
          <w:sz w:val="14"/>
          <w:szCs w:val="14"/>
          <w:b w:val="1"/>
          <w:bCs w:val="1"/>
          <w:color w:val="7CBD3F"/>
        </w:rPr>
      </w:pPr>
      <w:r>
        <w:rPr>
          <w:rFonts w:ascii="Arial" w:cs="Arial" w:eastAsia="Arial" w:hAnsi="Arial"/>
          <w:sz w:val="14"/>
          <w:szCs w:val="14"/>
          <w:color w:val="auto"/>
        </w:rPr>
        <w:t>Cash Awards.</w:t>
      </w:r>
    </w:p>
    <w:p>
      <w:pPr>
        <w:spacing w:after="0" w:line="72" w:lineRule="exact"/>
        <w:rPr>
          <w:rFonts w:ascii="Arial" w:cs="Arial" w:eastAsia="Arial" w:hAnsi="Arial"/>
          <w:sz w:val="14"/>
          <w:szCs w:val="14"/>
          <w:b w:val="1"/>
          <w:bCs w:val="1"/>
          <w:color w:val="7CBD3F"/>
        </w:rPr>
      </w:pPr>
    </w:p>
    <w:p>
      <w:pPr>
        <w:ind w:left="620" w:hanging="347"/>
        <w:spacing w:after="0"/>
        <w:tabs>
          <w:tab w:leader="none" w:pos="620" w:val="left"/>
        </w:tabs>
        <w:numPr>
          <w:ilvl w:val="0"/>
          <w:numId w:val="62"/>
        </w:numPr>
        <w:rPr>
          <w:rFonts w:ascii="Arial" w:cs="Arial" w:eastAsia="Arial" w:hAnsi="Arial"/>
          <w:sz w:val="14"/>
          <w:szCs w:val="14"/>
          <w:b w:val="1"/>
          <w:bCs w:val="1"/>
          <w:color w:val="7CBD3F"/>
        </w:rPr>
      </w:pPr>
      <w:r>
        <w:rPr>
          <w:rFonts w:ascii="Arial" w:cs="Arial" w:eastAsia="Arial" w:hAnsi="Arial"/>
          <w:sz w:val="14"/>
          <w:szCs w:val="14"/>
          <w:color w:val="221E1F"/>
        </w:rPr>
        <w:t>Awards (other than Awards described in (i) through (vii) above) that are convertible into or otherwise based on Stock.</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“Board”: </w:t>
      </w:r>
      <w:r>
        <w:rPr>
          <w:rFonts w:ascii="Arial" w:cs="Arial" w:eastAsia="Arial" w:hAnsi="Arial"/>
          <w:sz w:val="14"/>
          <w:szCs w:val="14"/>
          <w:color w:val="auto"/>
        </w:rPr>
        <w:t>The Board of Directors of the Company.</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“Cash Award”: </w:t>
      </w:r>
      <w:r>
        <w:rPr>
          <w:rFonts w:ascii="Arial" w:cs="Arial" w:eastAsia="Arial" w:hAnsi="Arial"/>
          <w:sz w:val="14"/>
          <w:szCs w:val="14"/>
          <w:color w:val="auto"/>
        </w:rPr>
        <w:t>An Award denominated in cash.</w:t>
      </w:r>
    </w:p>
    <w:p>
      <w:pPr>
        <w:spacing w:after="0" w:line="165" w:lineRule="exact"/>
        <w:rPr>
          <w:sz w:val="20"/>
          <w:szCs w:val="20"/>
          <w:color w:val="auto"/>
        </w:rPr>
      </w:pPr>
    </w:p>
    <w:p>
      <w:pPr>
        <w:jc w:val="both"/>
        <w:spacing w:after="0" w:line="248" w:lineRule="auto"/>
        <w:rPr>
          <w:sz w:val="20"/>
          <w:szCs w:val="20"/>
          <w:color w:val="auto"/>
        </w:rPr>
      </w:pPr>
      <w:r>
        <w:rPr>
          <w:rFonts w:ascii="Arial" w:cs="Arial" w:eastAsia="Arial" w:hAnsi="Arial"/>
          <w:sz w:val="14"/>
          <w:szCs w:val="14"/>
          <w:b w:val="1"/>
          <w:bCs w:val="1"/>
          <w:color w:val="221E1F"/>
        </w:rPr>
        <w:t xml:space="preserve">“Cause”: </w:t>
      </w:r>
      <w:r>
        <w:rPr>
          <w:rFonts w:ascii="Arial" w:cs="Arial" w:eastAsia="Arial" w:hAnsi="Arial"/>
          <w:sz w:val="14"/>
          <w:szCs w:val="14"/>
          <w:color w:val="221E1F"/>
        </w:rPr>
        <w:t>In the case of any Participant who is party to an employment or severance-benefit agreement that contains a definition of “Cause,” the definition set forth in such agreement</w:t>
      </w:r>
      <w:r>
        <w:rPr>
          <w:rFonts w:ascii="Arial" w:cs="Arial" w:eastAsia="Arial" w:hAnsi="Arial"/>
          <w:sz w:val="14"/>
          <w:szCs w:val="14"/>
          <w:b w:val="1"/>
          <w:bCs w:val="1"/>
          <w:color w:val="221E1F"/>
        </w:rPr>
        <w:t xml:space="preserve"> </w:t>
      </w:r>
      <w:r>
        <w:rPr>
          <w:rFonts w:ascii="Arial" w:cs="Arial" w:eastAsia="Arial" w:hAnsi="Arial"/>
          <w:sz w:val="14"/>
          <w:szCs w:val="14"/>
          <w:color w:val="221E1F"/>
        </w:rPr>
        <w:t>will apply with respect to such Participant under the Plan. In the case of any other Participant, “Cause” will mean, as determined by the Administrator in its reasonable judgment, (i) a substantial failure of the Participant to perform the Participant’s duties and responsibilities to the Company or subsidiaries or substantial negligence in the performance of such duties and responsibilities; (ii) the commission by the Participant of a felony or a crime involving moral turpitude; (iii) the commission by the Participant of theft, fraud, embezzlement, material breach of trust or any material act of dishonesty involving the Company or any of its subsidiaries; (iv) a significant violation by the Participant of the code of conduct of the Company or its subsidiaries of any material policy of the Company or its subsidiaries, or of any statutory or common law duty of loyalty to the Company or its subsidiaries; (v) material breach of any of the terms of the Plan or any Award made under the Plan, or of the terms of any other agreement between the Company or subsidiaries and the Participant; or (vi) other conduct by the Participant that could be expected to be harmful to the business, interests or reputation of the Company.</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“Code”: </w:t>
      </w:r>
      <w:r>
        <w:rPr>
          <w:rFonts w:ascii="Arial" w:cs="Arial" w:eastAsia="Arial" w:hAnsi="Arial"/>
          <w:sz w:val="14"/>
          <w:szCs w:val="14"/>
          <w:color w:val="auto"/>
        </w:rPr>
        <w:t>The U.S. Internal Revenue Code of 1986 as from time to time amended and in effect, or any successor statute as from time to time in effect.</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“Company”: </w:t>
      </w:r>
      <w:r>
        <w:rPr>
          <w:rFonts w:ascii="Arial" w:cs="Arial" w:eastAsia="Arial" w:hAnsi="Arial"/>
          <w:sz w:val="14"/>
          <w:szCs w:val="14"/>
          <w:color w:val="auto"/>
        </w:rPr>
        <w:t>Ultragenyx Pharmaceutical Inc., and except as utilized in the definition of Covered Transaction, any successor corporation.</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“Compensation Committee”: </w:t>
      </w:r>
      <w:r>
        <w:rPr>
          <w:rFonts w:ascii="Arial" w:cs="Arial" w:eastAsia="Arial" w:hAnsi="Arial"/>
          <w:sz w:val="14"/>
          <w:szCs w:val="14"/>
          <w:color w:val="auto"/>
        </w:rPr>
        <w:t>The Compensation Committee of the Board.</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“Covered Transaction”: </w:t>
      </w:r>
      <w:r>
        <w:rPr>
          <w:rFonts w:ascii="Arial" w:cs="Arial" w:eastAsia="Arial" w:hAnsi="Arial"/>
          <w:sz w:val="14"/>
          <w:szCs w:val="14"/>
          <w:color w:val="auto"/>
        </w:rPr>
        <w:t>The occurrence of any one of the following events:</w:t>
      </w:r>
    </w:p>
    <w:p>
      <w:pPr>
        <w:spacing w:after="0" w:line="165" w:lineRule="exact"/>
        <w:rPr>
          <w:sz w:val="20"/>
          <w:szCs w:val="20"/>
          <w:color w:val="auto"/>
        </w:rPr>
      </w:pPr>
    </w:p>
    <w:p>
      <w:pPr>
        <w:jc w:val="both"/>
        <w:ind w:left="560" w:hanging="287"/>
        <w:spacing w:after="0" w:line="252" w:lineRule="auto"/>
        <w:tabs>
          <w:tab w:leader="none" w:pos="560" w:val="left"/>
        </w:tabs>
        <w:numPr>
          <w:ilvl w:val="0"/>
          <w:numId w:val="63"/>
        </w:numPr>
        <w:rPr>
          <w:rFonts w:ascii="Arial" w:cs="Arial" w:eastAsia="Arial" w:hAnsi="Arial"/>
          <w:sz w:val="14"/>
          <w:szCs w:val="14"/>
          <w:b w:val="1"/>
          <w:bCs w:val="1"/>
          <w:color w:val="7CBD3F"/>
        </w:rPr>
      </w:pPr>
      <w:r>
        <w:rPr>
          <w:rFonts w:ascii="Arial" w:cs="Arial" w:eastAsia="Arial" w:hAnsi="Arial"/>
          <w:sz w:val="14"/>
          <w:szCs w:val="14"/>
          <w:color w:val="221E1F"/>
        </w:rPr>
        <w:t>a consolidation, merger, or similar transaction or series of related transactions in which the Company is not the surviving corporation or which results in the acquisition of all or substantially all of the Company’s then outstanding Stock by a single person or entity or by a group of persons and/or entities acting in concert (a “</w:t>
      </w:r>
      <w:r>
        <w:rPr>
          <w:rFonts w:ascii="Arial" w:cs="Arial" w:eastAsia="Arial" w:hAnsi="Arial"/>
          <w:sz w:val="14"/>
          <w:szCs w:val="14"/>
          <w:b w:val="1"/>
          <w:bCs w:val="1"/>
          <w:color w:val="221E1F"/>
        </w:rPr>
        <w:t>Transaction</w:t>
      </w:r>
      <w:r>
        <w:rPr>
          <w:rFonts w:ascii="Arial" w:cs="Arial" w:eastAsia="Arial" w:hAnsi="Arial"/>
          <w:sz w:val="14"/>
          <w:szCs w:val="14"/>
          <w:color w:val="221E1F"/>
        </w:rPr>
        <w:t>”), excluding a Transaction which would result in the holders of the voting securities of the Company outstanding immediately prior to such merger or consolidation continuing to represent (either by remaining outstanding or by being converted into voting securities of the surviving entity or any parent thereof) at least 50% of the combined voting power of the securities of the Company or such surviving entity or any parent thereof outstanding immediately after such merger or consolidation;</w:t>
      </w:r>
    </w:p>
    <w:p>
      <w:pPr>
        <w:spacing w:after="0" w:line="40" w:lineRule="exact"/>
        <w:rPr>
          <w:rFonts w:ascii="Arial" w:cs="Arial" w:eastAsia="Arial" w:hAnsi="Arial"/>
          <w:sz w:val="14"/>
          <w:szCs w:val="14"/>
          <w:b w:val="1"/>
          <w:bCs w:val="1"/>
          <w:color w:val="7CBD3F"/>
        </w:rPr>
      </w:pPr>
    </w:p>
    <w:p>
      <w:pPr>
        <w:ind w:left="560" w:right="20" w:hanging="287"/>
        <w:spacing w:after="0" w:line="278" w:lineRule="auto"/>
        <w:tabs>
          <w:tab w:leader="none" w:pos="560" w:val="left"/>
        </w:tabs>
        <w:numPr>
          <w:ilvl w:val="0"/>
          <w:numId w:val="63"/>
        </w:numPr>
        <w:rPr>
          <w:rFonts w:ascii="Arial" w:cs="Arial" w:eastAsia="Arial" w:hAnsi="Arial"/>
          <w:sz w:val="14"/>
          <w:szCs w:val="14"/>
          <w:b w:val="1"/>
          <w:bCs w:val="1"/>
          <w:color w:val="7CBD3F"/>
        </w:rPr>
      </w:pPr>
      <w:r>
        <w:rPr>
          <w:rFonts w:ascii="Arial" w:cs="Arial" w:eastAsia="Arial" w:hAnsi="Arial"/>
          <w:sz w:val="14"/>
          <w:szCs w:val="14"/>
          <w:color w:val="auto"/>
        </w:rPr>
        <w:t>a sale or transfer of all or substantially all the Company’s assets, excluding a sale or transfer to an entity, at least 50% of the combined voting power of the voting securities of which is owned by stockholders of the Company in substantially the same proportions as their ownership of the Company immediately prior to such sale; or</w:t>
      </w:r>
    </w:p>
    <w:p>
      <w:pPr>
        <w:spacing w:after="0" w:line="23" w:lineRule="exact"/>
        <w:rPr>
          <w:rFonts w:ascii="Arial" w:cs="Arial" w:eastAsia="Arial" w:hAnsi="Arial"/>
          <w:sz w:val="14"/>
          <w:szCs w:val="14"/>
          <w:b w:val="1"/>
          <w:bCs w:val="1"/>
          <w:color w:val="7CBD3F"/>
        </w:rPr>
      </w:pPr>
    </w:p>
    <w:p>
      <w:pPr>
        <w:ind w:left="560" w:hanging="287"/>
        <w:spacing w:after="0"/>
        <w:tabs>
          <w:tab w:leader="none" w:pos="560" w:val="left"/>
        </w:tabs>
        <w:numPr>
          <w:ilvl w:val="0"/>
          <w:numId w:val="63"/>
        </w:numPr>
        <w:rPr>
          <w:rFonts w:ascii="Arial" w:cs="Arial" w:eastAsia="Arial" w:hAnsi="Arial"/>
          <w:sz w:val="14"/>
          <w:szCs w:val="14"/>
          <w:b w:val="1"/>
          <w:bCs w:val="1"/>
          <w:color w:val="7CBD3F"/>
        </w:rPr>
      </w:pPr>
      <w:r>
        <w:rPr>
          <w:rFonts w:ascii="Arial" w:cs="Arial" w:eastAsia="Arial" w:hAnsi="Arial"/>
          <w:sz w:val="14"/>
          <w:szCs w:val="14"/>
          <w:color w:val="auto"/>
        </w:rPr>
        <w:t>a dissolution or liquidation of the Company.</w:t>
      </w:r>
    </w:p>
    <w:p>
      <w:pPr>
        <w:spacing w:after="0" w:line="165" w:lineRule="exact"/>
        <w:rPr>
          <w:sz w:val="20"/>
          <w:szCs w:val="20"/>
          <w:color w:val="auto"/>
        </w:rPr>
      </w:pPr>
    </w:p>
    <w:p>
      <w:pPr>
        <w:jc w:val="both"/>
        <w:spacing w:after="0" w:line="252" w:lineRule="auto"/>
        <w:rPr>
          <w:sz w:val="20"/>
          <w:szCs w:val="20"/>
          <w:color w:val="auto"/>
        </w:rPr>
      </w:pPr>
      <w:r>
        <w:rPr>
          <w:rFonts w:ascii="Arial" w:cs="Arial" w:eastAsia="Arial" w:hAnsi="Arial"/>
          <w:sz w:val="14"/>
          <w:szCs w:val="14"/>
          <w:color w:val="auto"/>
        </w:rPr>
        <w:t>Where a Covered Transaction involves a tender offer that is reasonably expected to be followed by a merger described in clause (i) (as determined by the Administrator), the Covered Transaction will be deemed to have occurred upon consummation of the tender offer. Notwithstanding the foregoing, for each Award that constitutes deferred compensation under Section 409A, and to the extent required to avoid accelerated taxation and/or tax penalties under Section 409A, a Covered Transaction shall be deemed to have occurred under the Plan with respect to such Award only if a change in the ownership or effective control of the Company or a change in ownership of a substantial portion of the assets of the Company shall also be deemed to have occurred under Section 409A.</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“Date of Adoption”: </w:t>
      </w:r>
      <w:r>
        <w:rPr>
          <w:rFonts w:ascii="Arial" w:cs="Arial" w:eastAsia="Arial" w:hAnsi="Arial"/>
          <w:sz w:val="14"/>
          <w:szCs w:val="14"/>
          <w:color w:val="auto"/>
        </w:rPr>
        <w:t>March 24, 2025</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“Employee”: </w:t>
      </w:r>
      <w:r>
        <w:rPr>
          <w:rFonts w:ascii="Arial" w:cs="Arial" w:eastAsia="Arial" w:hAnsi="Arial"/>
          <w:sz w:val="14"/>
          <w:szCs w:val="14"/>
          <w:color w:val="auto"/>
        </w:rPr>
        <w:t>Any person who is employed by the Company or an Affiliate.</w:t>
      </w:r>
    </w:p>
    <w:p>
      <w:pPr>
        <w:spacing w:after="0" w:line="165"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221E1F"/>
        </w:rPr>
        <w:t xml:space="preserve">ULTRAGENYX PHARMACEUTICAL INC. </w:t>
      </w:r>
      <w:r>
        <w:rPr>
          <w:rFonts w:ascii="Arial" w:cs="Arial" w:eastAsia="Arial" w:hAnsi="Arial"/>
          <w:sz w:val="14"/>
          <w:szCs w:val="14"/>
          <w:color w:val="7BBD3E"/>
        </w:rPr>
        <w:t>•</w:t>
      </w:r>
      <w:r>
        <w:rPr>
          <w:rFonts w:ascii="Arial" w:cs="Arial" w:eastAsia="Arial" w:hAnsi="Arial"/>
          <w:sz w:val="14"/>
          <w:szCs w:val="14"/>
          <w:b w:val="1"/>
          <w:bCs w:val="1"/>
          <w:color w:val="221E1F"/>
        </w:rPr>
        <w:t xml:space="preserve"> </w:t>
      </w:r>
      <w:r>
        <w:rPr>
          <w:rFonts w:ascii="Arial" w:cs="Arial" w:eastAsia="Arial" w:hAnsi="Arial"/>
          <w:sz w:val="14"/>
          <w:szCs w:val="14"/>
          <w:color w:val="221E1F"/>
        </w:rPr>
        <w:t>2025 Proxy Statement</w:t>
      </w:r>
      <w:r>
        <w:rPr>
          <w:rFonts w:ascii="Arial" w:cs="Arial" w:eastAsia="Arial" w:hAnsi="Arial"/>
          <w:sz w:val="14"/>
          <w:szCs w:val="14"/>
          <w:b w:val="1"/>
          <w:bCs w:val="1"/>
          <w:color w:val="221E1F"/>
        </w:rPr>
        <w:tab/>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142240</wp:posOffset>
            </wp:positionV>
            <wp:extent cx="7150735" cy="298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0735" cy="29845"/>
                    </a:xfrm>
                    <a:prstGeom prst="rect">
                      <a:avLst/>
                    </a:prstGeom>
                    <a:noFill/>
                  </pic:spPr>
                </pic:pic>
              </a:graphicData>
            </a:graphic>
          </wp:anchor>
        </w:drawing>
      </w:r>
    </w:p>
    <w:p>
      <w:pPr>
        <w:sectPr>
          <w:pgSz w:w="11900" w:h="16838" w:orient="portrait"/>
          <w:cols w:equalWidth="0" w:num="1">
            <w:col w:w="11260"/>
          </w:cols>
          <w:pgMar w:left="320" w:top="225" w:right="319" w:bottom="1440" w:gutter="0" w:footer="0" w:header="0"/>
        </w:sectPr>
      </w:pPr>
    </w:p>
    <w:bookmarkStart w:id="81" w:name="page82"/>
    <w:bookmarkEnd w:id="81"/>
    <w:p>
      <w:pPr>
        <w:ind w:left="7"/>
        <w:spacing w:after="0"/>
        <w:rPr>
          <w:sz w:val="20"/>
          <w:szCs w:val="20"/>
          <w:color w:val="auto"/>
        </w:rPr>
      </w:pPr>
      <w:r>
        <w:rPr>
          <w:rFonts w:ascii="Arial" w:cs="Arial" w:eastAsia="Arial" w:hAnsi="Arial"/>
          <w:sz w:val="12"/>
          <w:szCs w:val="12"/>
          <w:b w:val="1"/>
          <w:bCs w:val="1"/>
          <w:u w:val="single" w:color="auto"/>
          <w:color w:val="0000EE"/>
        </w:rPr>
        <w:t>Back to Contents</w:t>
      </w:r>
    </w:p>
    <w:p>
      <w:pPr>
        <w:spacing w:after="0" w:line="149" w:lineRule="exact"/>
        <w:rPr>
          <w:sz w:val="20"/>
          <w:szCs w:val="20"/>
          <w:color w:val="auto"/>
        </w:rPr>
      </w:pPr>
    </w:p>
    <w:p>
      <w:pPr>
        <w:jc w:val="both"/>
        <w:ind w:left="7"/>
        <w:spacing w:after="0" w:line="247" w:lineRule="auto"/>
        <w:rPr>
          <w:sz w:val="20"/>
          <w:szCs w:val="20"/>
          <w:color w:val="auto"/>
        </w:rPr>
      </w:pPr>
      <w:r>
        <w:rPr>
          <w:rFonts w:ascii="Arial" w:cs="Arial" w:eastAsia="Arial" w:hAnsi="Arial"/>
          <w:sz w:val="14"/>
          <w:szCs w:val="14"/>
          <w:b w:val="1"/>
          <w:bCs w:val="1"/>
          <w:color w:val="221E1F"/>
        </w:rPr>
        <w:t xml:space="preserve">“Employment”: </w:t>
      </w:r>
      <w:r>
        <w:rPr>
          <w:rFonts w:ascii="Arial" w:cs="Arial" w:eastAsia="Arial" w:hAnsi="Arial"/>
          <w:sz w:val="14"/>
          <w:szCs w:val="14"/>
          <w:color w:val="221E1F"/>
        </w:rPr>
        <w:t>A Participant’s employment or other service relationship with the Company and its Affiliates, which may include service as a director, consultant or independent</w:t>
      </w:r>
      <w:r>
        <w:rPr>
          <w:rFonts w:ascii="Arial" w:cs="Arial" w:eastAsia="Arial" w:hAnsi="Arial"/>
          <w:sz w:val="14"/>
          <w:szCs w:val="14"/>
          <w:b w:val="1"/>
          <w:bCs w:val="1"/>
          <w:color w:val="221E1F"/>
        </w:rPr>
        <w:t xml:space="preserve"> </w:t>
      </w:r>
      <w:r>
        <w:rPr>
          <w:rFonts w:ascii="Arial" w:cs="Arial" w:eastAsia="Arial" w:hAnsi="Arial"/>
          <w:sz w:val="14"/>
          <w:szCs w:val="14"/>
          <w:color w:val="221E1F"/>
        </w:rPr>
        <w:t>contractor. Employment will be deemed to continue, unless the Administrator expressly provides otherwise, so long as the Participant is employed by, or otherwise is providing services in a capacity described in Section 5 to the Company or an Affiliate. If a Participant’s employment or other service relationship is with an Affiliate and that entity ceases to be an Affiliate, the Participant’s Employment will be deemed to have terminated when the entity ceases to be an Affiliate unless the Participant transfers Employment to the Company or its remaining Affiliates. Notwithstanding the foregoing and the definition of “Affiliate” above, in construing the provisions of any Award relating to the payment of “nonqualified deferred compensation” (subject to Section 409A) upon a termination or cessation of Employment, references to termination or cessation of employment, separation from service, retirement or similar or correlative terms will be construed to require a “separation from service” (as that term is defined in Section 1.409A-1(h) of the Treasury Regulations) from the Company and from all other corporations and trades or businesses, if any, that would be treated as a single “service recipient” with the Company under Section 1.409A-1(h)(3) of the Treasury Regulations. The Company may, but need not, elect in writing, subject to the applicable limitations under Section 409A, any of the special elective rules prescribed in Section 1.409A-1(h) of the Treasury Regulations for purposes of determining whether a “separation from service” has occurred. Any such written election will be deemed a part of the Plan.</w:t>
      </w:r>
    </w:p>
    <w:p>
      <w:pPr>
        <w:spacing w:after="0" w:line="138" w:lineRule="exact"/>
        <w:rPr>
          <w:sz w:val="20"/>
          <w:szCs w:val="20"/>
          <w:color w:val="auto"/>
        </w:rPr>
      </w:pPr>
    </w:p>
    <w:p>
      <w:pPr>
        <w:ind w:left="7"/>
        <w:spacing w:after="0"/>
        <w:rPr>
          <w:sz w:val="20"/>
          <w:szCs w:val="20"/>
          <w:color w:val="auto"/>
        </w:rPr>
      </w:pPr>
      <w:r>
        <w:rPr>
          <w:rFonts w:ascii="Arial" w:cs="Arial" w:eastAsia="Arial" w:hAnsi="Arial"/>
          <w:sz w:val="14"/>
          <w:szCs w:val="14"/>
          <w:b w:val="1"/>
          <w:bCs w:val="1"/>
          <w:color w:val="auto"/>
        </w:rPr>
        <w:t>“Fair Market Value”:</w:t>
      </w:r>
    </w:p>
    <w:p>
      <w:pPr>
        <w:spacing w:after="0" w:line="165" w:lineRule="exact"/>
        <w:rPr>
          <w:sz w:val="20"/>
          <w:szCs w:val="20"/>
          <w:color w:val="auto"/>
        </w:rPr>
      </w:pPr>
    </w:p>
    <w:p>
      <w:pPr>
        <w:jc w:val="both"/>
        <w:ind w:left="287" w:right="20" w:hanging="287"/>
        <w:spacing w:after="0" w:line="260" w:lineRule="auto"/>
        <w:tabs>
          <w:tab w:leader="none" w:pos="287" w:val="left"/>
        </w:tabs>
        <w:numPr>
          <w:ilvl w:val="0"/>
          <w:numId w:val="64"/>
        </w:numPr>
        <w:rPr>
          <w:rFonts w:ascii="Arial" w:cs="Arial" w:eastAsia="Arial" w:hAnsi="Arial"/>
          <w:sz w:val="14"/>
          <w:szCs w:val="14"/>
          <w:b w:val="1"/>
          <w:bCs w:val="1"/>
          <w:color w:val="7CBD3F"/>
        </w:rPr>
      </w:pPr>
      <w:r>
        <w:rPr>
          <w:rFonts w:ascii="Arial" w:cs="Arial" w:eastAsia="Arial" w:hAnsi="Arial"/>
          <w:sz w:val="14"/>
          <w:szCs w:val="14"/>
          <w:color w:val="221E1F"/>
        </w:rPr>
        <w:t>If the Stock is readily traded on an established national exchange or trading system (including the Nasdaq Global Market), the closing price of the Stock as reported by the principal exchange on which such Stock is traded; provided, however, that if such day is not a trading day, Fair Market Value will mean the reported closing price of the Stock for the immediately preceding day that is a trading day.</w:t>
      </w:r>
    </w:p>
    <w:p>
      <w:pPr>
        <w:spacing w:after="0" w:line="36" w:lineRule="exact"/>
        <w:rPr>
          <w:rFonts w:ascii="Arial" w:cs="Arial" w:eastAsia="Arial" w:hAnsi="Arial"/>
          <w:sz w:val="14"/>
          <w:szCs w:val="14"/>
          <w:b w:val="1"/>
          <w:bCs w:val="1"/>
          <w:color w:val="7CBD3F"/>
        </w:rPr>
      </w:pPr>
    </w:p>
    <w:p>
      <w:pPr>
        <w:ind w:left="287" w:hanging="287"/>
        <w:spacing w:after="0"/>
        <w:tabs>
          <w:tab w:leader="none" w:pos="287" w:val="left"/>
        </w:tabs>
        <w:numPr>
          <w:ilvl w:val="0"/>
          <w:numId w:val="64"/>
        </w:numPr>
        <w:rPr>
          <w:rFonts w:ascii="Arial" w:cs="Arial" w:eastAsia="Arial" w:hAnsi="Arial"/>
          <w:sz w:val="14"/>
          <w:szCs w:val="14"/>
          <w:b w:val="1"/>
          <w:bCs w:val="1"/>
          <w:color w:val="7CBD3F"/>
        </w:rPr>
      </w:pPr>
      <w:r>
        <w:rPr>
          <w:rFonts w:ascii="Arial" w:cs="Arial" w:eastAsia="Arial" w:hAnsi="Arial"/>
          <w:sz w:val="14"/>
          <w:szCs w:val="14"/>
          <w:color w:val="auto"/>
        </w:rPr>
        <w:t>If the Stock is not traded on an established national exchange or trading system, the average of the bid and ask prices for such Stock where the bid and ask prices are quoted.</w:t>
      </w:r>
    </w:p>
    <w:p>
      <w:pPr>
        <w:spacing w:after="0" w:line="72" w:lineRule="exact"/>
        <w:rPr>
          <w:rFonts w:ascii="Arial" w:cs="Arial" w:eastAsia="Arial" w:hAnsi="Arial"/>
          <w:sz w:val="14"/>
          <w:szCs w:val="14"/>
          <w:b w:val="1"/>
          <w:bCs w:val="1"/>
          <w:color w:val="7CBD3F"/>
        </w:rPr>
      </w:pPr>
    </w:p>
    <w:p>
      <w:pPr>
        <w:ind w:left="287" w:hanging="287"/>
        <w:spacing w:after="0" w:line="278" w:lineRule="auto"/>
        <w:tabs>
          <w:tab w:leader="none" w:pos="287" w:val="left"/>
        </w:tabs>
        <w:numPr>
          <w:ilvl w:val="0"/>
          <w:numId w:val="64"/>
        </w:numPr>
        <w:rPr>
          <w:rFonts w:ascii="Arial" w:cs="Arial" w:eastAsia="Arial" w:hAnsi="Arial"/>
          <w:sz w:val="14"/>
          <w:szCs w:val="14"/>
          <w:b w:val="1"/>
          <w:bCs w:val="1"/>
          <w:color w:val="7CBD3F"/>
        </w:rPr>
      </w:pPr>
      <w:r>
        <w:rPr>
          <w:rFonts w:ascii="Arial" w:cs="Arial" w:eastAsia="Arial" w:hAnsi="Arial"/>
          <w:sz w:val="14"/>
          <w:szCs w:val="14"/>
          <w:color w:val="auto"/>
        </w:rPr>
        <w:t>If the Stock cannot be valued pursuant to clauses (a) or (b), the value as determined in good faith by the Board in its sole discretion consistent with the rules of Section 422 and Section 409A to the extent applicable.</w:t>
      </w:r>
    </w:p>
    <w:p>
      <w:pPr>
        <w:spacing w:after="0" w:line="117" w:lineRule="exact"/>
        <w:rPr>
          <w:sz w:val="20"/>
          <w:szCs w:val="20"/>
          <w:color w:val="auto"/>
        </w:rPr>
      </w:pPr>
    </w:p>
    <w:p>
      <w:pPr>
        <w:jc w:val="both"/>
        <w:ind w:left="7" w:right="20"/>
        <w:spacing w:after="0" w:line="278" w:lineRule="auto"/>
        <w:rPr>
          <w:sz w:val="20"/>
          <w:szCs w:val="20"/>
          <w:color w:val="auto"/>
        </w:rPr>
      </w:pPr>
      <w:r>
        <w:rPr>
          <w:rFonts w:ascii="Arial" w:cs="Arial" w:eastAsia="Arial" w:hAnsi="Arial"/>
          <w:sz w:val="14"/>
          <w:szCs w:val="14"/>
          <w:b w:val="1"/>
          <w:bCs w:val="1"/>
          <w:color w:val="auto"/>
        </w:rPr>
        <w:t xml:space="preserve">“ISO”: </w:t>
      </w:r>
      <w:r>
        <w:rPr>
          <w:rFonts w:ascii="Arial" w:cs="Arial" w:eastAsia="Arial" w:hAnsi="Arial"/>
          <w:sz w:val="14"/>
          <w:szCs w:val="14"/>
          <w:color w:val="auto"/>
        </w:rPr>
        <w:t>A Stock Option intended to be an “incentive stock option” within the meaning of Section 422. Each Stock Option granted pursuant to the Plan will be treated as providing by its</w:t>
      </w:r>
      <w:r>
        <w:rPr>
          <w:rFonts w:ascii="Arial" w:cs="Arial" w:eastAsia="Arial" w:hAnsi="Arial"/>
          <w:sz w:val="14"/>
          <w:szCs w:val="14"/>
          <w:b w:val="1"/>
          <w:bCs w:val="1"/>
          <w:color w:val="auto"/>
        </w:rPr>
        <w:t xml:space="preserve"> </w:t>
      </w:r>
      <w:r>
        <w:rPr>
          <w:rFonts w:ascii="Arial" w:cs="Arial" w:eastAsia="Arial" w:hAnsi="Arial"/>
          <w:sz w:val="14"/>
          <w:szCs w:val="14"/>
          <w:color w:val="auto"/>
        </w:rPr>
        <w:t>terms that it is to be an NSO unless, as of the date of grant, it is expressly designated as an ISO.</w:t>
      </w:r>
    </w:p>
    <w:p>
      <w:pPr>
        <w:spacing w:after="0" w:line="117" w:lineRule="exact"/>
        <w:rPr>
          <w:sz w:val="20"/>
          <w:szCs w:val="20"/>
          <w:color w:val="auto"/>
        </w:rPr>
      </w:pPr>
    </w:p>
    <w:p>
      <w:pPr>
        <w:ind w:left="7"/>
        <w:spacing w:after="0"/>
        <w:rPr>
          <w:sz w:val="20"/>
          <w:szCs w:val="20"/>
          <w:color w:val="auto"/>
        </w:rPr>
      </w:pPr>
      <w:r>
        <w:rPr>
          <w:rFonts w:ascii="Arial" w:cs="Arial" w:eastAsia="Arial" w:hAnsi="Arial"/>
          <w:sz w:val="14"/>
          <w:szCs w:val="14"/>
          <w:b w:val="1"/>
          <w:bCs w:val="1"/>
          <w:color w:val="auto"/>
        </w:rPr>
        <w:t xml:space="preserve">“NSO”: </w:t>
      </w:r>
      <w:r>
        <w:rPr>
          <w:rFonts w:ascii="Arial" w:cs="Arial" w:eastAsia="Arial" w:hAnsi="Arial"/>
          <w:sz w:val="14"/>
          <w:szCs w:val="14"/>
          <w:color w:val="auto"/>
        </w:rPr>
        <w:t>A Stock Option that is not intended to be an “incentive stock option” within the meaning of Section 422.</w:t>
      </w:r>
    </w:p>
    <w:p>
      <w:pPr>
        <w:spacing w:after="0" w:line="165" w:lineRule="exact"/>
        <w:rPr>
          <w:sz w:val="20"/>
          <w:szCs w:val="20"/>
          <w:color w:val="auto"/>
        </w:rPr>
      </w:pPr>
    </w:p>
    <w:p>
      <w:pPr>
        <w:ind w:left="7"/>
        <w:spacing w:after="0"/>
        <w:rPr>
          <w:sz w:val="20"/>
          <w:szCs w:val="20"/>
          <w:color w:val="auto"/>
        </w:rPr>
      </w:pPr>
      <w:r>
        <w:rPr>
          <w:rFonts w:ascii="Arial" w:cs="Arial" w:eastAsia="Arial" w:hAnsi="Arial"/>
          <w:sz w:val="14"/>
          <w:szCs w:val="14"/>
          <w:b w:val="1"/>
          <w:bCs w:val="1"/>
          <w:color w:val="auto"/>
        </w:rPr>
        <w:t xml:space="preserve">“Participant”: </w:t>
      </w:r>
      <w:r>
        <w:rPr>
          <w:rFonts w:ascii="Arial" w:cs="Arial" w:eastAsia="Arial" w:hAnsi="Arial"/>
          <w:sz w:val="14"/>
          <w:szCs w:val="14"/>
          <w:color w:val="auto"/>
        </w:rPr>
        <w:t>A person who is granted an Award under the Plan.</w:t>
      </w:r>
    </w:p>
    <w:p>
      <w:pPr>
        <w:spacing w:after="0" w:line="165" w:lineRule="exact"/>
        <w:rPr>
          <w:sz w:val="20"/>
          <w:szCs w:val="20"/>
          <w:color w:val="auto"/>
        </w:rPr>
      </w:pPr>
    </w:p>
    <w:p>
      <w:pPr>
        <w:ind w:left="7"/>
        <w:spacing w:after="0"/>
        <w:rPr>
          <w:sz w:val="20"/>
          <w:szCs w:val="20"/>
          <w:color w:val="auto"/>
        </w:rPr>
      </w:pPr>
      <w:r>
        <w:rPr>
          <w:rFonts w:ascii="Arial" w:cs="Arial" w:eastAsia="Arial" w:hAnsi="Arial"/>
          <w:sz w:val="14"/>
          <w:szCs w:val="14"/>
          <w:b w:val="1"/>
          <w:bCs w:val="1"/>
          <w:color w:val="auto"/>
        </w:rPr>
        <w:t xml:space="preserve">“Original Effective Date”: </w:t>
      </w:r>
      <w:r>
        <w:rPr>
          <w:rFonts w:ascii="Arial" w:cs="Arial" w:eastAsia="Arial" w:hAnsi="Arial"/>
          <w:sz w:val="14"/>
          <w:szCs w:val="14"/>
          <w:color w:val="auto"/>
        </w:rPr>
        <w:t>June 7, 2023.</w:t>
      </w:r>
    </w:p>
    <w:p>
      <w:pPr>
        <w:spacing w:after="0" w:line="165" w:lineRule="exact"/>
        <w:rPr>
          <w:sz w:val="20"/>
          <w:szCs w:val="20"/>
          <w:color w:val="auto"/>
        </w:rPr>
      </w:pPr>
    </w:p>
    <w:p>
      <w:pPr>
        <w:ind w:left="7"/>
        <w:spacing w:after="0"/>
        <w:rPr>
          <w:sz w:val="20"/>
          <w:szCs w:val="20"/>
          <w:color w:val="auto"/>
        </w:rPr>
      </w:pPr>
      <w:r>
        <w:rPr>
          <w:rFonts w:ascii="Arial" w:cs="Arial" w:eastAsia="Arial" w:hAnsi="Arial"/>
          <w:sz w:val="14"/>
          <w:szCs w:val="14"/>
          <w:b w:val="1"/>
          <w:bCs w:val="1"/>
          <w:color w:val="auto"/>
        </w:rPr>
        <w:t xml:space="preserve">“Performance Award”: </w:t>
      </w:r>
      <w:r>
        <w:rPr>
          <w:rFonts w:ascii="Arial" w:cs="Arial" w:eastAsia="Arial" w:hAnsi="Arial"/>
          <w:sz w:val="14"/>
          <w:szCs w:val="14"/>
          <w:color w:val="auto"/>
        </w:rPr>
        <w:t>An Award subject to Performance Criteria.</w:t>
      </w:r>
    </w:p>
    <w:p>
      <w:pPr>
        <w:spacing w:after="0" w:line="165" w:lineRule="exact"/>
        <w:rPr>
          <w:sz w:val="20"/>
          <w:szCs w:val="20"/>
          <w:color w:val="auto"/>
        </w:rPr>
      </w:pPr>
    </w:p>
    <w:p>
      <w:pPr>
        <w:jc w:val="both"/>
        <w:ind w:left="7"/>
        <w:spacing w:after="0" w:line="245" w:lineRule="auto"/>
        <w:rPr>
          <w:sz w:val="20"/>
          <w:szCs w:val="20"/>
          <w:color w:val="auto"/>
        </w:rPr>
      </w:pPr>
      <w:r>
        <w:rPr>
          <w:rFonts w:ascii="Arial" w:cs="Arial" w:eastAsia="Arial" w:hAnsi="Arial"/>
          <w:sz w:val="14"/>
          <w:szCs w:val="14"/>
          <w:b w:val="1"/>
          <w:bCs w:val="1"/>
          <w:color w:val="auto"/>
        </w:rPr>
        <w:t xml:space="preserve">“Performance Criteria”: </w:t>
      </w:r>
      <w:r>
        <w:rPr>
          <w:rFonts w:ascii="Arial" w:cs="Arial" w:eastAsia="Arial" w:hAnsi="Arial"/>
          <w:sz w:val="14"/>
          <w:szCs w:val="14"/>
          <w:color w:val="auto"/>
        </w:rPr>
        <w:t>Specified criteria, other than the mere continuation of Employment or the mere passage of time, the satisfaction of which is a condition for the grant,</w:t>
      </w:r>
      <w:r>
        <w:rPr>
          <w:rFonts w:ascii="Arial" w:cs="Arial" w:eastAsia="Arial" w:hAnsi="Arial"/>
          <w:sz w:val="14"/>
          <w:szCs w:val="14"/>
          <w:b w:val="1"/>
          <w:bCs w:val="1"/>
          <w:color w:val="auto"/>
        </w:rPr>
        <w:t xml:space="preserve"> </w:t>
      </w:r>
      <w:r>
        <w:rPr>
          <w:rFonts w:ascii="Arial" w:cs="Arial" w:eastAsia="Arial" w:hAnsi="Arial"/>
          <w:sz w:val="14"/>
          <w:szCs w:val="14"/>
          <w:color w:val="auto"/>
        </w:rPr>
        <w:t>exercisability, vesting or full enjoyment of an Award. Performance Criteria will include but not be limited to any objectively determinable measure of performance relating to any, or any combination, of the following (measured either absolutely or by reference to an index or indices and determined either on a consolidated basis or, as the context permits, on a divisional, subsidiary, line of business, project or geographical basis or in combinations thereof): sales; revenues; assets; expenses; earnings from operations; earnings before or after deduction for all or any portion of interest, taxes, depreciation, amortization, incentives, service fees or extraordinary or special items, whether or not on a continuing operations or an aggregate or per share basis; net income or net income per common share (basic or diluted); return on equity, investment, capital or assets; one or more operating ratios; borrowing levels, leverage ratios or credit rating; market share; capital expenditures; cash flow, free cash flow, cash flow return on investment, or net cash provided by operations; stock price, dividends or total stockholder return; development of new technologies or products; sales of particular products or services; economic value created or added; operating margin or profit margin; customer acquisition or retention; raising or refinancing of capital; successful hiring of key individuals; resolution of significant litigation; acquisitions and divestitures (in whole or in part); joint ventures and strategic alliances; spin-offs, split-ups and the like; reorganizations; recapitalizations, restructurings, financings (issuance of debt or equity) or refinancings; or strategic business criteria, consisting of one or more objectives based on the following goals: meeting specified market penetration or value added, product development or introduction (including, without limitation, any clinical trial accomplishments, regulatory or other filings or approvals, or other product development milestones), geographic business expansion, cost targets, cost reductions or savings, customer satisfaction, operating efficiency, acquisition or retention, employee satisfaction, information technology, corporate development (including, without limitation, licenses, innovation, research or establishment of third party collaborations), manufacturing or process development, legal compliance or risk reduction, patent application or issuance goals, or goals relating to acquisitions or divestitures (in whole or in part), joint ventures or strategic alliances. Performance Criteria and any targets with respect thereto determined by the Administrator need not be based upon an increase, a positive or improved result or avoidance of loss.</w:t>
      </w:r>
    </w:p>
    <w:p>
      <w:pPr>
        <w:spacing w:after="0" w:line="145" w:lineRule="exact"/>
        <w:rPr>
          <w:sz w:val="20"/>
          <w:szCs w:val="20"/>
          <w:color w:val="auto"/>
        </w:rPr>
      </w:pPr>
    </w:p>
    <w:p>
      <w:pPr>
        <w:ind w:left="7"/>
        <w:spacing w:after="0"/>
        <w:rPr>
          <w:sz w:val="20"/>
          <w:szCs w:val="20"/>
          <w:color w:val="auto"/>
        </w:rPr>
      </w:pPr>
      <w:r>
        <w:rPr>
          <w:rFonts w:ascii="Arial" w:cs="Arial" w:eastAsia="Arial" w:hAnsi="Arial"/>
          <w:sz w:val="14"/>
          <w:szCs w:val="14"/>
          <w:b w:val="1"/>
          <w:bCs w:val="1"/>
          <w:color w:val="auto"/>
        </w:rPr>
        <w:t xml:space="preserve">“Plan”: </w:t>
      </w:r>
      <w:r>
        <w:rPr>
          <w:rFonts w:ascii="Arial" w:cs="Arial" w:eastAsia="Arial" w:hAnsi="Arial"/>
          <w:sz w:val="14"/>
          <w:szCs w:val="14"/>
          <w:color w:val="auto"/>
        </w:rPr>
        <w:t>The Ultragenyx Pharmaceutical Inc. 2023 Incentive Plan as amended and restated effective as of the Effective Date, and as from time to time amended and in effect.</w:t>
      </w:r>
    </w:p>
    <w:p>
      <w:pPr>
        <w:spacing w:after="0" w:line="165" w:lineRule="exact"/>
        <w:rPr>
          <w:sz w:val="20"/>
          <w:szCs w:val="20"/>
          <w:color w:val="auto"/>
        </w:rPr>
      </w:pPr>
    </w:p>
    <w:p>
      <w:pPr>
        <w:ind w:left="7"/>
        <w:spacing w:after="0"/>
        <w:rPr>
          <w:sz w:val="20"/>
          <w:szCs w:val="20"/>
          <w:color w:val="auto"/>
        </w:rPr>
      </w:pPr>
      <w:r>
        <w:rPr>
          <w:rFonts w:ascii="Arial" w:cs="Arial" w:eastAsia="Arial" w:hAnsi="Arial"/>
          <w:sz w:val="14"/>
          <w:szCs w:val="14"/>
          <w:b w:val="1"/>
          <w:bCs w:val="1"/>
          <w:color w:val="auto"/>
        </w:rPr>
        <w:t xml:space="preserve">“Prior Plans”: </w:t>
      </w:r>
      <w:r>
        <w:rPr>
          <w:rFonts w:ascii="Arial" w:cs="Arial" w:eastAsia="Arial" w:hAnsi="Arial"/>
          <w:sz w:val="14"/>
          <w:szCs w:val="14"/>
          <w:color w:val="auto"/>
        </w:rPr>
        <w:t>The Ultragenyx Pharmaceutical Inc. 2011 Incentive Plan and the Ultragenyx Pharmaceutical Inc. 2014 Incentive Plan, in each case as amended from time to time.</w:t>
      </w:r>
    </w:p>
    <w:p>
      <w:pPr>
        <w:spacing w:after="0" w:line="165" w:lineRule="exact"/>
        <w:rPr>
          <w:sz w:val="20"/>
          <w:szCs w:val="20"/>
          <w:color w:val="auto"/>
        </w:rPr>
      </w:pPr>
    </w:p>
    <w:p>
      <w:pPr>
        <w:ind w:left="7"/>
        <w:spacing w:after="0"/>
        <w:rPr>
          <w:sz w:val="20"/>
          <w:szCs w:val="20"/>
          <w:color w:val="auto"/>
        </w:rPr>
      </w:pPr>
      <w:r>
        <w:rPr>
          <w:rFonts w:ascii="Arial" w:cs="Arial" w:eastAsia="Arial" w:hAnsi="Arial"/>
          <w:sz w:val="14"/>
          <w:szCs w:val="14"/>
          <w:b w:val="1"/>
          <w:bCs w:val="1"/>
          <w:color w:val="auto"/>
        </w:rPr>
        <w:t xml:space="preserve">“Restricted Stock”: </w:t>
      </w:r>
      <w:r>
        <w:rPr>
          <w:rFonts w:ascii="Arial" w:cs="Arial" w:eastAsia="Arial" w:hAnsi="Arial"/>
          <w:sz w:val="14"/>
          <w:szCs w:val="14"/>
          <w:color w:val="auto"/>
        </w:rPr>
        <w:t>Stock subject to restrictions requiring that it be redelivered or offered for sale to the Company if specified conditions are not satisfied.</w:t>
      </w:r>
    </w:p>
    <w:p>
      <w:pPr>
        <w:spacing w:after="0" w:line="165" w:lineRule="exact"/>
        <w:rPr>
          <w:sz w:val="20"/>
          <w:szCs w:val="20"/>
          <w:color w:val="auto"/>
        </w:rPr>
      </w:pPr>
    </w:p>
    <w:p>
      <w:pPr>
        <w:jc w:val="both"/>
        <w:ind w:left="7" w:right="20"/>
        <w:spacing w:after="0" w:line="278" w:lineRule="auto"/>
        <w:rPr>
          <w:sz w:val="20"/>
          <w:szCs w:val="20"/>
          <w:color w:val="auto"/>
        </w:rPr>
      </w:pPr>
      <w:r>
        <w:rPr>
          <w:rFonts w:ascii="Arial" w:cs="Arial" w:eastAsia="Arial" w:hAnsi="Arial"/>
          <w:sz w:val="14"/>
          <w:szCs w:val="14"/>
          <w:b w:val="1"/>
          <w:bCs w:val="1"/>
          <w:color w:val="auto"/>
        </w:rPr>
        <w:t xml:space="preserve">“Restricted Stock Unit”: </w:t>
      </w:r>
      <w:r>
        <w:rPr>
          <w:rFonts w:ascii="Arial" w:cs="Arial" w:eastAsia="Arial" w:hAnsi="Arial"/>
          <w:sz w:val="14"/>
          <w:szCs w:val="14"/>
          <w:color w:val="auto"/>
        </w:rPr>
        <w:t>A Stock Unit that is, or as to which the delivery of Stock or cash in lieu of Stock is, subject to the satisfaction of specified performance or other vesting</w:t>
      </w:r>
      <w:r>
        <w:rPr>
          <w:rFonts w:ascii="Arial" w:cs="Arial" w:eastAsia="Arial" w:hAnsi="Arial"/>
          <w:sz w:val="14"/>
          <w:szCs w:val="14"/>
          <w:b w:val="1"/>
          <w:bCs w:val="1"/>
          <w:color w:val="auto"/>
        </w:rPr>
        <w:t xml:space="preserve"> </w:t>
      </w:r>
      <w:r>
        <w:rPr>
          <w:rFonts w:ascii="Arial" w:cs="Arial" w:eastAsia="Arial" w:hAnsi="Arial"/>
          <w:sz w:val="14"/>
          <w:szCs w:val="14"/>
          <w:color w:val="auto"/>
        </w:rPr>
        <w:t>conditions.</w:t>
      </w:r>
    </w:p>
    <w:p>
      <w:pPr>
        <w:spacing w:after="0" w:line="117"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221E1F"/>
        </w:rPr>
        <w:t xml:space="preserve">ULTRAGENYX PHARMACEUTICAL INC. </w:t>
      </w:r>
      <w:r>
        <w:rPr>
          <w:rFonts w:ascii="Arial" w:cs="Arial" w:eastAsia="Arial" w:hAnsi="Arial"/>
          <w:sz w:val="14"/>
          <w:szCs w:val="14"/>
          <w:color w:val="7BBD3E"/>
        </w:rPr>
        <w:t>•</w:t>
      </w:r>
      <w:r>
        <w:rPr>
          <w:rFonts w:ascii="Arial" w:cs="Arial" w:eastAsia="Arial" w:hAnsi="Arial"/>
          <w:sz w:val="14"/>
          <w:szCs w:val="14"/>
          <w:b w:val="1"/>
          <w:bCs w:val="1"/>
          <w:color w:val="221E1F"/>
        </w:rPr>
        <w:t xml:space="preserve"> </w:t>
      </w:r>
      <w:r>
        <w:rPr>
          <w:rFonts w:ascii="Arial" w:cs="Arial" w:eastAsia="Arial" w:hAnsi="Arial"/>
          <w:sz w:val="14"/>
          <w:szCs w:val="14"/>
          <w:color w:val="221E1F"/>
        </w:rPr>
        <w:t>2025 Proxy Statement</w:t>
      </w:r>
      <w:r>
        <w:rPr>
          <w:rFonts w:ascii="Arial" w:cs="Arial" w:eastAsia="Arial" w:hAnsi="Arial"/>
          <w:sz w:val="14"/>
          <w:szCs w:val="14"/>
          <w:b w:val="1"/>
          <w:bCs w:val="1"/>
          <w:color w:val="221E1F"/>
        </w:rPr>
        <w:tab/>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150735" cy="298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0735" cy="29845"/>
                    </a:xfrm>
                    <a:prstGeom prst="rect">
                      <a:avLst/>
                    </a:prstGeom>
                    <a:noFill/>
                  </pic:spPr>
                </pic:pic>
              </a:graphicData>
            </a:graphic>
          </wp:anchor>
        </w:drawing>
      </w:r>
    </w:p>
    <w:p>
      <w:pPr>
        <w:sectPr>
          <w:pgSz w:w="11900" w:h="16838" w:orient="portrait"/>
          <w:cols w:equalWidth="0" w:num="1">
            <w:col w:w="11267"/>
          </w:cols>
          <w:pgMar w:left="313" w:top="225" w:right="319" w:bottom="1440" w:gutter="0" w:footer="0" w:header="0"/>
        </w:sectPr>
      </w:pPr>
    </w:p>
    <w:bookmarkStart w:id="82" w:name="page83"/>
    <w:bookmarkEnd w:id="82"/>
    <w:p>
      <w:pPr>
        <w:spacing w:after="0"/>
        <w:rPr>
          <w:sz w:val="20"/>
          <w:szCs w:val="20"/>
          <w:color w:val="auto"/>
        </w:rPr>
      </w:pPr>
      <w:r>
        <w:rPr>
          <w:rFonts w:ascii="Arial" w:cs="Arial" w:eastAsia="Arial" w:hAnsi="Arial"/>
          <w:sz w:val="12"/>
          <w:szCs w:val="12"/>
          <w:b w:val="1"/>
          <w:bCs w:val="1"/>
          <w:u w:val="single" w:color="auto"/>
          <w:color w:val="0000EE"/>
        </w:rPr>
        <w:t>Back to Contents</w:t>
      </w:r>
    </w:p>
    <w:p>
      <w:pPr>
        <w:spacing w:after="0" w:line="149" w:lineRule="exact"/>
        <w:rPr>
          <w:sz w:val="20"/>
          <w:szCs w:val="20"/>
          <w:color w:val="auto"/>
        </w:rPr>
      </w:pPr>
    </w:p>
    <w:p>
      <w:pPr>
        <w:spacing w:after="0" w:line="278" w:lineRule="auto"/>
        <w:rPr>
          <w:sz w:val="20"/>
          <w:szCs w:val="20"/>
          <w:color w:val="auto"/>
        </w:rPr>
      </w:pPr>
      <w:r>
        <w:rPr>
          <w:rFonts w:ascii="Arial" w:cs="Arial" w:eastAsia="Arial" w:hAnsi="Arial"/>
          <w:sz w:val="14"/>
          <w:szCs w:val="14"/>
          <w:b w:val="1"/>
          <w:bCs w:val="1"/>
          <w:color w:val="auto"/>
        </w:rPr>
        <w:t xml:space="preserve">“SAR”: </w:t>
      </w:r>
      <w:r>
        <w:rPr>
          <w:rFonts w:ascii="Arial" w:cs="Arial" w:eastAsia="Arial" w:hAnsi="Arial"/>
          <w:sz w:val="14"/>
          <w:szCs w:val="14"/>
          <w:color w:val="auto"/>
        </w:rPr>
        <w:t>A right entitling the holder upon exercise to receive an amount (payable in cash or in shares of Stock of equivalent value) equal to the excess of the Fair Market Value of the</w:t>
      </w:r>
      <w:r>
        <w:rPr>
          <w:rFonts w:ascii="Arial" w:cs="Arial" w:eastAsia="Arial" w:hAnsi="Arial"/>
          <w:sz w:val="14"/>
          <w:szCs w:val="14"/>
          <w:b w:val="1"/>
          <w:bCs w:val="1"/>
          <w:color w:val="auto"/>
        </w:rPr>
        <w:t xml:space="preserve"> </w:t>
      </w:r>
      <w:r>
        <w:rPr>
          <w:rFonts w:ascii="Arial" w:cs="Arial" w:eastAsia="Arial" w:hAnsi="Arial"/>
          <w:sz w:val="14"/>
          <w:szCs w:val="14"/>
          <w:color w:val="auto"/>
        </w:rPr>
        <w:t>shares of Stock subject to the right over the base value from which appreciation under the SAR is to be measured.</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“Section 409A”: </w:t>
      </w:r>
      <w:r>
        <w:rPr>
          <w:rFonts w:ascii="Arial" w:cs="Arial" w:eastAsia="Arial" w:hAnsi="Arial"/>
          <w:sz w:val="14"/>
          <w:szCs w:val="14"/>
          <w:color w:val="auto"/>
        </w:rPr>
        <w:t>Section 409A of the Code.</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“Section 422”: </w:t>
      </w:r>
      <w:r>
        <w:rPr>
          <w:rFonts w:ascii="Arial" w:cs="Arial" w:eastAsia="Arial" w:hAnsi="Arial"/>
          <w:sz w:val="14"/>
          <w:szCs w:val="14"/>
          <w:color w:val="auto"/>
        </w:rPr>
        <w:t>Section 422 of the Code.</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“Securities Act”: </w:t>
      </w:r>
      <w:r>
        <w:rPr>
          <w:rFonts w:ascii="Arial" w:cs="Arial" w:eastAsia="Arial" w:hAnsi="Arial"/>
          <w:sz w:val="14"/>
          <w:szCs w:val="14"/>
          <w:color w:val="auto"/>
        </w:rPr>
        <w:t>The U.S. Securities Act of 1933, as amended.</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“Stock”: </w:t>
      </w:r>
      <w:r>
        <w:rPr>
          <w:rFonts w:ascii="Arial" w:cs="Arial" w:eastAsia="Arial" w:hAnsi="Arial"/>
          <w:sz w:val="14"/>
          <w:szCs w:val="14"/>
          <w:color w:val="auto"/>
        </w:rPr>
        <w:t>Common stock of the Company, par value $0.001 per share.</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“Stock Option”: </w:t>
      </w:r>
      <w:r>
        <w:rPr>
          <w:rFonts w:ascii="Arial" w:cs="Arial" w:eastAsia="Arial" w:hAnsi="Arial"/>
          <w:sz w:val="14"/>
          <w:szCs w:val="14"/>
          <w:color w:val="auto"/>
        </w:rPr>
        <w:t>An option entitling the holder to acquire shares of Stock upon payment of the exercise price.</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“Stock Unit”: </w:t>
      </w:r>
      <w:r>
        <w:rPr>
          <w:rFonts w:ascii="Arial" w:cs="Arial" w:eastAsia="Arial" w:hAnsi="Arial"/>
          <w:sz w:val="14"/>
          <w:szCs w:val="14"/>
          <w:color w:val="auto"/>
        </w:rPr>
        <w:t>An unfunded and unsecured promise, denominated in shares of Stock, to deliver Stock or cash measured by the value of Stock in the future.</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“Unrestricted Stock”: </w:t>
      </w:r>
      <w:r>
        <w:rPr>
          <w:rFonts w:ascii="Arial" w:cs="Arial" w:eastAsia="Arial" w:hAnsi="Arial"/>
          <w:sz w:val="14"/>
          <w:szCs w:val="14"/>
          <w:color w:val="auto"/>
        </w:rPr>
        <w:t>Stock not subject to any restrictions under the terms of the Award.</w:t>
      </w:r>
    </w:p>
    <w:p>
      <w:pPr>
        <w:spacing w:after="0" w:line="165"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4"/>
          <w:szCs w:val="14"/>
          <w:b w:val="1"/>
          <w:bCs w:val="1"/>
          <w:color w:val="221E1F"/>
        </w:rPr>
        <w:t xml:space="preserve">ULTRAGENYX PHARMACEUTICAL INC. </w:t>
      </w:r>
      <w:r>
        <w:rPr>
          <w:rFonts w:ascii="Arial" w:cs="Arial" w:eastAsia="Arial" w:hAnsi="Arial"/>
          <w:sz w:val="14"/>
          <w:szCs w:val="14"/>
          <w:color w:val="7BBD3E"/>
        </w:rPr>
        <w:t>•</w:t>
      </w:r>
      <w:r>
        <w:rPr>
          <w:rFonts w:ascii="Arial" w:cs="Arial" w:eastAsia="Arial" w:hAnsi="Arial"/>
          <w:sz w:val="14"/>
          <w:szCs w:val="14"/>
          <w:b w:val="1"/>
          <w:bCs w:val="1"/>
          <w:color w:val="221E1F"/>
        </w:rPr>
        <w:t xml:space="preserve"> </w:t>
      </w:r>
      <w:r>
        <w:rPr>
          <w:rFonts w:ascii="Arial" w:cs="Arial" w:eastAsia="Arial" w:hAnsi="Arial"/>
          <w:sz w:val="14"/>
          <w:szCs w:val="14"/>
          <w:color w:val="221E1F"/>
        </w:rPr>
        <w:t>2025 Proxy Statement</w:t>
      </w:r>
      <w:r>
        <w:rPr>
          <w:rFonts w:ascii="Arial" w:cs="Arial" w:eastAsia="Arial" w:hAnsi="Arial"/>
          <w:sz w:val="14"/>
          <w:szCs w:val="14"/>
          <w:b w:val="1"/>
          <w:bCs w:val="1"/>
          <w:color w:val="221E1F"/>
        </w:rPr>
        <w:tab/>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142240</wp:posOffset>
            </wp:positionV>
            <wp:extent cx="7150735" cy="298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0735" cy="29845"/>
                    </a:xfrm>
                    <a:prstGeom prst="rect">
                      <a:avLst/>
                    </a:prstGeom>
                    <a:noFill/>
                  </pic:spPr>
                </pic:pic>
              </a:graphicData>
            </a:graphic>
          </wp:anchor>
        </w:drawing>
      </w:r>
    </w:p>
    <w:p>
      <w:pPr>
        <w:sectPr>
          <w:pgSz w:w="11900" w:h="16838" w:orient="portrait"/>
          <w:cols w:equalWidth="0" w:num="1">
            <w:col w:w="11260"/>
          </w:cols>
          <w:pgMar w:left="320" w:top="225" w:right="319" w:bottom="1440" w:gutter="0" w:footer="0" w:header="0"/>
        </w:sectPr>
      </w:pPr>
    </w:p>
    <w:bookmarkStart w:id="83" w:name="page84"/>
    <w:bookmarkEnd w:id="83"/>
    <w:p>
      <w:pPr>
        <w:spacing w:after="0"/>
        <w:rPr>
          <w:sz w:val="20"/>
          <w:szCs w:val="20"/>
          <w:color w:val="auto"/>
        </w:rPr>
      </w:pPr>
      <w:r>
        <w:rPr>
          <w:rFonts w:ascii="Arial" w:cs="Arial" w:eastAsia="Arial" w:hAnsi="Arial"/>
          <w:sz w:val="12"/>
          <w:szCs w:val="12"/>
          <w:b w:val="1"/>
          <w:bCs w:val="1"/>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102235</wp:posOffset>
            </wp:positionV>
            <wp:extent cx="7150735" cy="775081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0735" cy="7750810"/>
                    </a:xfrm>
                    <a:prstGeom prst="rect">
                      <a:avLst/>
                    </a:prstGeom>
                    <a:noFill/>
                  </pic:spPr>
                </pic:pic>
              </a:graphicData>
            </a:graphic>
          </wp:anchor>
        </w:drawing>
      </w:r>
    </w:p>
    <w:p>
      <w:pPr>
        <w:sectPr>
          <w:pgSz w:w="11900" w:h="16838" w:orient="portrait"/>
          <w:cols w:equalWidth="0" w:num="1">
            <w:col w:w="10139"/>
          </w:cols>
          <w:pgMar w:left="320" w:top="225" w:right="1440" w:bottom="1440" w:gutter="0" w:footer="0" w:header="0"/>
        </w:sectPr>
      </w:pPr>
    </w:p>
    <w:bookmarkStart w:id="84" w:name="page85"/>
    <w:bookmarkEnd w:id="84"/>
    <w:p>
      <w:pPr>
        <w:spacing w:after="0"/>
        <w:rPr>
          <w:sz w:val="20"/>
          <w:szCs w:val="20"/>
          <w:color w:val="auto"/>
        </w:rPr>
      </w:pPr>
      <w:r>
        <w:rPr>
          <w:rFonts w:ascii="Arial" w:cs="Arial" w:eastAsia="Arial" w:hAnsi="Arial"/>
          <w:sz w:val="12"/>
          <w:szCs w:val="12"/>
          <w:b w:val="1"/>
          <w:bCs w:val="1"/>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102235</wp:posOffset>
            </wp:positionV>
            <wp:extent cx="7150735" cy="785431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0735" cy="7854315"/>
                    </a:xfrm>
                    <a:prstGeom prst="rect">
                      <a:avLst/>
                    </a:prstGeom>
                    <a:noFill/>
                  </pic:spPr>
                </pic:pic>
              </a:graphicData>
            </a:graphic>
          </wp:anchor>
        </w:drawing>
      </w:r>
    </w:p>
    <w:p>
      <w:pPr>
        <w:sectPr>
          <w:pgSz w:w="11900" w:h="16838" w:orient="portrait"/>
          <w:cols w:equalWidth="0" w:num="1">
            <w:col w:w="10139"/>
          </w:cols>
          <w:pgMar w:left="320" w:top="225" w:right="1440" w:bottom="1440" w:gutter="0" w:footer="0" w:header="0"/>
        </w:sectPr>
      </w:pPr>
    </w:p>
    <w:bookmarkStart w:id="85" w:name="page86"/>
    <w:bookmarkEnd w:id="85"/>
    <w:p>
      <w:pPr>
        <w:spacing w:after="0"/>
        <w:rPr>
          <w:sz w:val="20"/>
          <w:szCs w:val="20"/>
          <w:color w:val="auto"/>
        </w:rPr>
      </w:pPr>
      <w:r>
        <w:rPr>
          <w:rFonts w:ascii="Arial" w:cs="Arial" w:eastAsia="Arial" w:hAnsi="Arial"/>
          <w:sz w:val="12"/>
          <w:szCs w:val="12"/>
          <w:b w:val="1"/>
          <w:bCs w:val="1"/>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102235</wp:posOffset>
            </wp:positionV>
            <wp:extent cx="7150735" cy="781748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0735" cy="7817485"/>
                    </a:xfrm>
                    <a:prstGeom prst="rect">
                      <a:avLst/>
                    </a:prstGeom>
                    <a:noFill/>
                  </pic:spPr>
                </pic:pic>
              </a:graphicData>
            </a:graphic>
          </wp:anchor>
        </w:drawing>
      </w:r>
    </w:p>
    <w:sectPr>
      <w:pgSz w:w="11900" w:h="16838" w:orient="portrait"/>
      <w:cols w:equalWidth="0" w:num="1">
        <w:col w:w="10139"/>
      </w:cols>
      <w:pgMar w:left="320" w:top="2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2221A70"/>
    <w:multiLevelType w:val="hybridMultilevel"/>
    <w:lvl w:ilvl="0">
      <w:lvlJc w:val="left"/>
      <w:lvlText w:val="•"/>
      <w:numFmt w:val="bullet"/>
      <w:start w:val="1"/>
    </w:lvl>
  </w:abstractNum>
  <w:abstractNum w:abstractNumId="1">
    <w:nsid w:val="4516DDE9"/>
    <w:multiLevelType w:val="hybridMultilevel"/>
    <w:lvl w:ilvl="0">
      <w:lvlJc w:val="left"/>
      <w:lvlText w:val="•"/>
      <w:numFmt w:val="bullet"/>
      <w:start w:val="1"/>
    </w:lvl>
  </w:abstractNum>
  <w:abstractNum w:abstractNumId="2">
    <w:nsid w:val="3006C83E"/>
    <w:multiLevelType w:val="hybridMultilevel"/>
    <w:lvl w:ilvl="0">
      <w:lvlJc w:val="left"/>
      <w:lvlText w:val="•"/>
      <w:numFmt w:val="bullet"/>
      <w:start w:val="1"/>
    </w:lvl>
    <w:lvl w:ilvl="1">
      <w:lvlJc w:val="left"/>
      <w:lvlText w:val="•"/>
      <w:numFmt w:val="bullet"/>
      <w:start w:val="1"/>
    </w:lvl>
  </w:abstractNum>
  <w:abstractNum w:abstractNumId="3">
    <w:nsid w:val="614FD4A1"/>
    <w:multiLevelType w:val="hybridMultilevel"/>
    <w:lvl w:ilvl="0">
      <w:lvlJc w:val="left"/>
      <w:lvlText w:val="•"/>
      <w:numFmt w:val="bullet"/>
      <w:start w:val="1"/>
    </w:lvl>
  </w:abstractNum>
  <w:abstractNum w:abstractNumId="4">
    <w:nsid w:val="419AC241"/>
    <w:multiLevelType w:val="hybridMultilevel"/>
    <w:lvl w:ilvl="0">
      <w:lvlJc w:val="left"/>
      <w:lvlText w:val="(%1)"/>
      <w:numFmt w:val="decimal"/>
      <w:start w:val="1"/>
    </w:lvl>
  </w:abstractNum>
  <w:abstractNum w:abstractNumId="5">
    <w:nsid w:val="5577F8E1"/>
    <w:multiLevelType w:val="hybridMultilevel"/>
    <w:lvl w:ilvl="0">
      <w:lvlJc w:val="left"/>
      <w:lvlText w:val="(%1)"/>
      <w:numFmt w:val="lowerRoman"/>
      <w:start w:val="1"/>
    </w:lvl>
  </w:abstractNum>
  <w:abstractNum w:abstractNumId="6">
    <w:nsid w:val="440BADFC"/>
    <w:multiLevelType w:val="hybridMultilevel"/>
    <w:lvl w:ilvl="0">
      <w:lvlJc w:val="left"/>
      <w:lvlText w:val="(%1)"/>
      <w:numFmt w:val="decimal"/>
      <w:start w:val="1"/>
    </w:lvl>
  </w:abstractNum>
  <w:abstractNum w:abstractNumId="7">
    <w:nsid w:val="5072367"/>
    <w:multiLevelType w:val="hybridMultilevel"/>
    <w:lvl w:ilvl="0">
      <w:lvlJc w:val="left"/>
      <w:lvlText w:val="•"/>
      <w:numFmt w:val="bullet"/>
      <w:start w:val="1"/>
    </w:lvl>
  </w:abstractNum>
  <w:abstractNum w:abstractNumId="8">
    <w:nsid w:val="3804823E"/>
    <w:multiLevelType w:val="hybridMultilevel"/>
    <w:lvl w:ilvl="0">
      <w:lvlJc w:val="left"/>
      <w:lvlText w:val="•"/>
      <w:numFmt w:val="bullet"/>
      <w:start w:val="1"/>
    </w:lvl>
  </w:abstractNum>
  <w:abstractNum w:abstractNumId="9">
    <w:nsid w:val="77465F01"/>
    <w:multiLevelType w:val="hybridMultilevel"/>
    <w:lvl w:ilvl="0">
      <w:lvlJc w:val="left"/>
      <w:lvlText w:val="•"/>
      <w:numFmt w:val="bullet"/>
      <w:start w:val="1"/>
    </w:lvl>
  </w:abstractNum>
  <w:abstractNum w:abstractNumId="10">
    <w:nsid w:val="7724C67E"/>
    <w:multiLevelType w:val="hybridMultilevel"/>
    <w:lvl w:ilvl="0">
      <w:lvlJc w:val="left"/>
      <w:lvlText w:val="•"/>
      <w:numFmt w:val="bullet"/>
      <w:start w:val="1"/>
    </w:lvl>
  </w:abstractNum>
  <w:abstractNum w:abstractNumId="11">
    <w:nsid w:val="5C482A97"/>
    <w:multiLevelType w:val="hybridMultilevel"/>
    <w:lvl w:ilvl="0">
      <w:lvlJc w:val="left"/>
      <w:lvlText w:val="•"/>
      <w:numFmt w:val="bullet"/>
      <w:start w:val="1"/>
    </w:lvl>
  </w:abstractNum>
  <w:abstractNum w:abstractNumId="12">
    <w:nsid w:val="2463B9EA"/>
    <w:multiLevelType w:val="hybridMultilevel"/>
    <w:lvl w:ilvl="0">
      <w:lvlJc w:val="left"/>
      <w:lvlText w:val="*"/>
      <w:numFmt w:val="bullet"/>
      <w:start w:val="1"/>
    </w:lvl>
  </w:abstractNum>
  <w:abstractNum w:abstractNumId="13">
    <w:nsid w:val="5E884ADC"/>
    <w:multiLevelType w:val="hybridMultilevel"/>
    <w:lvl w:ilvl="0">
      <w:lvlJc w:val="left"/>
      <w:lvlText w:val="(%1)"/>
      <w:numFmt w:val="decimal"/>
      <w:start w:val="1"/>
    </w:lvl>
  </w:abstractNum>
  <w:abstractNum w:abstractNumId="14">
    <w:nsid w:val="51EAD36B"/>
    <w:multiLevelType w:val="hybridMultilevel"/>
    <w:lvl w:ilvl="0">
      <w:lvlJc w:val="left"/>
      <w:lvlText w:val="(%1)"/>
      <w:numFmt w:val="decimal"/>
      <w:start w:val="3"/>
    </w:lvl>
  </w:abstractNum>
  <w:abstractNum w:abstractNumId="15">
    <w:nsid w:val="2D517796"/>
    <w:multiLevelType w:val="hybridMultilevel"/>
    <w:lvl w:ilvl="0">
      <w:lvlJc w:val="left"/>
      <w:lvlText w:val="•"/>
      <w:numFmt w:val="bullet"/>
      <w:start w:val="1"/>
    </w:lvl>
  </w:abstractNum>
  <w:abstractNum w:abstractNumId="16">
    <w:nsid w:val="580BD78F"/>
    <w:multiLevelType w:val="hybridMultilevel"/>
    <w:lvl w:ilvl="0">
      <w:lvlJc w:val="left"/>
      <w:lvlText w:val="•"/>
      <w:numFmt w:val="bullet"/>
      <w:start w:val="1"/>
    </w:lvl>
    <w:lvl w:ilvl="1">
      <w:lvlJc w:val="left"/>
      <w:lvlText w:val="■"/>
      <w:numFmt w:val="bullet"/>
      <w:start w:val="1"/>
    </w:lvl>
  </w:abstractNum>
  <w:abstractNum w:abstractNumId="17">
    <w:nsid w:val="153EA438"/>
    <w:multiLevelType w:val="hybridMultilevel"/>
    <w:lvl w:ilvl="0">
      <w:lvlJc w:val="left"/>
      <w:lvlText w:val="•"/>
      <w:numFmt w:val="bullet"/>
      <w:start w:val="1"/>
    </w:lvl>
    <w:lvl w:ilvl="1">
      <w:lvlJc w:val="left"/>
      <w:lvlText w:val="■"/>
      <w:numFmt w:val="bullet"/>
      <w:start w:val="1"/>
    </w:lvl>
  </w:abstractNum>
  <w:abstractNum w:abstractNumId="18">
    <w:nsid w:val="3855585C"/>
    <w:multiLevelType w:val="hybridMultilevel"/>
    <w:lvl w:ilvl="0">
      <w:lvlJc w:val="left"/>
      <w:lvlText w:val="•"/>
      <w:numFmt w:val="bullet"/>
      <w:start w:val="1"/>
    </w:lvl>
  </w:abstractNum>
  <w:abstractNum w:abstractNumId="19">
    <w:nsid w:val="70A64E2A"/>
    <w:multiLevelType w:val="hybridMultilevel"/>
    <w:lvl w:ilvl="0">
      <w:lvlJc w:val="left"/>
      <w:lvlText w:val="(%1)"/>
      <w:numFmt w:val="decimal"/>
      <w:start w:val="1"/>
    </w:lvl>
  </w:abstractNum>
  <w:abstractNum w:abstractNumId="20">
    <w:nsid w:val="6A2342EC"/>
    <w:multiLevelType w:val="hybridMultilevel"/>
    <w:lvl w:ilvl="0">
      <w:lvlJc w:val="left"/>
      <w:lvlText w:val="•"/>
      <w:numFmt w:val="bullet"/>
      <w:start w:val="1"/>
    </w:lvl>
  </w:abstractNum>
  <w:abstractNum w:abstractNumId="21">
    <w:nsid w:val="2A487CB0"/>
    <w:multiLevelType w:val="hybridMultilevel"/>
    <w:lvl w:ilvl="0">
      <w:lvlJc w:val="left"/>
      <w:lvlText w:val="•"/>
      <w:numFmt w:val="bullet"/>
      <w:start w:val="1"/>
    </w:lvl>
  </w:abstractNum>
  <w:abstractNum w:abstractNumId="22">
    <w:nsid w:val="1D4ED43B"/>
    <w:multiLevelType w:val="hybridMultilevel"/>
    <w:lvl w:ilvl="0">
      <w:lvlJc w:val="left"/>
      <w:lvlText w:val="•"/>
      <w:numFmt w:val="bullet"/>
      <w:start w:val="1"/>
    </w:lvl>
  </w:abstractNum>
  <w:abstractNum w:abstractNumId="23">
    <w:nsid w:val="725A06FB"/>
    <w:multiLevelType w:val="hybridMultilevel"/>
    <w:lvl w:ilvl="0">
      <w:lvlJc w:val="left"/>
      <w:lvlText w:val="•"/>
      <w:numFmt w:val="bullet"/>
      <w:start w:val="1"/>
    </w:lvl>
  </w:abstractNum>
  <w:abstractNum w:abstractNumId="24">
    <w:nsid w:val="2CD89A32"/>
    <w:multiLevelType w:val="hybridMultilevel"/>
    <w:lvl w:ilvl="0">
      <w:lvlJc w:val="left"/>
      <w:lvlText w:val="•"/>
      <w:numFmt w:val="bullet"/>
      <w:start w:val="1"/>
    </w:lvl>
  </w:abstractNum>
  <w:abstractNum w:abstractNumId="25">
    <w:nsid w:val="57E4CCAF"/>
    <w:multiLevelType w:val="hybridMultilevel"/>
    <w:lvl w:ilvl="0">
      <w:lvlJc w:val="left"/>
      <w:lvlText w:val="•"/>
      <w:numFmt w:val="bullet"/>
      <w:start w:val="1"/>
    </w:lvl>
  </w:abstractNum>
  <w:abstractNum w:abstractNumId="26">
    <w:nsid w:val="7A6D8D3C"/>
    <w:multiLevelType w:val="hybridMultilevel"/>
    <w:lvl w:ilvl="0">
      <w:lvlJc w:val="left"/>
      <w:lvlText w:val="•"/>
      <w:numFmt w:val="bullet"/>
      <w:start w:val="1"/>
    </w:lvl>
  </w:abstractNum>
  <w:abstractNum w:abstractNumId="27">
    <w:nsid w:val="4B588F54"/>
    <w:multiLevelType w:val="hybridMultilevel"/>
    <w:lvl w:ilvl="0">
      <w:lvlJc w:val="left"/>
      <w:lvlText w:val="•"/>
      <w:numFmt w:val="bullet"/>
      <w:start w:val="1"/>
    </w:lvl>
  </w:abstractNum>
  <w:abstractNum w:abstractNumId="28">
    <w:nsid w:val="542289EC"/>
    <w:multiLevelType w:val="hybridMultilevel"/>
    <w:lvl w:ilvl="0">
      <w:lvlJc w:val="left"/>
      <w:lvlText w:val="•"/>
      <w:numFmt w:val="bullet"/>
      <w:start w:val="1"/>
    </w:lvl>
  </w:abstractNum>
  <w:abstractNum w:abstractNumId="29">
    <w:nsid w:val="6DE91B18"/>
    <w:multiLevelType w:val="hybridMultilevel"/>
    <w:lvl w:ilvl="0">
      <w:lvlJc w:val="left"/>
      <w:lvlText w:val="•"/>
      <w:numFmt w:val="bullet"/>
      <w:start w:val="1"/>
    </w:lvl>
  </w:abstractNum>
  <w:abstractNum w:abstractNumId="30">
    <w:nsid w:val="38437FDB"/>
    <w:multiLevelType w:val="hybridMultilevel"/>
    <w:lvl w:ilvl="0">
      <w:lvlJc w:val="left"/>
      <w:lvlText w:val="•"/>
      <w:numFmt w:val="bullet"/>
      <w:start w:val="1"/>
    </w:lvl>
  </w:abstractNum>
  <w:abstractNum w:abstractNumId="31">
    <w:nsid w:val="7644A45C"/>
    <w:multiLevelType w:val="hybridMultilevel"/>
    <w:lvl w:ilvl="0">
      <w:lvlJc w:val="left"/>
      <w:lvlText w:val="(%1)"/>
      <w:numFmt w:val="decimal"/>
      <w:start w:val="1"/>
    </w:lvl>
  </w:abstractNum>
  <w:abstractNum w:abstractNumId="32">
    <w:nsid w:val="32FFF902"/>
    <w:multiLevelType w:val="hybridMultilevel"/>
    <w:lvl w:ilvl="0">
      <w:lvlJc w:val="left"/>
      <w:lvlText w:val="•"/>
      <w:numFmt w:val="bullet"/>
      <w:start w:val="1"/>
    </w:lvl>
  </w:abstractNum>
  <w:abstractNum w:abstractNumId="33">
    <w:nsid w:val="684A481A"/>
    <w:multiLevelType w:val="hybridMultilevel"/>
    <w:lvl w:ilvl="0">
      <w:lvlJc w:val="left"/>
      <w:lvlText w:val="•"/>
      <w:numFmt w:val="bullet"/>
      <w:start w:val="1"/>
    </w:lvl>
  </w:abstractNum>
  <w:abstractNum w:abstractNumId="34">
    <w:nsid w:val="579478FE"/>
    <w:multiLevelType w:val="hybridMultilevel"/>
    <w:lvl w:ilvl="0">
      <w:lvlJc w:val="left"/>
      <w:lvlText w:val="•"/>
      <w:numFmt w:val="bullet"/>
      <w:start w:val="1"/>
    </w:lvl>
  </w:abstractNum>
  <w:abstractNum w:abstractNumId="35">
    <w:nsid w:val="749ABB43"/>
    <w:multiLevelType w:val="hybridMultilevel"/>
    <w:lvl w:ilvl="0">
      <w:lvlJc w:val="left"/>
      <w:lvlText w:val="•"/>
      <w:numFmt w:val="bullet"/>
      <w:start w:val="1"/>
    </w:lvl>
  </w:abstractNum>
  <w:abstractNum w:abstractNumId="36">
    <w:nsid w:val="3DC240FB"/>
    <w:multiLevelType w:val="hybridMultilevel"/>
    <w:lvl w:ilvl="0">
      <w:lvlJc w:val="left"/>
      <w:lvlText w:val="•"/>
      <w:numFmt w:val="bullet"/>
      <w:start w:val="1"/>
    </w:lvl>
  </w:abstractNum>
  <w:abstractNum w:abstractNumId="37">
    <w:nsid w:val="1BA026FA"/>
    <w:multiLevelType w:val="hybridMultilevel"/>
    <w:lvl w:ilvl="0">
      <w:lvlJc w:val="left"/>
      <w:lvlText w:val="(%1)"/>
      <w:numFmt w:val="decimal"/>
      <w:start w:val="1"/>
    </w:lvl>
  </w:abstractNum>
  <w:abstractNum w:abstractNumId="38">
    <w:nsid w:val="79A1DEAA"/>
    <w:multiLevelType w:val="hybridMultilevel"/>
    <w:lvl w:ilvl="0">
      <w:lvlJc w:val="left"/>
      <w:lvlText w:val="(%1)"/>
      <w:numFmt w:val="decimal"/>
      <w:start w:val="1"/>
    </w:lvl>
  </w:abstractNum>
  <w:abstractNum w:abstractNumId="39">
    <w:nsid w:val="75C6C33A"/>
    <w:multiLevelType w:val="hybridMultilevel"/>
    <w:lvl w:ilvl="0">
      <w:lvlJc w:val="left"/>
      <w:lvlText w:val="(%1)"/>
      <w:numFmt w:val="decimal"/>
      <w:start w:val="1"/>
    </w:lvl>
  </w:abstractNum>
  <w:abstractNum w:abstractNumId="40">
    <w:nsid w:val="12E685FB"/>
    <w:multiLevelType w:val="hybridMultilevel"/>
    <w:lvl w:ilvl="0">
      <w:lvlJc w:val="left"/>
      <w:lvlText w:val="(%1)"/>
      <w:numFmt w:val="decimal"/>
      <w:start w:val="1"/>
    </w:lvl>
  </w:abstractNum>
  <w:abstractNum w:abstractNumId="41">
    <w:nsid w:val="70C6A529"/>
    <w:multiLevelType w:val="hybridMultilevel"/>
    <w:lvl w:ilvl="0">
      <w:lvlJc w:val="left"/>
      <w:lvlText w:val="(%1)"/>
      <w:numFmt w:val="decimal"/>
      <w:start w:val="1"/>
    </w:lvl>
  </w:abstractNum>
  <w:abstractNum w:abstractNumId="42">
    <w:nsid w:val="520EEDD1"/>
    <w:multiLevelType w:val="hybridMultilevel"/>
    <w:lvl w:ilvl="0">
      <w:lvlJc w:val="left"/>
      <w:lvlText w:val="(%1)"/>
      <w:numFmt w:val="decimal"/>
      <w:start w:val="1"/>
    </w:lvl>
  </w:abstractNum>
  <w:abstractNum w:abstractNumId="43">
    <w:nsid w:val="374A3FE6"/>
    <w:multiLevelType w:val="hybridMultilevel"/>
    <w:lvl w:ilvl="0">
      <w:lvlJc w:val="left"/>
      <w:lvlText w:val="(%1)"/>
      <w:numFmt w:val="decimal"/>
      <w:start w:val="1"/>
    </w:lvl>
  </w:abstractNum>
  <w:abstractNum w:abstractNumId="44">
    <w:nsid w:val="4F4EF005"/>
    <w:multiLevelType w:val="hybridMultilevel"/>
    <w:lvl w:ilvl="0">
      <w:lvlJc w:val="left"/>
      <w:lvlText w:val="(%1)"/>
      <w:numFmt w:val="decimal"/>
      <w:start w:val="3"/>
    </w:lvl>
  </w:abstractNum>
  <w:abstractNum w:abstractNumId="45">
    <w:nsid w:val="23F9C13C"/>
    <w:multiLevelType w:val="hybridMultilevel"/>
    <w:lvl w:ilvl="0">
      <w:lvlJc w:val="left"/>
      <w:lvlText w:val="(%1)"/>
      <w:numFmt w:val="decimal"/>
      <w:start w:val="5"/>
    </w:lvl>
  </w:abstractNum>
  <w:abstractNum w:abstractNumId="46">
    <w:nsid w:val="649BB77C"/>
    <w:multiLevelType w:val="hybridMultilevel"/>
    <w:lvl w:ilvl="0">
      <w:lvlJc w:val="left"/>
      <w:lvlText w:val="•"/>
      <w:numFmt w:val="bullet"/>
      <w:start w:val="1"/>
    </w:lvl>
  </w:abstractNum>
  <w:abstractNum w:abstractNumId="47">
    <w:nsid w:val="275AC794"/>
    <w:multiLevelType w:val="hybridMultilevel"/>
    <w:lvl w:ilvl="0">
      <w:lvlJc w:val="left"/>
      <w:lvlText w:val="%1."/>
      <w:numFmt w:val="decimal"/>
      <w:start w:val="1"/>
    </w:lvl>
  </w:abstractNum>
  <w:abstractNum w:abstractNumId="48">
    <w:nsid w:val="39386575"/>
    <w:multiLevelType w:val="hybridMultilevel"/>
    <w:lvl w:ilvl="0">
      <w:lvlJc w:val="left"/>
      <w:lvlText w:val="•"/>
      <w:numFmt w:val="bullet"/>
      <w:start w:val="1"/>
    </w:lvl>
  </w:abstractNum>
  <w:abstractNum w:abstractNumId="49">
    <w:nsid w:val="1CF10FD8"/>
    <w:multiLevelType w:val="hybridMultilevel"/>
    <w:lvl w:ilvl="0">
      <w:lvlJc w:val="left"/>
      <w:lvlText w:val="•"/>
      <w:numFmt w:val="bullet"/>
      <w:start w:val="1"/>
    </w:lvl>
  </w:abstractNum>
  <w:abstractNum w:abstractNumId="50">
    <w:nsid w:val="180115BE"/>
    <w:multiLevelType w:val="hybridMultilevel"/>
    <w:lvl w:ilvl="0">
      <w:lvlJc w:val="left"/>
      <w:lvlText w:val="•"/>
      <w:numFmt w:val="bullet"/>
      <w:start w:val="1"/>
    </w:lvl>
  </w:abstractNum>
  <w:abstractNum w:abstractNumId="51">
    <w:nsid w:val="235BA861"/>
    <w:multiLevelType w:val="hybridMultilevel"/>
    <w:lvl w:ilvl="0">
      <w:lvlJc w:val="left"/>
      <w:lvlText w:val="•"/>
      <w:numFmt w:val="bullet"/>
      <w:start w:val="1"/>
    </w:lvl>
  </w:abstractNum>
  <w:abstractNum w:abstractNumId="52">
    <w:nsid w:val="47398C89"/>
    <w:multiLevelType w:val="hybridMultilevel"/>
    <w:lvl w:ilvl="0">
      <w:lvlJc w:val="left"/>
      <w:lvlText w:val="(%1)"/>
      <w:numFmt w:val="lowerLetter"/>
      <w:start w:val="1"/>
    </w:lvl>
    <w:lvl w:ilvl="1">
      <w:lvlJc w:val="left"/>
      <w:lvlText w:val="(%2)"/>
      <w:numFmt w:val="lowerRoman"/>
      <w:start w:val="1"/>
    </w:lvl>
  </w:abstractNum>
  <w:abstractNum w:abstractNumId="53">
    <w:nsid w:val="354FE9F9"/>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54">
    <w:nsid w:val="15B5AF5C"/>
    <w:multiLevelType w:val="hybridMultilevel"/>
    <w:lvl w:ilvl="0">
      <w:lvlJc w:val="left"/>
      <w:lvlText w:val="%1"/>
      <w:numFmt w:val="lowerLetter"/>
      <w:start w:val="1"/>
    </w:lvl>
    <w:lvl w:ilvl="1">
      <w:lvlJc w:val="left"/>
      <w:lvlText w:val="(%2)"/>
      <w:numFmt w:val="lowerRoman"/>
      <w:start w:val="7"/>
    </w:lvl>
  </w:abstractNum>
  <w:abstractNum w:abstractNumId="55">
    <w:nsid w:val="741226BB"/>
    <w:multiLevelType w:val="hybridMultilevel"/>
    <w:lvl w:ilvl="0">
      <w:lvlJc w:val="left"/>
      <w:lvlText w:val="(%1)"/>
      <w:numFmt w:val="lowerLetter"/>
      <w:start w:val="2"/>
    </w:lvl>
    <w:lvl w:ilvl="1">
      <w:lvlJc w:val="left"/>
      <w:lvlText w:val="(%2)"/>
      <w:numFmt w:val="lowerRoman"/>
      <w:start w:val="1"/>
    </w:lvl>
  </w:abstractNum>
  <w:abstractNum w:abstractNumId="56">
    <w:nsid w:val="D34B6A8"/>
    <w:multiLevelType w:val="hybridMultilevel"/>
    <w:lvl w:ilvl="0">
      <w:lvlJc w:val="left"/>
      <w:lvlText w:val="(%1)"/>
      <w:numFmt w:val="lowerLetter"/>
      <w:start w:val="1"/>
    </w:lvl>
    <w:lvl w:ilvl="1">
      <w:lvlJc w:val="left"/>
      <w:lvlText w:val="(%2)"/>
      <w:numFmt w:val="lowerRoman"/>
      <w:start w:val="1"/>
    </w:lvl>
  </w:abstractNum>
  <w:abstractNum w:abstractNumId="57">
    <w:nsid w:val="10233C99"/>
    <w:multiLevelType w:val="hybridMultilevel"/>
    <w:lvl w:ilvl="0">
      <w:lvlJc w:val="left"/>
      <w:lvlText w:val="%1"/>
      <w:numFmt w:val="decimal"/>
      <w:start w:val="1"/>
    </w:lvl>
    <w:lvl w:ilvl="1">
      <w:lvlJc w:val="left"/>
      <w:lvlText w:val="(%2)"/>
      <w:numFmt w:val="lowerRoman"/>
      <w:start w:val="3"/>
    </w:lvl>
  </w:abstractNum>
  <w:abstractNum w:abstractNumId="58">
    <w:nsid w:val="3F6AB60F"/>
    <w:multiLevelType w:val="hybridMultilevel"/>
    <w:lvl w:ilvl="0">
      <w:lvlJc w:val="left"/>
      <w:lvlText w:val="%1."/>
      <w:numFmt w:val="decimal"/>
      <w:start w:val="8"/>
    </w:lvl>
    <w:lvl w:ilvl="1">
      <w:lvlJc w:val="left"/>
      <w:lvlText w:val="%2"/>
      <w:numFmt w:val="lowerRoman"/>
      <w:start w:val="1"/>
    </w:lvl>
  </w:abstractNum>
  <w:abstractNum w:abstractNumId="59">
    <w:nsid w:val="61574095"/>
    <w:multiLevelType w:val="hybridMultilevel"/>
    <w:lvl w:ilvl="0">
      <w:lvlJc w:val="left"/>
      <w:lvlText w:val="(%1)"/>
      <w:numFmt w:val="lowerLetter"/>
      <w:start w:val="1"/>
    </w:lvl>
  </w:abstractNum>
  <w:abstractNum w:abstractNumId="60">
    <w:nsid w:val="7E0C57B1"/>
    <w:multiLevelType w:val="hybridMultilevel"/>
    <w:lvl w:ilvl="0">
      <w:lvlJc w:val="left"/>
      <w:lvlText w:val="(%1)"/>
      <w:numFmt w:val="lowerLetter"/>
      <w:start w:val="1"/>
    </w:lvl>
  </w:abstractNum>
  <w:abstractNum w:abstractNumId="61">
    <w:nsid w:val="77AE35EB"/>
    <w:multiLevelType w:val="hybridMultilevel"/>
    <w:lvl w:ilvl="0">
      <w:lvlJc w:val="left"/>
      <w:lvlText w:val="(%1)"/>
      <w:numFmt w:val="lowerRoman"/>
      <w:start w:val="1"/>
    </w:lvl>
  </w:abstractNum>
  <w:abstractNum w:abstractNumId="62">
    <w:nsid w:val="579BE4F1"/>
    <w:multiLevelType w:val="hybridMultilevel"/>
    <w:lvl w:ilvl="0">
      <w:lvlJc w:val="left"/>
      <w:lvlText w:val="(%1)"/>
      <w:numFmt w:val="lowerRoman"/>
      <w:start w:val="1"/>
    </w:lvl>
  </w:abstractNum>
  <w:abstractNum w:abstractNumId="63">
    <w:nsid w:val="310C50B3"/>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jpe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jpeg"/><Relationship Id="rId118" Type="http://schemas.openxmlformats.org/officeDocument/2006/relationships/image" Target="media/image111.jpe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jpeg"/><Relationship Id="rId123" Type="http://schemas.openxmlformats.org/officeDocument/2006/relationships/image" Target="media/image116.jpeg"/><Relationship Id="rId124" Type="http://schemas.openxmlformats.org/officeDocument/2006/relationships/image" Target="media/image117.jpe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jpeg"/><Relationship Id="rId129" Type="http://schemas.openxmlformats.org/officeDocument/2006/relationships/image" Target="media/image122.jpeg"/><Relationship Id="rId130" Type="http://schemas.openxmlformats.org/officeDocument/2006/relationships/image" Target="media/image123.jpeg"/><Relationship Id="rId131" Type="http://schemas.openxmlformats.org/officeDocument/2006/relationships/image" Target="media/image124.jpeg"/><Relationship Id="rId132" Type="http://schemas.openxmlformats.org/officeDocument/2006/relationships/image" Target="media/image125.jpeg"/><Relationship Id="rId133" Type="http://schemas.openxmlformats.org/officeDocument/2006/relationships/image" Target="media/image126.jpe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jpeg"/><Relationship Id="rId138" Type="http://schemas.openxmlformats.org/officeDocument/2006/relationships/image" Target="media/image131.jpe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jpeg"/><Relationship Id="rId145" Type="http://schemas.openxmlformats.org/officeDocument/2006/relationships/image" Target="media/image138.jpeg"/><Relationship Id="rId146" Type="http://schemas.openxmlformats.org/officeDocument/2006/relationships/image" Target="media/image139.jpe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jpe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jpe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jpeg"/><Relationship Id="rId160" Type="http://schemas.openxmlformats.org/officeDocument/2006/relationships/image" Target="media/image153.jpeg"/><Relationship Id="rId161" Type="http://schemas.openxmlformats.org/officeDocument/2006/relationships/image" Target="media/image154.jpe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jpe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jpeg"/><Relationship Id="rId224" Type="http://schemas.openxmlformats.org/officeDocument/2006/relationships/image" Target="media/image217.png"/><Relationship Id="rId225" Type="http://schemas.openxmlformats.org/officeDocument/2006/relationships/image" Target="media/image218.jpe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jpeg"/><Relationship Id="rId229" Type="http://schemas.openxmlformats.org/officeDocument/2006/relationships/image" Target="media/image222.png"/><Relationship Id="rId230" Type="http://schemas.openxmlformats.org/officeDocument/2006/relationships/image" Target="media/image223.jpe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jpe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jpe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2025-03-28T17:19:47Z</dcterms:created>
  <dcterms:modified xsi:type="dcterms:W3CDTF">2025-03-28T17:19:47Z</dcterms:modified>
</cp:coreProperties>
</file>