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197485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Ultragenyx Pharmaceutical Inc.</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1040" w:type="dxa"/>
        <w:tblCellMar>
          <w:top w:w="0" w:type="dxa"/>
          <w:left w:w="0" w:type="dxa"/>
          <w:bottom w:w="0" w:type="dxa"/>
          <w:right w:w="0" w:type="dxa"/>
        </w:tblCellMar>
      </w:tblPr>
      <w:tr>
        <w:trPr>
          <w:trHeight w:val="207"/>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rPr>
              <w:t>Delaware</w:t>
            </w:r>
          </w:p>
        </w:tc>
        <w:tc>
          <w:tcPr>
            <w:tcW w:w="3240" w:type="dxa"/>
            <w:vAlign w:val="bottom"/>
          </w:tcPr>
          <w:p>
            <w:pPr>
              <w:jc w:val="right"/>
              <w:ind w:right="1281"/>
              <w:spacing w:after="0"/>
              <w:rPr>
                <w:sz w:val="20"/>
                <w:szCs w:val="20"/>
                <w:color w:val="auto"/>
              </w:rPr>
            </w:pPr>
            <w:r>
              <w:rPr>
                <w:rFonts w:ascii="Arial" w:cs="Arial" w:eastAsia="Arial" w:hAnsi="Arial"/>
                <w:sz w:val="18"/>
                <w:szCs w:val="18"/>
                <w:b w:val="1"/>
                <w:bCs w:val="1"/>
                <w:color w:val="auto"/>
              </w:rPr>
              <w:t>001-36276</w:t>
            </w:r>
          </w:p>
        </w:tc>
        <w:tc>
          <w:tcPr>
            <w:tcW w:w="2080" w:type="dxa"/>
            <w:vAlign w:val="bottom"/>
          </w:tcPr>
          <w:p>
            <w:pPr>
              <w:jc w:val="right"/>
              <w:ind w:right="4"/>
              <w:spacing w:after="0"/>
              <w:rPr>
                <w:sz w:val="20"/>
                <w:szCs w:val="20"/>
                <w:color w:val="auto"/>
              </w:rPr>
            </w:pPr>
            <w:r>
              <w:rPr>
                <w:rFonts w:ascii="Arial" w:cs="Arial" w:eastAsia="Arial" w:hAnsi="Arial"/>
                <w:sz w:val="18"/>
                <w:szCs w:val="18"/>
                <w:b w:val="1"/>
                <w:bCs w:val="1"/>
                <w:color w:val="auto"/>
              </w:rPr>
              <w:t>27-2546083</w:t>
            </w:r>
          </w:p>
        </w:tc>
      </w:tr>
      <w:tr>
        <w:trPr>
          <w:trHeight w:val="149"/>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Arial" w:cs="Arial" w:eastAsia="Arial" w:hAnsi="Arial"/>
                <w:sz w:val="13"/>
                <w:szCs w:val="13"/>
                <w:b w:val="1"/>
                <w:bCs w:val="1"/>
                <w:color w:val="auto"/>
              </w:rPr>
              <w:t>(Commission File Number)</w:t>
            </w: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(IRS Employer</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of Incorporation)</w:t>
            </w:r>
          </w:p>
        </w:tc>
        <w:tc>
          <w:tcPr>
            <w:tcW w:w="3240" w:type="dxa"/>
            <w:vAlign w:val="bottom"/>
          </w:tcPr>
          <w:p>
            <w:pPr>
              <w:spacing w:after="0"/>
              <w:rPr>
                <w:sz w:val="16"/>
                <w:szCs w:val="16"/>
                <w:color w:val="auto"/>
              </w:rPr>
            </w:pPr>
          </w:p>
        </w:tc>
        <w:tc>
          <w:tcPr>
            <w:tcW w:w="2080" w:type="dxa"/>
            <w:vAlign w:val="bottom"/>
          </w:tcPr>
          <w:p>
            <w:pPr>
              <w:jc w:val="center"/>
              <w:ind w:left="864"/>
              <w:spacing w:after="0"/>
              <w:rPr>
                <w:sz w:val="20"/>
                <w:szCs w:val="20"/>
                <w:color w:val="auto"/>
              </w:rPr>
            </w:pPr>
            <w:r>
              <w:rPr>
                <w:rFonts w:ascii="Arial" w:cs="Arial" w:eastAsia="Arial" w:hAnsi="Arial"/>
                <w:sz w:val="13"/>
                <w:szCs w:val="13"/>
                <w:b w:val="1"/>
                <w:bCs w:val="1"/>
                <w:color w:val="auto"/>
              </w:rPr>
              <w:t>Identification No.)</w:t>
            </w:r>
          </w:p>
        </w:tc>
      </w:tr>
      <w:tr>
        <w:trPr>
          <w:trHeight w:val="363"/>
        </w:trPr>
        <w:tc>
          <w:tcPr>
            <w:tcW w:w="3140" w:type="dxa"/>
            <w:vAlign w:val="bottom"/>
          </w:tcPr>
          <w:p>
            <w:pPr>
              <w:jc w:val="center"/>
              <w:ind w:right="501"/>
              <w:spacing w:after="0"/>
              <w:rPr>
                <w:sz w:val="20"/>
                <w:szCs w:val="20"/>
                <w:color w:val="auto"/>
              </w:rPr>
            </w:pPr>
            <w:r>
              <w:rPr>
                <w:rFonts w:ascii="Arial" w:cs="Arial" w:eastAsia="Arial" w:hAnsi="Arial"/>
                <w:sz w:val="18"/>
                <w:szCs w:val="18"/>
                <w:b w:val="1"/>
                <w:bCs w:val="1"/>
                <w:color w:val="auto"/>
                <w:w w:val="99"/>
              </w:rPr>
              <w:t>60 Leveroni Court</w:t>
            </w:r>
          </w:p>
        </w:tc>
        <w:tc>
          <w:tcPr>
            <w:tcW w:w="3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7"/>
        </w:trPr>
        <w:tc>
          <w:tcPr>
            <w:tcW w:w="3140" w:type="dxa"/>
            <w:vAlign w:val="bottom"/>
          </w:tcPr>
          <w:p>
            <w:pPr>
              <w:jc w:val="center"/>
              <w:ind w:right="521"/>
              <w:spacing w:after="0"/>
              <w:rPr>
                <w:sz w:val="20"/>
                <w:szCs w:val="20"/>
                <w:color w:val="auto"/>
              </w:rPr>
            </w:pPr>
            <w:r>
              <w:rPr>
                <w:rFonts w:ascii="Arial" w:cs="Arial" w:eastAsia="Arial" w:hAnsi="Arial"/>
                <w:sz w:val="18"/>
                <w:szCs w:val="18"/>
                <w:b w:val="1"/>
                <w:bCs w:val="1"/>
                <w:color w:val="auto"/>
                <w:w w:val="99"/>
              </w:rPr>
              <w:t>Novato, California</w:t>
            </w:r>
          </w:p>
        </w:tc>
        <w:tc>
          <w:tcPr>
            <w:tcW w:w="3240" w:type="dxa"/>
            <w:vAlign w:val="bottom"/>
          </w:tcPr>
          <w:p>
            <w:pPr>
              <w:spacing w:after="0"/>
              <w:rPr>
                <w:sz w:val="17"/>
                <w:szCs w:val="17"/>
                <w:color w:val="auto"/>
              </w:rPr>
            </w:pPr>
          </w:p>
        </w:tc>
        <w:tc>
          <w:tcPr>
            <w:tcW w:w="2080" w:type="dxa"/>
            <w:vAlign w:val="bottom"/>
          </w:tcPr>
          <w:p>
            <w:pPr>
              <w:jc w:val="right"/>
              <w:ind w:right="244"/>
              <w:spacing w:after="0"/>
              <w:rPr>
                <w:sz w:val="20"/>
                <w:szCs w:val="20"/>
                <w:color w:val="auto"/>
              </w:rPr>
            </w:pPr>
            <w:r>
              <w:rPr>
                <w:rFonts w:ascii="Arial" w:cs="Arial" w:eastAsia="Arial" w:hAnsi="Arial"/>
                <w:sz w:val="18"/>
                <w:szCs w:val="18"/>
                <w:b w:val="1"/>
                <w:bCs w:val="1"/>
                <w:color w:val="auto"/>
              </w:rPr>
              <w:t>94949</w:t>
            </w:r>
          </w:p>
        </w:tc>
      </w:tr>
      <w:tr>
        <w:trPr>
          <w:trHeight w:val="186"/>
        </w:trPr>
        <w:tc>
          <w:tcPr>
            <w:tcW w:w="3140" w:type="dxa"/>
            <w:vAlign w:val="bottom"/>
          </w:tcPr>
          <w:p>
            <w:pPr>
              <w:jc w:val="center"/>
              <w:ind w:right="501"/>
              <w:spacing w:after="0"/>
              <w:rPr>
                <w:sz w:val="20"/>
                <w:szCs w:val="20"/>
                <w:color w:val="auto"/>
              </w:rPr>
            </w:pPr>
            <w:r>
              <w:rPr>
                <w:rFonts w:ascii="Arial" w:cs="Arial" w:eastAsia="Arial" w:hAnsi="Arial"/>
                <w:sz w:val="13"/>
                <w:szCs w:val="13"/>
                <w:b w:val="1"/>
                <w:bCs w:val="1"/>
                <w:color w:val="auto"/>
              </w:rPr>
              <w:t>(Address of Principal Executive Offices)</w:t>
            </w:r>
          </w:p>
        </w:tc>
        <w:tc>
          <w:tcPr>
            <w:tcW w:w="3240" w:type="dxa"/>
            <w:vAlign w:val="bottom"/>
          </w:tcPr>
          <w:p>
            <w:pPr>
              <w:spacing w:after="0"/>
              <w:rPr>
                <w:sz w:val="16"/>
                <w:szCs w:val="16"/>
                <w:color w:val="auto"/>
              </w:rPr>
            </w:pPr>
          </w:p>
        </w:tc>
        <w:tc>
          <w:tcPr>
            <w:tcW w:w="2080" w:type="dxa"/>
            <w:vAlign w:val="bottom"/>
          </w:tcPr>
          <w:p>
            <w:pPr>
              <w:jc w:val="center"/>
              <w:ind w:left="884"/>
              <w:spacing w:after="0"/>
              <w:rPr>
                <w:sz w:val="20"/>
                <w:szCs w:val="20"/>
                <w:color w:val="auto"/>
              </w:rPr>
            </w:pPr>
            <w:r>
              <w:rPr>
                <w:rFonts w:ascii="Arial" w:cs="Arial" w:eastAsia="Arial" w:hAnsi="Arial"/>
                <w:sz w:val="13"/>
                <w:szCs w:val="13"/>
                <w:b w:val="1"/>
                <w:bCs w:val="1"/>
                <w:color w:val="auto"/>
              </w:rPr>
              <w:t>(Zip Code)</w:t>
            </w:r>
          </w:p>
        </w:tc>
      </w:tr>
    </w:tbl>
    <w:p>
      <w:pPr>
        <w:spacing w:after="0" w:line="39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415 483-8800</w:t>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248920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2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Symbol(s)</w:t>
            </w:r>
          </w:p>
        </w:tc>
        <w:tc>
          <w:tcPr>
            <w:tcW w:w="120" w:type="dxa"/>
            <w:vAlign w:val="bottom"/>
          </w:tcPr>
          <w:p>
            <w:pPr>
              <w:spacing w:after="0"/>
              <w:rPr>
                <w:sz w:val="19"/>
                <w:szCs w:val="19"/>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RARE</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61" w:lineRule="exact"/>
        <w:rPr>
          <w:sz w:val="24"/>
          <w:szCs w:val="24"/>
          <w:color w:val="auto"/>
        </w:rPr>
      </w:pPr>
    </w:p>
    <w:p>
      <w:pPr>
        <w:ind w:right="8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 w:name="page2"/>
    <w:bookmarkEnd w:id="1"/>
    <w:p>
      <w:pPr>
        <w:ind w:right="80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8" w:lineRule="exact"/>
        <w:rPr>
          <w:sz w:val="20"/>
          <w:szCs w:val="20"/>
          <w:color w:val="auto"/>
        </w:rPr>
      </w:pPr>
    </w:p>
    <w:p>
      <w:pPr>
        <w:ind w:right="120" w:firstLine="749"/>
        <w:spacing w:after="0" w:line="245" w:lineRule="auto"/>
        <w:rPr>
          <w:sz w:val="20"/>
          <w:szCs w:val="20"/>
          <w:color w:val="auto"/>
        </w:rPr>
      </w:pPr>
      <w:r>
        <w:rPr>
          <w:rFonts w:ascii="Arial" w:cs="Arial" w:eastAsia="Arial" w:hAnsi="Arial"/>
          <w:sz w:val="18"/>
          <w:szCs w:val="18"/>
          <w:color w:val="auto"/>
        </w:rPr>
        <w:t>As reported below, at its Annual Meeting of Stockholders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on May 14, 2026, the stockholders of Ultragenyx Pharmaceutical Inc. (“</w:t>
      </w:r>
      <w:r>
        <w:rPr>
          <w:rFonts w:ascii="Arial" w:cs="Arial" w:eastAsia="Arial" w:hAnsi="Arial"/>
          <w:sz w:val="18"/>
          <w:szCs w:val="18"/>
          <w:b w:val="1"/>
          <w:bCs w:val="1"/>
          <w:i w:val="1"/>
          <w:iCs w:val="1"/>
          <w:color w:val="auto"/>
        </w:rPr>
        <w:t>Ultragenyx</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approved the Third Amended and Restated 2023 Incentive Plan (the “</w:t>
      </w:r>
      <w:r>
        <w:rPr>
          <w:rFonts w:ascii="Arial" w:cs="Arial" w:eastAsia="Arial" w:hAnsi="Arial"/>
          <w:sz w:val="18"/>
          <w:szCs w:val="18"/>
          <w:b w:val="1"/>
          <w:bCs w:val="1"/>
          <w:i w:val="1"/>
          <w:iCs w:val="1"/>
          <w:color w:val="auto"/>
        </w:rPr>
        <w:t>Third A&amp;R</w:t>
      </w:r>
    </w:p>
    <w:p>
      <w:pPr>
        <w:ind w:right="20"/>
        <w:spacing w:after="0" w:line="260" w:lineRule="auto"/>
        <w:rPr>
          <w:sz w:val="20"/>
          <w:szCs w:val="20"/>
          <w:color w:val="auto"/>
        </w:rPr>
      </w:pPr>
      <w:r>
        <w:rPr>
          <w:rFonts w:ascii="Arial" w:cs="Arial" w:eastAsia="Arial" w:hAnsi="Arial"/>
          <w:sz w:val="18"/>
          <w:szCs w:val="18"/>
          <w:b w:val="1"/>
          <w:bCs w:val="1"/>
          <w:i w:val="1"/>
          <w:iCs w:val="1"/>
          <w:color w:val="auto"/>
        </w:rPr>
        <w:t>2023 Plan</w:t>
      </w:r>
      <w:r>
        <w:rPr>
          <w:rFonts w:ascii="Arial" w:cs="Arial" w:eastAsia="Arial" w:hAnsi="Arial"/>
          <w:sz w:val="18"/>
          <w:szCs w:val="18"/>
          <w:color w:val="auto"/>
        </w:rPr>
        <w:t>”). The Third A&amp;R 2023 Plan is described in more detail in Ultragenyx’s 2026 Proxy Statement (“</w:t>
      </w:r>
      <w:r>
        <w:rPr>
          <w:rFonts w:ascii="Arial" w:cs="Arial" w:eastAsia="Arial" w:hAnsi="Arial"/>
          <w:sz w:val="18"/>
          <w:szCs w:val="18"/>
          <w:b w:val="1"/>
          <w:bCs w:val="1"/>
          <w:i w:val="1"/>
          <w:iCs w:val="1"/>
          <w:color w:val="auto"/>
        </w:rPr>
        <w:t>Proxy Statement</w:t>
      </w:r>
      <w:r>
        <w:rPr>
          <w:rFonts w:ascii="Arial" w:cs="Arial" w:eastAsia="Arial" w:hAnsi="Arial"/>
          <w:sz w:val="18"/>
          <w:szCs w:val="18"/>
          <w:color w:val="auto"/>
        </w:rPr>
        <w:t>”), filed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March 27, 2026.</w:t>
      </w:r>
    </w:p>
    <w:p>
      <w:pPr>
        <w:spacing w:after="0" w:line="114" w:lineRule="exact"/>
        <w:rPr>
          <w:sz w:val="20"/>
          <w:szCs w:val="20"/>
          <w:color w:val="auto"/>
        </w:rPr>
      </w:pPr>
    </w:p>
    <w:p>
      <w:pPr>
        <w:ind w:right="200" w:firstLine="749"/>
        <w:spacing w:after="0" w:line="271" w:lineRule="auto"/>
        <w:rPr>
          <w:sz w:val="20"/>
          <w:szCs w:val="20"/>
          <w:color w:val="auto"/>
        </w:rPr>
      </w:pPr>
      <w:r>
        <w:rPr>
          <w:rFonts w:ascii="Arial" w:cs="Arial" w:eastAsia="Arial" w:hAnsi="Arial"/>
          <w:sz w:val="18"/>
          <w:szCs w:val="18"/>
          <w:color w:val="auto"/>
        </w:rPr>
        <w:t>The foregoing description and the description incorporated by reference from the Proxy Statement are qualified in their entirety by reference to the Third A&amp;R 2023 Plan, a copy of which is filed as Exhibit 10.1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04" w:lineRule="exact"/>
        <w:rPr>
          <w:sz w:val="20"/>
          <w:szCs w:val="20"/>
          <w:color w:val="auto"/>
        </w:rPr>
      </w:pPr>
    </w:p>
    <w:p>
      <w:pPr>
        <w:ind w:right="380" w:firstLine="978"/>
        <w:spacing w:after="0" w:line="253" w:lineRule="auto"/>
        <w:rPr>
          <w:sz w:val="20"/>
          <w:szCs w:val="20"/>
          <w:color w:val="auto"/>
        </w:rPr>
      </w:pPr>
      <w:r>
        <w:rPr>
          <w:rFonts w:ascii="Arial" w:cs="Arial" w:eastAsia="Arial" w:hAnsi="Arial"/>
          <w:sz w:val="18"/>
          <w:szCs w:val="18"/>
          <w:color w:val="auto"/>
        </w:rPr>
        <w:t>On May 14, 2026, the Company held its Annual Meeting. As of the record date of March 23, 2026, 98,317,221 shares of the Company’s common stock were outstanding and entitled to vote at the Annual Meeting. A total of 84,786,388 shares of the Company’s common stock were represented in person or by proxy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1 – Election of Class I Directors</w:t>
      </w:r>
    </w:p>
    <w:p>
      <w:pPr>
        <w:spacing w:after="0" w:line="196" w:lineRule="exact"/>
        <w:rPr>
          <w:sz w:val="20"/>
          <w:szCs w:val="20"/>
          <w:color w:val="auto"/>
        </w:rPr>
      </w:pPr>
    </w:p>
    <w:p>
      <w:pPr>
        <w:ind w:right="120" w:firstLine="978"/>
        <w:spacing w:after="0" w:line="253" w:lineRule="auto"/>
        <w:rPr>
          <w:sz w:val="20"/>
          <w:szCs w:val="20"/>
          <w:color w:val="auto"/>
        </w:rPr>
      </w:pPr>
      <w:r>
        <w:rPr>
          <w:rFonts w:ascii="Arial" w:cs="Arial" w:eastAsia="Arial" w:hAnsi="Arial"/>
          <w:sz w:val="18"/>
          <w:szCs w:val="18"/>
          <w:color w:val="auto"/>
        </w:rPr>
        <w:t>At the Annual Meeting, the Company’s stockholders elected the Class I director nominees below to the Company’s Board of Directors to hold office until the 2029 Annual Meeting of Stockholders or until their successors are elected. The votes on Proposal 1 were as follows:</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Class I Director Nominees</w:t>
            </w:r>
          </w:p>
        </w:tc>
        <w:tc>
          <w:tcPr>
            <w:tcW w:w="1900" w:type="dxa"/>
            <w:vAlign w:val="bottom"/>
            <w:gridSpan w:val="3"/>
          </w:tcPr>
          <w:p>
            <w:pPr>
              <w:ind w:left="660"/>
              <w:spacing w:after="0"/>
              <w:rPr>
                <w:sz w:val="20"/>
                <w:szCs w:val="20"/>
                <w:color w:val="auto"/>
              </w:rPr>
            </w:pPr>
            <w:r>
              <w:rPr>
                <w:rFonts w:ascii="Arial" w:cs="Arial" w:eastAsia="Arial" w:hAnsi="Arial"/>
                <w:sz w:val="18"/>
                <w:szCs w:val="18"/>
                <w:b w:val="1"/>
                <w:bCs w:val="1"/>
                <w:color w:val="auto"/>
              </w:rPr>
              <w:t>Votes For</w:t>
            </w:r>
          </w:p>
        </w:tc>
        <w:tc>
          <w:tcPr>
            <w:tcW w:w="2660" w:type="dxa"/>
            <w:vAlign w:val="bottom"/>
            <w:gridSpan w:val="3"/>
          </w:tcPr>
          <w:p>
            <w:pPr>
              <w:ind w:left="360"/>
              <w:spacing w:after="0"/>
              <w:rPr>
                <w:sz w:val="20"/>
                <w:szCs w:val="20"/>
                <w:color w:val="auto"/>
              </w:rPr>
            </w:pPr>
            <w:r>
              <w:rPr>
                <w:rFonts w:ascii="Arial" w:cs="Arial" w:eastAsia="Arial" w:hAnsi="Arial"/>
                <w:sz w:val="18"/>
                <w:szCs w:val="18"/>
                <w:b w:val="1"/>
                <w:bCs w:val="1"/>
                <w:color w:val="auto"/>
              </w:rPr>
              <w:t>Votes Withheld</w:t>
            </w: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Broker Non-Votes</w:t>
            </w:r>
          </w:p>
        </w:tc>
      </w:tr>
      <w:tr>
        <w:trPr>
          <w:trHeight w:val="191"/>
        </w:trPr>
        <w:tc>
          <w:tcPr>
            <w:tcW w:w="22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Emil D. Kakkis, M.D., Ph.D.</w:t>
            </w: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w w:val="90"/>
              </w:rPr>
              <w:t>72,517,613</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1,056,885</w:t>
            </w:r>
          </w:p>
        </w:tc>
        <w:tc>
          <w:tcPr>
            <w:tcW w:w="1000" w:type="dxa"/>
            <w:vAlign w:val="bottom"/>
          </w:tcPr>
          <w:p>
            <w:pPr>
              <w:spacing w:after="0"/>
              <w:rPr>
                <w:sz w:val="16"/>
                <w:szCs w:val="16"/>
                <w:color w:val="auto"/>
              </w:rPr>
            </w:pPr>
          </w:p>
        </w:tc>
        <w:tc>
          <w:tcPr>
            <w:tcW w:w="15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11,211,890</w:t>
            </w:r>
          </w:p>
        </w:tc>
        <w:tc>
          <w:tcPr>
            <w:tcW w:w="20" w:type="dxa"/>
            <w:vAlign w:val="bottom"/>
          </w:tcPr>
          <w:p>
            <w:pPr>
              <w:spacing w:after="0"/>
              <w:rPr>
                <w:sz w:val="16"/>
                <w:szCs w:val="16"/>
                <w:color w:val="auto"/>
              </w:rPr>
            </w:pPr>
          </w:p>
        </w:tc>
      </w:tr>
      <w:tr>
        <w:trPr>
          <w:trHeight w:val="203"/>
        </w:trPr>
        <w:tc>
          <w:tcPr>
            <w:tcW w:w="2880" w:type="dxa"/>
            <w:vAlign w:val="bottom"/>
            <w:gridSpan w:val="2"/>
          </w:tcPr>
          <w:p>
            <w:pPr>
              <w:spacing w:after="0" w:line="202" w:lineRule="exact"/>
              <w:rPr>
                <w:sz w:val="20"/>
                <w:szCs w:val="20"/>
                <w:color w:val="auto"/>
              </w:rPr>
            </w:pPr>
            <w:r>
              <w:rPr>
                <w:rFonts w:ascii="Arial" w:cs="Arial" w:eastAsia="Arial" w:hAnsi="Arial"/>
                <w:sz w:val="18"/>
                <w:szCs w:val="18"/>
                <w:color w:val="auto"/>
              </w:rPr>
              <w:t>Shehnaaz Suliman, M.D.</w:t>
            </w:r>
          </w:p>
        </w:tc>
        <w:tc>
          <w:tcPr>
            <w:tcW w:w="19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65,801,638</w:t>
            </w:r>
          </w:p>
        </w:tc>
        <w:tc>
          <w:tcPr>
            <w:tcW w:w="16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7,772,860</w:t>
            </w:r>
          </w:p>
        </w:tc>
        <w:tc>
          <w:tcPr>
            <w:tcW w:w="1000" w:type="dxa"/>
            <w:vAlign w:val="bottom"/>
          </w:tcPr>
          <w:p>
            <w:pPr>
              <w:spacing w:after="0"/>
              <w:rPr>
                <w:sz w:val="17"/>
                <w:szCs w:val="17"/>
                <w:color w:val="auto"/>
              </w:rPr>
            </w:pPr>
          </w:p>
        </w:tc>
        <w:tc>
          <w:tcPr>
            <w:tcW w:w="1540" w:type="dxa"/>
            <w:vAlign w:val="bottom"/>
          </w:tcPr>
          <w:p>
            <w:pPr>
              <w:spacing w:after="0" w:line="202" w:lineRule="exact"/>
              <w:rPr>
                <w:sz w:val="20"/>
                <w:szCs w:val="20"/>
                <w:color w:val="auto"/>
              </w:rPr>
            </w:pPr>
            <w:r>
              <w:rPr>
                <w:rFonts w:ascii="Arial" w:cs="Arial" w:eastAsia="Arial" w:hAnsi="Arial"/>
                <w:sz w:val="18"/>
                <w:szCs w:val="18"/>
                <w:color w:val="auto"/>
              </w:rPr>
              <w:t>11,211,890</w:t>
            </w:r>
          </w:p>
        </w:tc>
        <w:tc>
          <w:tcPr>
            <w:tcW w:w="20" w:type="dxa"/>
            <w:vAlign w:val="bottom"/>
          </w:tcPr>
          <w:p>
            <w:pPr>
              <w:spacing w:after="0"/>
              <w:rPr>
                <w:sz w:val="17"/>
                <w:szCs w:val="17"/>
                <w:color w:val="auto"/>
              </w:rPr>
            </w:pPr>
          </w:p>
        </w:tc>
      </w:tr>
      <w:tr>
        <w:trPr>
          <w:trHeight w:val="239"/>
        </w:trPr>
        <w:tc>
          <w:tcPr>
            <w:tcW w:w="2880" w:type="dxa"/>
            <w:vAlign w:val="bottom"/>
            <w:gridSpan w:val="2"/>
          </w:tcPr>
          <w:p>
            <w:pPr>
              <w:spacing w:after="0"/>
              <w:rPr>
                <w:sz w:val="20"/>
                <w:szCs w:val="20"/>
                <w:color w:val="auto"/>
              </w:rPr>
            </w:pPr>
            <w:r>
              <w:rPr>
                <w:rFonts w:ascii="Arial" w:cs="Arial" w:eastAsia="Arial" w:hAnsi="Arial"/>
                <w:sz w:val="18"/>
                <w:szCs w:val="18"/>
                <w:color w:val="auto"/>
              </w:rPr>
              <w:t>Daniel G. Welch</w:t>
            </w:r>
          </w:p>
        </w:tc>
        <w:tc>
          <w:tcPr>
            <w:tcW w:w="1900" w:type="dxa"/>
            <w:vAlign w:val="bottom"/>
            <w:gridSpan w:val="3"/>
          </w:tcPr>
          <w:p>
            <w:pPr>
              <w:ind w:left="660"/>
              <w:spacing w:after="0"/>
              <w:rPr>
                <w:sz w:val="20"/>
                <w:szCs w:val="20"/>
                <w:color w:val="auto"/>
              </w:rPr>
            </w:pPr>
            <w:r>
              <w:rPr>
                <w:rFonts w:ascii="Arial" w:cs="Arial" w:eastAsia="Arial" w:hAnsi="Arial"/>
                <w:sz w:val="18"/>
                <w:szCs w:val="18"/>
                <w:color w:val="auto"/>
              </w:rPr>
              <w:t>66,301,426</w:t>
            </w:r>
          </w:p>
        </w:tc>
        <w:tc>
          <w:tcPr>
            <w:tcW w:w="1660" w:type="dxa"/>
            <w:vAlign w:val="bottom"/>
            <w:gridSpan w:val="2"/>
          </w:tcPr>
          <w:p>
            <w:pPr>
              <w:ind w:left="360"/>
              <w:spacing w:after="0"/>
              <w:rPr>
                <w:sz w:val="20"/>
                <w:szCs w:val="20"/>
                <w:color w:val="auto"/>
              </w:rPr>
            </w:pPr>
            <w:r>
              <w:rPr>
                <w:rFonts w:ascii="Arial" w:cs="Arial" w:eastAsia="Arial" w:hAnsi="Arial"/>
                <w:sz w:val="18"/>
                <w:szCs w:val="18"/>
                <w:color w:val="auto"/>
              </w:rPr>
              <w:t>7,273,072</w:t>
            </w:r>
          </w:p>
        </w:tc>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11,211,890</w:t>
            </w:r>
          </w:p>
        </w:tc>
        <w:tc>
          <w:tcPr>
            <w:tcW w:w="20" w:type="dxa"/>
            <w:vAlign w:val="bottom"/>
          </w:tcPr>
          <w:p>
            <w:pPr>
              <w:spacing w:after="0"/>
              <w:rPr>
                <w:sz w:val="20"/>
                <w:szCs w:val="20"/>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2 – Approval of the Third A&amp;R 2023 Plan</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the Annual Meeting, the Company’s stockholders approved the Third A&amp;R 2023 Plan. The votes on Proposal 2 were 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Votes For</w:t>
            </w:r>
          </w:p>
        </w:tc>
        <w:tc>
          <w:tcPr>
            <w:tcW w:w="3020" w:type="dxa"/>
            <w:vAlign w:val="bottom"/>
            <w:gridSpan w:val="3"/>
          </w:tcPr>
          <w:p>
            <w:pPr>
              <w:ind w:left="700"/>
              <w:spacing w:after="0"/>
              <w:rPr>
                <w:sz w:val="20"/>
                <w:szCs w:val="20"/>
                <w:color w:val="auto"/>
              </w:rPr>
            </w:pPr>
            <w:r>
              <w:rPr>
                <w:rFonts w:ascii="Arial" w:cs="Arial" w:eastAsia="Arial" w:hAnsi="Arial"/>
                <w:sz w:val="18"/>
                <w:szCs w:val="18"/>
                <w:b w:val="1"/>
                <w:bCs w:val="1"/>
                <w:color w:val="auto"/>
              </w:rPr>
              <w:t>Votes Against</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Abstentions</w:t>
            </w:r>
          </w:p>
        </w:tc>
        <w:tc>
          <w:tcPr>
            <w:tcW w:w="2300" w:type="dxa"/>
            <w:vAlign w:val="bottom"/>
            <w:gridSpan w:val="3"/>
          </w:tcPr>
          <w:p>
            <w:pPr>
              <w:ind w:left="760"/>
              <w:spacing w:after="0"/>
              <w:rPr>
                <w:sz w:val="20"/>
                <w:szCs w:val="20"/>
                <w:color w:val="auto"/>
              </w:rPr>
            </w:pPr>
            <w:r>
              <w:rPr>
                <w:rFonts w:ascii="Arial" w:cs="Arial" w:eastAsia="Arial" w:hAnsi="Arial"/>
                <w:sz w:val="18"/>
                <w:szCs w:val="18"/>
                <w:b w:val="1"/>
                <w:bCs w:val="1"/>
                <w:color w:val="auto"/>
                <w:w w:val="99"/>
              </w:rPr>
              <w:t>Broker Non-Votes</w:t>
            </w:r>
          </w:p>
        </w:tc>
      </w:tr>
      <w:tr>
        <w:trPr>
          <w:trHeight w:val="23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50,659,150</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22,888,600</w:t>
            </w:r>
          </w:p>
        </w:tc>
        <w:tc>
          <w:tcPr>
            <w:tcW w:w="1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26,748</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11,211,890</w:t>
            </w:r>
          </w:p>
        </w:tc>
        <w:tc>
          <w:tcPr>
            <w:tcW w:w="20" w:type="dxa"/>
            <w:vAlign w:val="bottom"/>
          </w:tcPr>
          <w:p>
            <w:pPr>
              <w:spacing w:after="0"/>
              <w:rPr>
                <w:sz w:val="20"/>
                <w:szCs w:val="20"/>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3 – Ratification of Selection of Independent Registered Accounting Firm</w:t>
      </w:r>
    </w:p>
    <w:p>
      <w:pPr>
        <w:spacing w:after="0" w:line="196" w:lineRule="exact"/>
        <w:rPr>
          <w:sz w:val="20"/>
          <w:szCs w:val="20"/>
          <w:color w:val="auto"/>
        </w:rPr>
      </w:pPr>
    </w:p>
    <w:p>
      <w:pPr>
        <w:ind w:right="260" w:firstLine="978"/>
        <w:spacing w:after="0" w:line="271" w:lineRule="auto"/>
        <w:rPr>
          <w:sz w:val="20"/>
          <w:szCs w:val="20"/>
          <w:color w:val="auto"/>
        </w:rPr>
      </w:pPr>
      <w:r>
        <w:rPr>
          <w:rFonts w:ascii="Arial" w:cs="Arial" w:eastAsia="Arial" w:hAnsi="Arial"/>
          <w:sz w:val="18"/>
          <w:szCs w:val="18"/>
          <w:color w:val="auto"/>
        </w:rPr>
        <w:t>At the Annual Meeting, the Company’s stockholders ratified the selection of Ernst &amp; Young LLP as the independent registered public accounting firm of the Company for its fiscal year ending December 31, 2026. The votes on Proposal 3 were as follows: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Votes For</w:t>
            </w: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Votes Against</w:t>
            </w:r>
          </w:p>
        </w:tc>
        <w:tc>
          <w:tcPr>
            <w:tcW w:w="2300" w:type="dxa"/>
            <w:vAlign w:val="bottom"/>
            <w:gridSpan w:val="3"/>
          </w:tcPr>
          <w:p>
            <w:pPr>
              <w:ind w:left="1240"/>
              <w:spacing w:after="0"/>
              <w:rPr>
                <w:sz w:val="20"/>
                <w:szCs w:val="20"/>
                <w:color w:val="auto"/>
              </w:rPr>
            </w:pPr>
            <w:r>
              <w:rPr>
                <w:rFonts w:ascii="Arial" w:cs="Arial" w:eastAsia="Arial" w:hAnsi="Arial"/>
                <w:sz w:val="18"/>
                <w:szCs w:val="18"/>
                <w:b w:val="1"/>
                <w:bCs w:val="1"/>
                <w:color w:val="auto"/>
                <w:w w:val="99"/>
              </w:rPr>
              <w:t>Abstentions</w:t>
            </w:r>
          </w:p>
        </w:tc>
      </w:tr>
      <w:tr>
        <w:trPr>
          <w:trHeight w:val="232"/>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84,551,399</w:t>
            </w:r>
          </w:p>
        </w:tc>
        <w:tc>
          <w:tcPr>
            <w:tcW w:w="244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221,802</w:t>
            </w: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13,187</w:t>
            </w:r>
          </w:p>
        </w:tc>
        <w:tc>
          <w:tcPr>
            <w:tcW w:w="20" w:type="dxa"/>
            <w:vAlign w:val="bottom"/>
          </w:tcPr>
          <w:p>
            <w:pPr>
              <w:spacing w:after="0"/>
              <w:rPr>
                <w:sz w:val="20"/>
                <w:szCs w:val="20"/>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 No. 4 – Advisory (Non-Binding) Vote to Approve Executive Compensation</w:t>
      </w:r>
    </w:p>
    <w:p>
      <w:pPr>
        <w:spacing w:after="0" w:line="196" w:lineRule="exact"/>
        <w:rPr>
          <w:sz w:val="20"/>
          <w:szCs w:val="20"/>
          <w:color w:val="auto"/>
        </w:rPr>
      </w:pPr>
    </w:p>
    <w:p>
      <w:pPr>
        <w:ind w:right="300" w:firstLine="978"/>
        <w:spacing w:after="0" w:line="253" w:lineRule="auto"/>
        <w:rPr>
          <w:sz w:val="20"/>
          <w:szCs w:val="20"/>
          <w:color w:val="auto"/>
        </w:rPr>
      </w:pPr>
      <w:r>
        <w:rPr>
          <w:rFonts w:ascii="Arial" w:cs="Arial" w:eastAsia="Arial" w:hAnsi="Arial"/>
          <w:sz w:val="18"/>
          <w:szCs w:val="18"/>
          <w:color w:val="auto"/>
        </w:rPr>
        <w:t>At the Annual Meeting, the Company’s stockholders voted, on an advisory basis, in favor of a resolution approving the compensation the Company pays to its “named executive officers” as described in the Proxy Statement. The votes on Proposal 4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Votes For</w:t>
            </w:r>
          </w:p>
        </w:tc>
        <w:tc>
          <w:tcPr>
            <w:tcW w:w="3020" w:type="dxa"/>
            <w:vAlign w:val="bottom"/>
            <w:gridSpan w:val="3"/>
          </w:tcPr>
          <w:p>
            <w:pPr>
              <w:ind w:left="700"/>
              <w:spacing w:after="0"/>
              <w:rPr>
                <w:sz w:val="20"/>
                <w:szCs w:val="20"/>
                <w:color w:val="auto"/>
              </w:rPr>
            </w:pPr>
            <w:r>
              <w:rPr>
                <w:rFonts w:ascii="Arial" w:cs="Arial" w:eastAsia="Arial" w:hAnsi="Arial"/>
                <w:sz w:val="18"/>
                <w:szCs w:val="18"/>
                <w:b w:val="1"/>
                <w:bCs w:val="1"/>
                <w:color w:val="auto"/>
              </w:rPr>
              <w:t>Votes Against</w:t>
            </w: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Abstentions</w:t>
            </w:r>
          </w:p>
        </w:tc>
        <w:tc>
          <w:tcPr>
            <w:tcW w:w="4720" w:type="dxa"/>
            <w:vAlign w:val="bottom"/>
            <w:gridSpan w:val="3"/>
          </w:tcPr>
          <w:p>
            <w:pPr>
              <w:ind w:left="760"/>
              <w:spacing w:after="0"/>
              <w:rPr>
                <w:sz w:val="20"/>
                <w:szCs w:val="20"/>
                <w:color w:val="auto"/>
              </w:rPr>
            </w:pPr>
            <w:r>
              <w:rPr>
                <w:rFonts w:ascii="Arial" w:cs="Arial" w:eastAsia="Arial" w:hAnsi="Arial"/>
                <w:sz w:val="18"/>
                <w:szCs w:val="18"/>
                <w:b w:val="1"/>
                <w:bCs w:val="1"/>
                <w:color w:val="auto"/>
              </w:rPr>
              <w:t>Broker Non-Votes</w:t>
            </w:r>
          </w:p>
        </w:tc>
      </w:tr>
      <w:tr>
        <w:trPr>
          <w:trHeight w:val="232"/>
        </w:trPr>
        <w:tc>
          <w:tcPr>
            <w:tcW w:w="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8"/>
              </w:rPr>
              <w:t>70,945,277</w:t>
            </w: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2,594,517</w:t>
            </w:r>
          </w:p>
        </w:tc>
        <w:tc>
          <w:tcPr>
            <w:tcW w:w="1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34,704</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11,211,890</w:t>
            </w:r>
          </w:p>
        </w:tc>
        <w:tc>
          <w:tcPr>
            <w:tcW w:w="2440" w:type="dxa"/>
            <w:vAlign w:val="bottom"/>
          </w:tcPr>
          <w:p>
            <w:pPr>
              <w:spacing w:after="0"/>
              <w:rPr>
                <w:sz w:val="20"/>
                <w:szCs w:val="20"/>
                <w:color w:val="auto"/>
              </w:rPr>
            </w:pPr>
          </w:p>
        </w:tc>
      </w:tr>
      <w:tr>
        <w:trPr>
          <w:trHeight w:val="1159"/>
        </w:trPr>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4"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No.</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3040" w:type="dxa"/>
            <w:vAlign w:val="bottom"/>
          </w:tcPr>
          <w:p>
            <w:pPr>
              <w:spacing w:after="0"/>
              <w:rPr>
                <w:sz w:val="17"/>
                <w:szCs w:val="17"/>
                <w:color w:val="auto"/>
              </w:rPr>
            </w:pPr>
          </w:p>
        </w:tc>
      </w:tr>
      <w:tr>
        <w:trPr>
          <w:trHeight w:val="183"/>
        </w:trPr>
        <w:tc>
          <w:tcPr>
            <w:tcW w:w="940" w:type="dxa"/>
            <w:vAlign w:val="bottom"/>
          </w:tcPr>
          <w:p>
            <w:pPr>
              <w:spacing w:after="0" w:line="182"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5"/>
                <w:szCs w:val="15"/>
                <w:color w:val="auto"/>
              </w:rPr>
            </w:pPr>
          </w:p>
        </w:tc>
        <w:tc>
          <w:tcPr>
            <w:tcW w:w="4040" w:type="dxa"/>
            <w:vAlign w:val="bottom"/>
            <w:gridSpan w:val="2"/>
          </w:tcPr>
          <w:p>
            <w:pPr>
              <w:spacing w:after="0" w:line="182" w:lineRule="exact"/>
              <w:rPr>
                <w:sz w:val="20"/>
                <w:szCs w:val="20"/>
                <w:color w:val="auto"/>
              </w:rPr>
            </w:pPr>
            <w:r>
              <w:rPr>
                <w:rFonts w:ascii="Arial" w:cs="Arial" w:eastAsia="Arial" w:hAnsi="Arial"/>
                <w:sz w:val="18"/>
                <w:szCs w:val="18"/>
                <w:color w:val="0000FF"/>
              </w:rPr>
              <w:t>Third Amended and Restated 2023 Incentive Plan</w:t>
            </w:r>
          </w:p>
        </w:tc>
      </w:tr>
      <w:tr>
        <w:trPr>
          <w:trHeight w:val="20"/>
        </w:trPr>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40" w:type="dxa"/>
            <w:vAlign w:val="bottom"/>
            <w:tcBorders>
              <w:right w:val="single" w:sz="8" w:color="0000EE"/>
            </w:tcBorders>
            <w:shd w:val="clear" w:color="auto" w:fill="0000FF"/>
          </w:tcPr>
          <w:p>
            <w:pPr>
              <w:spacing w:after="0" w:line="20" w:lineRule="exact"/>
              <w:rPr>
                <w:sz w:val="1"/>
                <w:szCs w:val="1"/>
                <w:color w:val="auto"/>
              </w:rPr>
            </w:pPr>
          </w:p>
        </w:tc>
      </w:tr>
    </w:tbl>
    <w:p>
      <w:pPr>
        <w:ind w:left="1320" w:right="979" w:hanging="1208"/>
        <w:spacing w:after="0" w:line="265"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cover page from the Company’s Current Report on Form 8-K dated May 14, 2026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5" w:right="1440"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Ultragenyx Pharmaceutical Inc.</w:t>
      </w:r>
    </w:p>
    <w:p>
      <w:pPr>
        <w:spacing w:after="0" w:line="34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Arial" w:cs="Arial" w:eastAsia="Arial" w:hAnsi="Arial"/>
          <w:sz w:val="18"/>
          <w:szCs w:val="18"/>
          <w:color w:val="auto"/>
        </w:rPr>
        <w:t>Date:</w:t>
        <w:tab/>
        <w:t>May 18,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Howard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Howard Horn</w:t>
      </w:r>
    </w:p>
    <w:p>
      <w:pPr>
        <w:ind w:left="6080"/>
        <w:spacing w:after="0"/>
        <w:rPr>
          <w:sz w:val="20"/>
          <w:szCs w:val="20"/>
          <w:color w:val="auto"/>
        </w:rPr>
      </w:pPr>
      <w:r>
        <w:rPr>
          <w:rFonts w:ascii="Arial" w:cs="Arial" w:eastAsia="Arial" w:hAnsi="Arial"/>
          <w:sz w:val="18"/>
          <w:szCs w:val="18"/>
          <w:color w:val="auto"/>
        </w:rPr>
        <w:t>Executive Vice President, Chief Financial Officer, Corporate</w:t>
      </w:r>
    </w:p>
    <w:p>
      <w:pPr>
        <w:ind w:left="608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71" w:right="459" w:bottom="1440" w:gutter="0" w:footer="0" w:header="0"/>
        </w:sectPr>
      </w:pPr>
    </w:p>
    <w:bookmarkStart w:id="4" w:name="page5"/>
    <w:bookmarkEnd w:id="4"/>
    <w:p>
      <w:pPr>
        <w:spacing w:after="0" w:line="121"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10.1</w:t>
      </w:r>
    </w:p>
    <w:p>
      <w:pPr>
        <w:jc w:val="center"/>
        <w:ind w:right="60"/>
        <w:spacing w:after="0" w:line="233" w:lineRule="auto"/>
        <w:rPr>
          <w:sz w:val="20"/>
          <w:szCs w:val="20"/>
          <w:color w:val="auto"/>
        </w:rPr>
      </w:pPr>
      <w:r>
        <w:rPr>
          <w:rFonts w:ascii="Arial" w:cs="Arial" w:eastAsia="Arial" w:hAnsi="Arial"/>
          <w:sz w:val="22"/>
          <w:szCs w:val="22"/>
          <w:b w:val="1"/>
          <w:bCs w:val="1"/>
          <w:color w:val="auto"/>
        </w:rPr>
        <w:t>Ultragenyx Pharmaceutical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2023 Incentive Plan</w:t>
      </w:r>
    </w:p>
    <w:p>
      <w:pPr>
        <w:spacing w:after="0" w:line="211"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DEFINED TERMS</w:t>
      </w:r>
    </w:p>
    <w:p>
      <w:pPr>
        <w:spacing w:after="0" w:line="207"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which is incorporated by reference, defines the terms used in the Plan and sets forth certain operational rules related to those terms.</w:t>
      </w:r>
    </w:p>
    <w:p>
      <w:pPr>
        <w:spacing w:after="0" w:line="154"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PURPOSE</w:t>
      </w:r>
    </w:p>
    <w:p>
      <w:pPr>
        <w:spacing w:after="0" w:line="20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The Plan has been established to advance the interests of the Company by providing for the grant to Participants of Stock-based and other incentive Awards. The Plan was originally approved by the Board on April 20, 2023 effective on the Original Effective Date and was amended and restated effective as of June 18, 2024, May 15, 2025 and on May 14, 2026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6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ADMINISTRATION</w:t>
      </w:r>
    </w:p>
    <w:p>
      <w:pPr>
        <w:spacing w:after="0" w:line="20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21"/>
          <w:szCs w:val="21"/>
          <w:color w:val="auto"/>
        </w:rPr>
        <w:t>The Administrator has discretionary authority, subject only to the express provisions of the Plan, to (a) interpret and construe the Plan, any rules and regulations under the Plan and the terms and conditions of any Award;</w:t>
      </w:r>
    </w:p>
    <w:p>
      <w:pPr>
        <w:spacing w:after="0" w:line="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1"/>
          <w:szCs w:val="21"/>
          <w:color w:val="auto"/>
        </w:rPr>
      </w:pPr>
      <w:r>
        <w:rPr>
          <w:rFonts w:ascii="Arial" w:cs="Arial" w:eastAsia="Arial" w:hAnsi="Arial"/>
          <w:sz w:val="21"/>
          <w:szCs w:val="21"/>
          <w:color w:val="auto"/>
        </w:rPr>
        <w:t>determine eligibility for and grant Awards; (c) determine, modify or waive the terms and conditions of any Award;</w:t>
      </w:r>
    </w:p>
    <w:p>
      <w:pPr>
        <w:spacing w:after="0" w:line="1" w:lineRule="exact"/>
        <w:rPr>
          <w:rFonts w:ascii="Arial" w:cs="Arial" w:eastAsia="Arial" w:hAnsi="Arial"/>
          <w:sz w:val="21"/>
          <w:szCs w:val="21"/>
          <w:color w:val="auto"/>
        </w:rPr>
      </w:pPr>
    </w:p>
    <w:p>
      <w:pPr>
        <w:jc w:val="both"/>
        <w:ind w:firstLine="8"/>
        <w:spacing w:after="0" w:line="233" w:lineRule="auto"/>
        <w:tabs>
          <w:tab w:leader="none" w:pos="328"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prescribe forms, rules and procedures relating to the Plan; (e) establish and verify the extent of satisfaction of any Performance Criteria or other conditions applicable to the grant, issuance, retention, vesting, exercisability or settlement of any Award; (f) determine the extent to which adjustments are required pursuant to </w:t>
      </w:r>
      <w:r>
        <w:rPr>
          <w:rFonts w:ascii="Arial" w:cs="Arial" w:eastAsia="Arial" w:hAnsi="Arial"/>
          <w:sz w:val="22"/>
          <w:szCs w:val="22"/>
          <w:u w:val="single" w:color="auto"/>
          <w:color w:val="auto"/>
        </w:rPr>
        <w:t>Section 7</w:t>
      </w:r>
      <w:r>
        <w:rPr>
          <w:rFonts w:ascii="Arial" w:cs="Arial" w:eastAsia="Arial" w:hAnsi="Arial"/>
          <w:sz w:val="22"/>
          <w:szCs w:val="22"/>
          <w:color w:val="auto"/>
        </w:rPr>
        <w:t>; (g) approve corrections in the documentation or administration of any Award; and otherwise do all things necessary or appropriate to carry out the purposes of the Plan. Determinations of the Administrator made under the Plan will be conclusive and will bind all parties.</w:t>
      </w:r>
    </w:p>
    <w:p>
      <w:pPr>
        <w:spacing w:after="0" w:line="178"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LIMITS ON AWARDS UNDER THE PLAN</w:t>
      </w:r>
    </w:p>
    <w:p>
      <w:pPr>
        <w:spacing w:after="0" w:line="20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Number of Shares</w:t>
      </w:r>
      <w:r>
        <w:rPr>
          <w:rFonts w:ascii="Arial" w:cs="Arial" w:eastAsia="Arial" w:hAnsi="Arial"/>
          <w:sz w:val="22"/>
          <w:szCs w:val="22"/>
          <w:b w:val="1"/>
          <w:bCs w:val="1"/>
          <w:color w:val="auto"/>
        </w:rPr>
        <w:t>.</w:t>
      </w:r>
    </w:p>
    <w:p>
      <w:pPr>
        <w:spacing w:after="0" w:line="207"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2"/>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The maximum number of shares of Stock that may be delivered in satisfaction of Awards under the Plan is (A) 14,500,000, </w:t>
      </w:r>
      <w:r>
        <w:rPr>
          <w:rFonts w:ascii="Arial" w:cs="Arial" w:eastAsia="Arial" w:hAnsi="Arial"/>
          <w:sz w:val="22"/>
          <w:szCs w:val="22"/>
          <w:i w:val="1"/>
          <w:iCs w:val="1"/>
          <w:color w:val="auto"/>
        </w:rPr>
        <w:t>plus</w:t>
      </w:r>
      <w:r>
        <w:rPr>
          <w:rFonts w:ascii="Arial" w:cs="Arial" w:eastAsia="Arial" w:hAnsi="Arial"/>
          <w:sz w:val="22"/>
          <w:szCs w:val="22"/>
          <w:color w:val="auto"/>
        </w:rPr>
        <w:t xml:space="preserve"> (B) the number of shares of Stock subject to any Award outstanding under a Prior Plan as of the Original Effective Date that after the Original Effective Date are not issued because such Award is forfeited, canceled, terminates, expires or otherwise lapses without being exercised (to the extent applicable), or is settled in cash. Up to 14,500,000 shares of Stock may be issued in satisfaction of ISOs, but nothing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4(a)</w:t>
      </w:r>
      <w:r>
        <w:rPr>
          <w:rFonts w:ascii="Arial" w:cs="Arial" w:eastAsia="Arial" w:hAnsi="Arial"/>
          <w:sz w:val="22"/>
          <w:szCs w:val="22"/>
          <w:color w:val="auto"/>
        </w:rPr>
        <w:t xml:space="preserve"> will be construed as requiring that any, or any fixed number of, ISOs be awarded under the Plan. The limits set forth in this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shall be construed to comply with Section 422.</w:t>
      </w:r>
    </w:p>
    <w:p>
      <w:pPr>
        <w:spacing w:after="0" w:line="182"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2"/>
          <w:numId w:val="9"/>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4(a)</w:t>
      </w:r>
      <w:r>
        <w:rPr>
          <w:rFonts w:ascii="Arial" w:cs="Arial" w:eastAsia="Arial" w:hAnsi="Arial"/>
          <w:sz w:val="22"/>
          <w:szCs w:val="22"/>
          <w:color w:val="auto"/>
        </w:rPr>
        <w:t>, if an outstanding Award is forfeited, canceled, terminates, expires or otherwise lapses without being exercised (to the extent applicable), or is settled in cash, the shares of Stock allocable to the terminated portion of such Award or such forfeited shares of Stock shall again be available for issuance under the Plan. Notwithstanding the foregoing, the following shares shall not be available for issuance under the Plan: (A) shares withheld from an Award under the Plan or a Prior Plan to satisfy the tax withholding obligations with respect to such Award, (B) shares withheld from an Award under the Plan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22"/>
          <w:szCs w:val="22"/>
          <w:color w:val="auto"/>
        </w:rPr>
        <w:t>or a Prior Plan in payment of the exercise price of an Award requiring exercise, (C) shares repurchased on the open market by the Company using proceeds from the exercise price paid with respect to Awards under the Plan or a Prior Plan, or (D) gross shares subject to an SAR granted under the Plan or a Prior Plan that are not issued in connection with the Stock-settlement of such SAR.</w:t>
      </w:r>
    </w:p>
    <w:p>
      <w:pPr>
        <w:spacing w:after="0" w:line="174" w:lineRule="exact"/>
        <w:rPr>
          <w:sz w:val="20"/>
          <w:szCs w:val="20"/>
          <w:color w:val="auto"/>
        </w:rPr>
      </w:pPr>
    </w:p>
    <w:p>
      <w:pPr>
        <w:ind w:right="20" w:firstLine="757"/>
        <w:spacing w:after="0" w:line="284" w:lineRule="auto"/>
        <w:tabs>
          <w:tab w:leader="none" w:pos="1018" w:val="left"/>
        </w:tabs>
        <w:numPr>
          <w:ilvl w:val="1"/>
          <w:numId w:val="10"/>
        </w:numPr>
        <w:rPr>
          <w:rFonts w:ascii="Times New Roman" w:cs="Times New Roman" w:eastAsia="Times New Roman" w:hAnsi="Times New Roman"/>
          <w:sz w:val="21"/>
          <w:szCs w:val="21"/>
          <w:color w:val="auto"/>
        </w:rPr>
      </w:pPr>
      <w:r>
        <w:rPr>
          <w:rFonts w:ascii="Arial" w:cs="Arial" w:eastAsia="Arial" w:hAnsi="Arial"/>
          <w:sz w:val="21"/>
          <w:szCs w:val="21"/>
          <w:b w:val="1"/>
          <w:bCs w:val="1"/>
          <w:u w:val="single" w:color="auto"/>
          <w:color w:val="auto"/>
        </w:rPr>
        <w:t>Type of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Stock delivered by the Company under the Plan may be authorized but unissued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or previously issued Stock acquired by the Company. No fractional shares of Stock will be delivered under the Plan.</w:t>
      </w:r>
    </w:p>
    <w:p>
      <w:pPr>
        <w:spacing w:after="0" w:line="129"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1"/>
          <w:numId w:val="10"/>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Limit on Non-Employee Director Compensation</w:t>
      </w:r>
      <w:r>
        <w:rPr>
          <w:rFonts w:ascii="Arial" w:cs="Arial" w:eastAsia="Arial" w:hAnsi="Arial"/>
          <w:sz w:val="22"/>
          <w:szCs w:val="22"/>
          <w:color w:val="auto"/>
        </w:rPr>
        <w:t>. The aggregate dollar value of equity-based (based on</w:t>
      </w:r>
      <w:r>
        <w:rPr>
          <w:rFonts w:ascii="Arial" w:cs="Arial" w:eastAsia="Arial" w:hAnsi="Arial"/>
          <w:sz w:val="22"/>
          <w:szCs w:val="22"/>
          <w:b w:val="1"/>
          <w:bCs w:val="1"/>
          <w:color w:val="auto"/>
        </w:rPr>
        <w:t xml:space="preserve"> </w:t>
      </w:r>
      <w:r>
        <w:rPr>
          <w:rFonts w:ascii="Arial" w:cs="Arial" w:eastAsia="Arial" w:hAnsi="Arial"/>
          <w:sz w:val="22"/>
          <w:szCs w:val="22"/>
          <w:color w:val="auto"/>
        </w:rPr>
        <w:t>the grant date fair value of equity-based Awards determined for financial reporting purposes) and cash compensation granted under the Plan or otherwise to any non-employee director shall not exceed $900,000 during any calendar year for services provided as a non-employee director;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$1,500,000.</w:t>
      </w:r>
    </w:p>
    <w:p>
      <w:pPr>
        <w:spacing w:after="0" w:line="17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1"/>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ELIGIBILITY AND PARTICIPATION</w:t>
      </w:r>
    </w:p>
    <w:p>
      <w:pPr>
        <w:spacing w:after="0" w:line="20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The Administrator will select Participants from among key Employees and directors of, and consultants and advisors to, the Company and its Affiliates. Eligibility for ISOs is limited to individuals described in the first sentence of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who are employees of the Company or of a “parent corporation” or “subsidiary corporation” of the Company as those terms are defined in Section 424 of the Code. Eligibility for Stock Options other than ISOs is limited to individuals described in the first sentence of this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who are providing direct services on the date of grant of the Stock Option to the Company or to a subsidiary of the Company that would be described in the first sentence of Section 1.409A-1(b)(5)(iii)(E) of the Treasury Regulations.</w:t>
      </w:r>
    </w:p>
    <w:p>
      <w:pPr>
        <w:spacing w:after="0" w:line="174"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RULES APPLICABLE TO AWARDS</w:t>
      </w:r>
    </w:p>
    <w:p>
      <w:pPr>
        <w:spacing w:after="0" w:line="205"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1"/>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All Awards</w:t>
      </w:r>
      <w:r>
        <w:rPr>
          <w:rFonts w:ascii="Arial" w:cs="Arial" w:eastAsia="Arial" w:hAnsi="Arial"/>
          <w:sz w:val="22"/>
          <w:szCs w:val="22"/>
          <w:b w:val="1"/>
          <w:bCs w:val="1"/>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2"/>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Award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will determine the terms of all Awards,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174"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2"/>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Term of Plan</w:t>
      </w:r>
      <w:r>
        <w:rPr>
          <w:rFonts w:ascii="Arial" w:cs="Arial" w:eastAsia="Arial" w:hAnsi="Arial"/>
          <w:sz w:val="22"/>
          <w:szCs w:val="22"/>
          <w:b w:val="1"/>
          <w:bCs w:val="1"/>
          <w:color w:val="auto"/>
        </w:rPr>
        <w:t xml:space="preserve">. </w:t>
      </w:r>
      <w:r>
        <w:rPr>
          <w:rFonts w:ascii="Arial" w:cs="Arial" w:eastAsia="Arial" w:hAnsi="Arial"/>
          <w:sz w:val="22"/>
          <w:szCs w:val="22"/>
          <w:color w:val="auto"/>
        </w:rPr>
        <w:t>No Awards may be made after 10 years from the Effective Date, but previously</w:t>
      </w:r>
      <w:r>
        <w:rPr>
          <w:rFonts w:ascii="Arial" w:cs="Arial" w:eastAsia="Arial" w:hAnsi="Arial"/>
          <w:sz w:val="22"/>
          <w:szCs w:val="22"/>
          <w:b w:val="1"/>
          <w:bCs w:val="1"/>
          <w:color w:val="auto"/>
        </w:rPr>
        <w:t xml:space="preserve"> </w:t>
      </w:r>
      <w:r>
        <w:rPr>
          <w:rFonts w:ascii="Arial" w:cs="Arial" w:eastAsia="Arial" w:hAnsi="Arial"/>
          <w:sz w:val="22"/>
          <w:szCs w:val="22"/>
          <w:color w:val="auto"/>
        </w:rPr>
        <w:t>granted Awards may continue beyond that date in accordance with their terms. Notwithstanding the foregoing, no ISOs may be granted after 10 years from Date of Adoption.</w:t>
      </w:r>
    </w:p>
    <w:p>
      <w:pPr>
        <w:spacing w:after="0" w:line="169"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2"/>
          <w:numId w:val="12"/>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Transferability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ISOs nor, except as the Administrator otherwise expressly provides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the second sentence of this </w:t>
      </w:r>
      <w:r>
        <w:rPr>
          <w:rFonts w:ascii="Arial" w:cs="Arial" w:eastAsia="Arial" w:hAnsi="Arial"/>
          <w:sz w:val="22"/>
          <w:szCs w:val="22"/>
          <w:u w:val="single" w:color="auto"/>
          <w:color w:val="auto"/>
        </w:rPr>
        <w:t>Section 6(a)(iii)</w:t>
      </w:r>
      <w:r>
        <w:rPr>
          <w:rFonts w:ascii="Arial" w:cs="Arial" w:eastAsia="Arial" w:hAnsi="Arial"/>
          <w:sz w:val="22"/>
          <w:szCs w:val="22"/>
          <w:color w:val="auto"/>
        </w:rPr>
        <w:t xml:space="preserve">, other Awards may be transferred other than by will or by the laws of descent and distribution. During a Participant’s lifetime, ISOs (and, except as the Administrator otherwise expressly provides in accordance with the second sentence of this </w:t>
      </w:r>
      <w:r>
        <w:rPr>
          <w:rFonts w:ascii="Arial" w:cs="Arial" w:eastAsia="Arial" w:hAnsi="Arial"/>
          <w:sz w:val="22"/>
          <w:szCs w:val="22"/>
          <w:u w:val="single" w:color="auto"/>
          <w:color w:val="auto"/>
        </w:rPr>
        <w:t>Section 6(a)(iii)</w:t>
      </w:r>
      <w:r>
        <w:rPr>
          <w:rFonts w:ascii="Arial" w:cs="Arial" w:eastAsia="Arial" w:hAnsi="Arial"/>
          <w:sz w:val="22"/>
          <w:szCs w:val="22"/>
          <w:color w:val="auto"/>
        </w:rPr>
        <w:t>, SARs and NSOs) may be exercised only by the Participant. The Administrator may permit the gratuitous transfer (</w:t>
      </w:r>
      <w:r>
        <w:rPr>
          <w:rFonts w:ascii="Arial" w:cs="Arial" w:eastAsia="Arial" w:hAnsi="Arial"/>
          <w:sz w:val="22"/>
          <w:szCs w:val="22"/>
          <w:i w:val="1"/>
          <w:iCs w:val="1"/>
          <w:color w:val="auto"/>
        </w:rPr>
        <w:t>i.e.</w:t>
      </w:r>
      <w:r>
        <w:rPr>
          <w:rFonts w:ascii="Arial" w:cs="Arial" w:eastAsia="Arial" w:hAnsi="Arial"/>
          <w:sz w:val="22"/>
          <w:szCs w:val="22"/>
          <w:color w:val="auto"/>
        </w:rPr>
        <w:t>,</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22"/>
          <w:szCs w:val="22"/>
          <w:color w:val="auto"/>
        </w:rPr>
        <w:t>transfer not for value) of Awards other than ISOs to any transferee eligible to be covered by the provisions of Form S-8 (under the Securities Act), subject to such limitations as the Administrator may impose.</w:t>
      </w:r>
    </w:p>
    <w:p>
      <w:pPr>
        <w:spacing w:after="0" w:line="154" w:lineRule="exact"/>
        <w:rPr>
          <w:sz w:val="20"/>
          <w:szCs w:val="20"/>
          <w:color w:val="auto"/>
        </w:rPr>
      </w:pPr>
    </w:p>
    <w:p>
      <w:pPr>
        <w:jc w:val="both"/>
        <w:ind w:firstLine="1505"/>
        <w:spacing w:after="0" w:line="252" w:lineRule="auto"/>
        <w:tabs>
          <w:tab w:leader="none" w:pos="2036" w:val="left"/>
        </w:tabs>
        <w:numPr>
          <w:ilvl w:val="0"/>
          <w:numId w:val="13"/>
        </w:numPr>
        <w:rPr>
          <w:rFonts w:ascii="Times New Roman" w:cs="Times New Roman" w:eastAsia="Times New Roman" w:hAnsi="Times New Roman"/>
          <w:sz w:val="21"/>
          <w:szCs w:val="21"/>
          <w:color w:val="auto"/>
        </w:rPr>
      </w:pPr>
      <w:r>
        <w:rPr>
          <w:rFonts w:ascii="Arial" w:cs="Arial" w:eastAsia="Arial" w:hAnsi="Arial"/>
          <w:sz w:val="21"/>
          <w:szCs w:val="21"/>
          <w:b w:val="1"/>
          <w:bCs w:val="1"/>
          <w:u w:val="single" w:color="auto"/>
          <w:color w:val="auto"/>
        </w:rPr>
        <w:t>Vesting, etc</w:t>
      </w:r>
      <w:r>
        <w:rPr>
          <w:rFonts w:ascii="Arial" w:cs="Arial" w:eastAsia="Arial" w:hAnsi="Arial"/>
          <w:sz w:val="21"/>
          <w:szCs w:val="21"/>
          <w:b w:val="1"/>
          <w:bCs w:val="1"/>
          <w:color w:val="auto"/>
        </w:rPr>
        <w:t xml:space="preserve">. </w:t>
      </w:r>
      <w:r>
        <w:rPr>
          <w:rFonts w:ascii="Arial" w:cs="Arial" w:eastAsia="Arial" w:hAnsi="Arial"/>
          <w:sz w:val="21"/>
          <w:szCs w:val="21"/>
          <w:color w:val="auto"/>
        </w:rPr>
        <w:t>The Administrator will determine the time or times at which an Award will vest or</w:t>
      </w:r>
      <w:r>
        <w:rPr>
          <w:rFonts w:ascii="Arial" w:cs="Arial" w:eastAsia="Arial" w:hAnsi="Arial"/>
          <w:sz w:val="21"/>
          <w:szCs w:val="21"/>
          <w:b w:val="1"/>
          <w:bCs w:val="1"/>
          <w:color w:val="auto"/>
        </w:rPr>
        <w:t xml:space="preserve"> </w:t>
      </w:r>
      <w:r>
        <w:rPr>
          <w:rFonts w:ascii="Arial" w:cs="Arial" w:eastAsia="Arial" w:hAnsi="Arial"/>
          <w:sz w:val="21"/>
          <w:szCs w:val="21"/>
          <w:color w:val="auto"/>
        </w:rPr>
        <w:t>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1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(A)</w:t>
      </w:r>
      <w:r>
        <w:rPr>
          <w:rFonts w:ascii="Arial" w:cs="Arial" w:eastAsia="Arial" w:hAnsi="Arial"/>
          <w:sz w:val="21"/>
          <w:szCs w:val="21"/>
          <w:color w:val="auto"/>
        </w:rPr>
        <w:t>Immediately upon the cessation of the Participant’s Employment and except as provided in</w:t>
      </w:r>
    </w:p>
    <w:p>
      <w:pPr>
        <w:spacing w:after="0" w:line="22" w:lineRule="exact"/>
        <w:rPr>
          <w:sz w:val="20"/>
          <w:szCs w:val="20"/>
          <w:color w:val="auto"/>
        </w:rPr>
      </w:pPr>
    </w:p>
    <w:p>
      <w:pPr>
        <w:jc w:val="both"/>
        <w:ind w:left="760" w:hanging="3"/>
        <w:spacing w:after="0" w:line="235" w:lineRule="auto"/>
        <w:tabs>
          <w:tab w:leader="none" w:pos="1136"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177" w:lineRule="exact"/>
        <w:rPr>
          <w:rFonts w:ascii="Arial" w:cs="Arial" w:eastAsia="Arial" w:hAnsi="Arial"/>
          <w:sz w:val="22"/>
          <w:szCs w:val="22"/>
          <w:color w:val="auto"/>
        </w:rPr>
      </w:pPr>
    </w:p>
    <w:p>
      <w:pPr>
        <w:jc w:val="both"/>
        <w:ind w:left="760" w:firstLine="1494"/>
        <w:spacing w:after="0" w:line="238" w:lineRule="auto"/>
        <w:tabs>
          <w:tab w:leader="none" w:pos="2557" w:val="left"/>
        </w:tabs>
        <w:numPr>
          <w:ilvl w:val="1"/>
          <w:numId w:val="14"/>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w:t>
      </w:r>
      <w:r>
        <w:rPr>
          <w:rFonts w:ascii="Arial" w:cs="Arial" w:eastAsia="Arial" w:hAnsi="Arial"/>
          <w:sz w:val="22"/>
          <w:szCs w:val="22"/>
          <w:u w:val="single" w:color="auto"/>
          <w:color w:val="auto"/>
        </w:rPr>
        <w:t>Section 6(a)(iv)</w:t>
      </w:r>
      <w:r>
        <w:rPr>
          <w:rFonts w:ascii="Arial" w:cs="Arial" w:eastAsia="Arial" w:hAnsi="Arial"/>
          <w:sz w:val="22"/>
          <w:szCs w:val="22"/>
          <w:color w:val="auto"/>
        </w:rPr>
        <w:t>, and will thereupon immediately terminate.</w:t>
      </w:r>
    </w:p>
    <w:p>
      <w:pPr>
        <w:spacing w:after="0" w:line="175"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557" w:val="left"/>
        </w:tabs>
        <w:numPr>
          <w:ilvl w:val="1"/>
          <w:numId w:val="14"/>
        </w:numPr>
        <w:rPr>
          <w:rFonts w:ascii="Times New Roman" w:cs="Times New Roman" w:eastAsia="Times New Roman" w:hAnsi="Times New Roman"/>
          <w:sz w:val="22"/>
          <w:szCs w:val="22"/>
          <w:color w:val="auto"/>
        </w:rPr>
      </w:pPr>
      <w:r>
        <w:rPr>
          <w:rFonts w:ascii="Arial" w:cs="Arial" w:eastAsia="Arial" w:hAnsi="Arial"/>
          <w:sz w:val="22"/>
          <w:szCs w:val="22"/>
          <w:color w:val="auto"/>
        </w:rPr>
        <w:t xml:space="preserve">All Stock Options and SARs held by a Participant or the Participant’s permitted transferees,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w:t>
      </w:r>
      <w:r>
        <w:rPr>
          <w:rFonts w:ascii="Arial" w:cs="Arial" w:eastAsia="Arial" w:hAnsi="Arial"/>
          <w:sz w:val="22"/>
          <w:szCs w:val="22"/>
          <w:u w:val="single" w:color="auto"/>
          <w:color w:val="auto"/>
        </w:rPr>
        <w:t>Section 6(a)(iv)</w:t>
      </w:r>
      <w:r>
        <w:rPr>
          <w:rFonts w:ascii="Arial" w:cs="Arial" w:eastAsia="Arial" w:hAnsi="Arial"/>
          <w:sz w:val="22"/>
          <w:szCs w:val="22"/>
          <w:color w:val="auto"/>
        </w:rPr>
        <w:t>, and will thereupon immediately terminate.</w:t>
      </w:r>
    </w:p>
    <w:p>
      <w:pPr>
        <w:spacing w:after="0" w:line="175" w:lineRule="exact"/>
        <w:rPr>
          <w:sz w:val="20"/>
          <w:szCs w:val="20"/>
          <w:color w:val="auto"/>
        </w:rPr>
      </w:pPr>
    </w:p>
    <w:p>
      <w:pPr>
        <w:jc w:val="both"/>
        <w:ind w:left="760" w:firstLine="1497"/>
        <w:spacing w:after="0" w:line="238" w:lineRule="auto"/>
        <w:rPr>
          <w:sz w:val="20"/>
          <w:szCs w:val="20"/>
          <w:color w:val="auto"/>
        </w:rPr>
      </w:pPr>
      <w:r>
        <w:rPr>
          <w:rFonts w:ascii="Times New Roman" w:cs="Times New Roman" w:eastAsia="Times New Roman" w:hAnsi="Times New Roman"/>
          <w:sz w:val="22"/>
          <w:szCs w:val="22"/>
          <w:color w:val="auto"/>
        </w:rPr>
        <w:t>(D)</w:t>
      </w:r>
      <w:r>
        <w:rPr>
          <w:rFonts w:ascii="Arial" w:cs="Arial" w:eastAsia="Arial" w:hAnsi="Arial"/>
          <w:sz w:val="22"/>
          <w:szCs w:val="22"/>
          <w:color w:val="auto"/>
        </w:rPr>
        <w:t>All Stock Options and SARs (whether or not exercisable) held by a Participant or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Participant’s permitted transferees, if any, immediately prior to the cessation of the Participant’s Employment will immediately terminate upon such notice of cessation of Employment if the termination is for Cause or occurs in circumstances that in the sole determination of the Administrator would have constituted grounds for the Participant’s Employment to be terminated for Cause.</w:t>
      </w:r>
    </w:p>
    <w:p>
      <w:pPr>
        <w:spacing w:after="0" w:line="174" w:lineRule="exact"/>
        <w:rPr>
          <w:sz w:val="20"/>
          <w:szCs w:val="20"/>
          <w:color w:val="auto"/>
        </w:rPr>
      </w:pPr>
    </w:p>
    <w:p>
      <w:pPr>
        <w:jc w:val="both"/>
        <w:ind w:firstLine="1505"/>
        <w:spacing w:after="0" w:line="237" w:lineRule="auto"/>
        <w:tabs>
          <w:tab w:leader="none" w:pos="2036" w:val="left"/>
        </w:tabs>
        <w:numPr>
          <w:ilvl w:val="0"/>
          <w:numId w:val="15"/>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Additional Restrictions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may cancel, rescind, withhold or otherwise limit or</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 any Award at any time if the Participant is not in compliance with all applicable provisions of the Award agreement and the Plan, or if the Participant breaches any agreement with the Company or its Affiliates with respect to confidentiality. Without limiting the generality of the foregoing, the Administrator may recover Awards made under the Plan and payments under or gain in respect of any Award to the extent required to comply with Company policy, including the Company’s Clawback Policy.</w:t>
      </w:r>
    </w:p>
    <w:p>
      <w:pPr>
        <w:spacing w:after="0" w:line="174" w:lineRule="exact"/>
        <w:rPr>
          <w:rFonts w:ascii="Times New Roman" w:cs="Times New Roman" w:eastAsia="Times New Roman" w:hAnsi="Times New Roman"/>
          <w:sz w:val="22"/>
          <w:szCs w:val="22"/>
          <w:color w:val="auto"/>
        </w:rPr>
      </w:pPr>
    </w:p>
    <w:p>
      <w:pPr>
        <w:jc w:val="both"/>
        <w:ind w:firstLine="1505"/>
        <w:spacing w:after="0" w:line="252" w:lineRule="auto"/>
        <w:tabs>
          <w:tab w:leader="none" w:pos="2036" w:val="left"/>
        </w:tabs>
        <w:numPr>
          <w:ilvl w:val="0"/>
          <w:numId w:val="15"/>
        </w:numPr>
        <w:rPr>
          <w:rFonts w:ascii="Times New Roman" w:cs="Times New Roman" w:eastAsia="Times New Roman" w:hAnsi="Times New Roman"/>
          <w:sz w:val="21"/>
          <w:szCs w:val="21"/>
          <w:color w:val="auto"/>
        </w:rPr>
      </w:pPr>
      <w:r>
        <w:rPr>
          <w:rFonts w:ascii="Arial" w:cs="Arial" w:eastAsia="Arial" w:hAnsi="Arial"/>
          <w:sz w:val="21"/>
          <w:szCs w:val="21"/>
          <w:b w:val="1"/>
          <w:bCs w:val="1"/>
          <w:u w:val="single" w:color="auto"/>
          <w:color w:val="auto"/>
        </w:rPr>
        <w:t>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delivery, vesting and retention of Stock, cash or other property under an Award are</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conditioned upon full 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maximum statutory withholding rate).</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7" w:name="page8"/>
    <w:bookmarkEnd w:id="7"/>
    <w:p>
      <w:pPr>
        <w:jc w:val="both"/>
        <w:ind w:firstLine="1505"/>
        <w:spacing w:after="0" w:line="234" w:lineRule="auto"/>
        <w:tabs>
          <w:tab w:leader="none" w:pos="2036" w:val="left"/>
        </w:tabs>
        <w:numPr>
          <w:ilvl w:val="1"/>
          <w:numId w:val="1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Dividend Equivalents, Etc</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may provide for the payment of amounts (on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terms and subject to conditions established by the Administrator, except to the extent provided otherwise in this </w:t>
      </w:r>
      <w:r>
        <w:rPr>
          <w:rFonts w:ascii="Arial" w:cs="Arial" w:eastAsia="Arial" w:hAnsi="Arial"/>
          <w:sz w:val="22"/>
          <w:szCs w:val="22"/>
          <w:u w:val="single" w:color="auto"/>
          <w:color w:val="auto"/>
        </w:rPr>
        <w:t>Section 6(a)(vii)</w:t>
      </w:r>
      <w:r>
        <w:rPr>
          <w:rFonts w:ascii="Arial" w:cs="Arial" w:eastAsia="Arial" w:hAnsi="Arial"/>
          <w:sz w:val="22"/>
          <w:szCs w:val="22"/>
          <w:color w:val="auto"/>
        </w:rPr>
        <w:t>)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shall be subject to the same limits or restrictions as the Awards to which they relate and shall not be payable until such Awards vest. Notwithstanding the foregoing, no Stock Options or SARs shall provide for payment or accrual of dividends or dividend equivalents.</w:t>
      </w:r>
    </w:p>
    <w:p>
      <w:pPr>
        <w:spacing w:after="0" w:line="182"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1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Rights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will be construed as giving any person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continued 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17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1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Coordination with Other Plans</w:t>
      </w:r>
      <w:r>
        <w:rPr>
          <w:rFonts w:ascii="Arial" w:cs="Arial" w:eastAsia="Arial" w:hAnsi="Arial"/>
          <w:sz w:val="22"/>
          <w:szCs w:val="22"/>
          <w:b w:val="1"/>
          <w:bCs w:val="1"/>
          <w:color w:val="auto"/>
        </w:rPr>
        <w:t xml:space="preserve">. </w:t>
      </w:r>
      <w:r>
        <w:rPr>
          <w:rFonts w:ascii="Arial" w:cs="Arial" w:eastAsia="Arial" w:hAnsi="Arial"/>
          <w:sz w:val="22"/>
          <w:szCs w:val="22"/>
          <w:color w:val="auto"/>
        </w:rPr>
        <w:t>Awards under the Plan may be granted in tandem with, or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174"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1"/>
          <w:numId w:val="16"/>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Each Award will contain such terms as the Administrator determines, and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and administered, such that the Award either qualifies for an exemption from the requirements of Section 409A or satisfies such requirements.</w:t>
      </w:r>
    </w:p>
    <w:p>
      <w:pPr>
        <w:spacing w:after="0" w:line="16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Stock Options and SARs</w:t>
      </w:r>
      <w:r>
        <w:rPr>
          <w:rFonts w:ascii="Arial" w:cs="Arial" w:eastAsia="Arial" w:hAnsi="Arial"/>
          <w:sz w:val="22"/>
          <w:szCs w:val="22"/>
          <w:b w:val="1"/>
          <w:bCs w:val="1"/>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1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Time and Manner of Exercise</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the Administrator expressly provides otherwise, no</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174"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1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Exercise Price</w:t>
      </w:r>
      <w:r>
        <w:rPr>
          <w:rFonts w:ascii="Arial" w:cs="Arial" w:eastAsia="Arial" w:hAnsi="Arial"/>
          <w:sz w:val="22"/>
          <w:szCs w:val="22"/>
          <w:b w:val="1"/>
          <w:bCs w:val="1"/>
          <w:color w:val="auto"/>
        </w:rPr>
        <w:t xml:space="preserve">. </w:t>
      </w:r>
      <w:r>
        <w:rPr>
          <w:rFonts w:ascii="Arial" w:cs="Arial" w:eastAsia="Arial" w:hAnsi="Arial"/>
          <w:sz w:val="22"/>
          <w:szCs w:val="22"/>
          <w:color w:val="auto"/>
        </w:rPr>
        <w:t>The exercise price (or the base value from which appreciation is to be</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of each Award requiring exercise will be no less than 100% (or in the case of an ISO granted to a ten-percent shareholder within the meaning of Section 422, 110%) of the Fair Market Value of the Stock subject to the Award, determined as of the date of grant, or such higher amount as the Administrator may determine in connection with the grant.</w:t>
      </w:r>
    </w:p>
    <w:p>
      <w:pPr>
        <w:spacing w:after="0" w:line="175"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1"/>
          <w:numId w:val="1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Payment of Exercise Price</w:t>
      </w:r>
      <w:r>
        <w:rPr>
          <w:rFonts w:ascii="Arial" w:cs="Arial" w:eastAsia="Arial" w:hAnsi="Arial"/>
          <w:sz w:val="22"/>
          <w:szCs w:val="22"/>
          <w:b w:val="1"/>
          <w:bCs w:val="1"/>
          <w:color w:val="auto"/>
        </w:rPr>
        <w:t xml:space="preserve">. </w:t>
      </w:r>
      <w:r>
        <w:rPr>
          <w:rFonts w:ascii="Arial" w:cs="Arial" w:eastAsia="Arial" w:hAnsi="Arial"/>
          <w:sz w:val="22"/>
          <w:szCs w:val="22"/>
          <w:color w:val="auto"/>
        </w:rPr>
        <w:t>Where the exercise of an Award is to be accompanied by</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payment of the exercise price will be by cash or check acceptable to the Administrator or by such other legally permissible means, if any, as may be acceptable to the Administrator.</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8" w:name="page9"/>
    <w:bookmarkEnd w:id="8"/>
    <w:p>
      <w:pPr>
        <w:jc w:val="both"/>
        <w:ind w:firstLine="1505"/>
        <w:spacing w:after="0" w:line="235" w:lineRule="auto"/>
        <w:tabs>
          <w:tab w:leader="none" w:pos="2036" w:val="left"/>
        </w:tabs>
        <w:numPr>
          <w:ilvl w:val="2"/>
          <w:numId w:val="1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Maximum Term</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Options and SARs will have a maximum term not to exceed 10 years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from the date of grant (or five years from the date of grant in the case of an ISO granted to a ten-percent shareholder described in </w:t>
      </w:r>
      <w:r>
        <w:rPr>
          <w:rFonts w:ascii="Arial" w:cs="Arial" w:eastAsia="Arial" w:hAnsi="Arial"/>
          <w:sz w:val="22"/>
          <w:szCs w:val="22"/>
          <w:u w:val="single" w:color="auto"/>
          <w:color w:val="auto"/>
        </w:rPr>
        <w:t>Section 6(b)(ii)</w:t>
      </w:r>
      <w:r>
        <w:rPr>
          <w:rFonts w:ascii="Arial" w:cs="Arial" w:eastAsia="Arial" w:hAnsi="Arial"/>
          <w:sz w:val="22"/>
          <w:szCs w:val="22"/>
          <w:color w:val="auto"/>
        </w:rPr>
        <w:t xml:space="preserve"> above); provided, however, that, if a Participant still holding an outstanding but unexercised NSO or SAR 10 years from the date of grant (or, in the case of an NSO or SAR with a maximum term of less than 10 years, such maximum term) is prohibited by applicable law from exercising such Stock Options or SARs, and if at such time the Stock is publicly traded (as determined by the Administrator), the maximum term of such Award will instead be deemed to expire on the 30</w:t>
      </w:r>
      <w:r>
        <w:rPr>
          <w:rFonts w:ascii="Arial" w:cs="Arial" w:eastAsia="Arial" w:hAnsi="Arial"/>
          <w:sz w:val="14"/>
          <w:szCs w:val="14"/>
          <w:color w:val="auto"/>
        </w:rPr>
        <w:t>th</w:t>
      </w:r>
      <w:r>
        <w:rPr>
          <w:rFonts w:ascii="Arial" w:cs="Arial" w:eastAsia="Arial" w:hAnsi="Arial"/>
          <w:sz w:val="22"/>
          <w:szCs w:val="22"/>
          <w:color w:val="auto"/>
        </w:rPr>
        <w:t xml:space="preserve"> day following the date the Participant is no longer prohibited from engaging in such open market sales.</w:t>
      </w:r>
    </w:p>
    <w:p>
      <w:pPr>
        <w:spacing w:after="0" w:line="177"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2"/>
          <w:numId w:val="1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No Repricing without Stockholder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shall not, without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approval (except in the case of a change in the Company’s capitalization (as described in </w:t>
      </w:r>
      <w:r>
        <w:rPr>
          <w:rFonts w:ascii="Arial" w:cs="Arial" w:eastAsia="Arial" w:hAnsi="Arial"/>
          <w:sz w:val="22"/>
          <w:szCs w:val="22"/>
          <w:u w:val="single" w:color="auto"/>
          <w:color w:val="auto"/>
        </w:rPr>
        <w:t>Section 7(b)</w:t>
      </w:r>
      <w:r>
        <w:rPr>
          <w:rFonts w:ascii="Arial" w:cs="Arial" w:eastAsia="Arial" w:hAnsi="Arial"/>
          <w:sz w:val="22"/>
          <w:szCs w:val="22"/>
          <w:color w:val="auto"/>
        </w:rPr>
        <w:t>), (A) reduce the exercise price of a Stock Option or SAR, (B) other than in the case of Covered Transaction, at any time when the exercise price of a Stock Option or SAR is above the Fair Market Value of a share of Stock, cancel and re-grant or exchange such Stock Option or SAR for cash or a new Award having a lower (or no) exercise price, or (c) take any other action with respect to an Award that would be treated as a repricing under generally accepted accounting principles.</w:t>
      </w:r>
    </w:p>
    <w:p>
      <w:pPr>
        <w:spacing w:after="0" w:line="174"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2"/>
          <w:numId w:val="1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No Reload Grants</w:t>
      </w:r>
      <w:r>
        <w:rPr>
          <w:rFonts w:ascii="Arial" w:cs="Arial" w:eastAsia="Arial" w:hAnsi="Arial"/>
          <w:sz w:val="22"/>
          <w:szCs w:val="22"/>
          <w:color w:val="auto"/>
        </w:rPr>
        <w:t>. Stock Options shall not be granted under the Plan in consideration for,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conditioned upon the delivery of, shares of Stock to the Company in payment of the exercise price and/or tax withholding obligation under any other employee stock option.</w:t>
      </w:r>
    </w:p>
    <w:p>
      <w:pPr>
        <w:spacing w:after="0" w:line="169"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9"/>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EFFECT OF CERTAIN TRANSACTIONS</w:t>
      </w:r>
    </w:p>
    <w:p>
      <w:pPr>
        <w:spacing w:after="0" w:line="205" w:lineRule="exact"/>
        <w:rPr>
          <w:rFonts w:ascii="Times New Roman" w:cs="Times New Roman" w:eastAsia="Times New Roman" w:hAnsi="Times New Roman"/>
          <w:sz w:val="22"/>
          <w:szCs w:val="22"/>
          <w:b w:val="1"/>
          <w:bCs w:val="1"/>
          <w:color w:val="auto"/>
        </w:rPr>
      </w:pPr>
    </w:p>
    <w:p>
      <w:pPr>
        <w:ind w:firstLine="757"/>
        <w:spacing w:after="0" w:line="260" w:lineRule="auto"/>
        <w:tabs>
          <w:tab w:leader="none" w:pos="1018" w:val="left"/>
        </w:tabs>
        <w:numPr>
          <w:ilvl w:val="1"/>
          <w:numId w:val="1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Mergers,</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u w:val="single" w:color="auto"/>
          <w:color w:val="auto"/>
        </w:rPr>
        <w:t>etc</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an Award agreement, the following provisions will apply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of a Covered Transaction:</w:t>
      </w:r>
    </w:p>
    <w:p>
      <w:pPr>
        <w:spacing w:after="0" w:line="152"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2"/>
          <w:numId w:val="1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Assumption or Substitution</w:t>
      </w:r>
      <w:r>
        <w:rPr>
          <w:rFonts w:ascii="Arial" w:cs="Arial" w:eastAsia="Arial" w:hAnsi="Arial"/>
          <w:sz w:val="22"/>
          <w:szCs w:val="22"/>
          <w:b w:val="1"/>
          <w:bCs w:val="1"/>
          <w:color w:val="auto"/>
        </w:rPr>
        <w:t xml:space="preserve">. </w:t>
      </w:r>
      <w:r>
        <w:rPr>
          <w:rFonts w:ascii="Arial" w:cs="Arial" w:eastAsia="Arial" w:hAnsi="Arial"/>
          <w:sz w:val="22"/>
          <w:szCs w:val="22"/>
          <w:color w:val="auto"/>
        </w:rPr>
        <w:t>If the Covered Transaction is one in which there is an acquiring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 Notwithstanding any provision of this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in the event of a Covered Transaction in which the acquiring or surviving entity does not assume or continue outstanding Awards or provide for the grant of new awards in substitution therefor, all Awards that are not assumed, continued or substituted for shall be treated as follows effective immediately prior to the Covered Transaction: (A) in the case of a Stock Option or SAR, the Participant shall have the ability to exercise such Stock Option or SAR, including any portion of the Stock Option or SAR not previously exercisable, (B) in the case of any Award the vesting of which is in whole or in part subject to Performance Criteria,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any other Award all conditions to the grant, issuance, retention, vesting or transferability of, or any other restrictions applicable to, such Award shall immediately lapse. In no event shall any action be taken pursuant to this </w:t>
      </w:r>
      <w:r>
        <w:rPr>
          <w:rFonts w:ascii="Arial" w:cs="Arial" w:eastAsia="Arial" w:hAnsi="Arial"/>
          <w:sz w:val="22"/>
          <w:szCs w:val="22"/>
          <w:u w:val="single" w:color="auto"/>
          <w:color w:val="auto"/>
        </w:rPr>
        <w:t>Section 7(a)(i)</w:t>
      </w:r>
      <w:r>
        <w:rPr>
          <w:rFonts w:ascii="Arial" w:cs="Arial" w:eastAsia="Arial" w:hAnsi="Arial"/>
          <w:sz w:val="22"/>
          <w:szCs w:val="22"/>
          <w:color w:val="auto"/>
        </w:rPr>
        <w:t xml:space="preserve"> that would change the payment or settlement date of an Award in a manner that would result in the imposition of any additional taxes or penalties pursuant to Section 409A of the Code.</w:t>
      </w:r>
    </w:p>
    <w:p>
      <w:pPr>
        <w:spacing w:after="0" w:line="188" w:lineRule="exact"/>
        <w:rPr>
          <w:rFonts w:ascii="Times New Roman" w:cs="Times New Roman" w:eastAsia="Times New Roman" w:hAnsi="Times New Roman"/>
          <w:sz w:val="22"/>
          <w:szCs w:val="22"/>
          <w:color w:val="auto"/>
        </w:rPr>
      </w:pPr>
    </w:p>
    <w:p>
      <w:pPr>
        <w:ind w:right="20" w:firstLine="1505"/>
        <w:spacing w:after="0" w:line="271" w:lineRule="auto"/>
        <w:tabs>
          <w:tab w:leader="none" w:pos="2036" w:val="left"/>
        </w:tabs>
        <w:numPr>
          <w:ilvl w:val="2"/>
          <w:numId w:val="1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Cash-Out of Awards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7(a)(v)</w:t>
      </w:r>
      <w:r>
        <w:rPr>
          <w:rFonts w:ascii="Arial" w:cs="Arial" w:eastAsia="Arial" w:hAnsi="Arial"/>
          <w:sz w:val="22"/>
          <w:szCs w:val="22"/>
          <w:b w:val="1"/>
          <w:bCs w:val="1"/>
          <w:color w:val="auto"/>
        </w:rPr>
        <w:t xml:space="preserve"> </w:t>
      </w:r>
      <w:r>
        <w:rPr>
          <w:rFonts w:ascii="Arial" w:cs="Arial" w:eastAsia="Arial" w:hAnsi="Arial"/>
          <w:sz w:val="22"/>
          <w:szCs w:val="22"/>
          <w:color w:val="auto"/>
        </w:rPr>
        <w:t>below the Administrator may (but,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avoidance of doubt, need not) provide for payment (a “</w:t>
      </w:r>
      <w:r>
        <w:rPr>
          <w:rFonts w:ascii="Arial" w:cs="Arial" w:eastAsia="Arial" w:hAnsi="Arial"/>
          <w:sz w:val="22"/>
          <w:szCs w:val="22"/>
          <w:b w:val="1"/>
          <w:bCs w:val="1"/>
          <w:color w:val="auto"/>
        </w:rPr>
        <w:t>cash-out</w:t>
      </w:r>
      <w:r>
        <w:rPr>
          <w:rFonts w:ascii="Arial" w:cs="Arial" w:eastAsia="Arial" w:hAnsi="Arial"/>
          <w:sz w:val="22"/>
          <w:szCs w:val="22"/>
          <w:color w:val="auto"/>
        </w:rPr>
        <w:t>”), with respect to some or all Awards or any</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 w:name="page10"/>
    <w:bookmarkEnd w:id="9"/>
    <w:p>
      <w:pPr>
        <w:jc w:val="both"/>
        <w:spacing w:after="0" w:line="247" w:lineRule="auto"/>
        <w:rPr>
          <w:sz w:val="20"/>
          <w:szCs w:val="20"/>
          <w:color w:val="auto"/>
        </w:rPr>
      </w:pPr>
      <w:r>
        <w:rPr>
          <w:rFonts w:ascii="Arial" w:cs="Arial" w:eastAsia="Arial" w:hAnsi="Arial"/>
          <w:sz w:val="21"/>
          <w:szCs w:val="21"/>
          <w:color w:val="auto"/>
        </w:rPr>
        <w:t>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provided, however, that if the fair market value of one share of Stock (as determined by the Administrator in its reasonable discretion) does not exceed the exercise price of such Award, then the Award shall be cancelled without any payment of consideration therefor.</w:t>
      </w:r>
    </w:p>
    <w:p>
      <w:pPr>
        <w:spacing w:after="0" w:line="170" w:lineRule="exact"/>
        <w:rPr>
          <w:sz w:val="20"/>
          <w:szCs w:val="20"/>
          <w:color w:val="auto"/>
        </w:rPr>
      </w:pPr>
    </w:p>
    <w:p>
      <w:pPr>
        <w:jc w:val="both"/>
        <w:ind w:firstLine="1505"/>
        <w:spacing w:after="0" w:line="236" w:lineRule="auto"/>
        <w:tabs>
          <w:tab w:leader="none" w:pos="2036" w:val="left"/>
        </w:tabs>
        <w:numPr>
          <w:ilvl w:val="1"/>
          <w:numId w:val="20"/>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Acceleration of Certain Awards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7(a)(v)</w:t>
      </w:r>
      <w:r>
        <w:rPr>
          <w:rFonts w:ascii="Arial" w:cs="Arial" w:eastAsia="Arial" w:hAnsi="Arial"/>
          <w:sz w:val="22"/>
          <w:szCs w:val="22"/>
          <w:b w:val="1"/>
          <w:bCs w:val="1"/>
          <w:color w:val="auto"/>
        </w:rPr>
        <w:t xml:space="preserve"> </w:t>
      </w:r>
      <w:r>
        <w:rPr>
          <w:rFonts w:ascii="Arial" w:cs="Arial" w:eastAsia="Arial" w:hAnsi="Arial"/>
          <w:sz w:val="22"/>
          <w:szCs w:val="22"/>
          <w:color w:val="auto"/>
        </w:rPr>
        <w:t>below, the Administrator may (but,</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174" w:lineRule="exact"/>
        <w:rPr>
          <w:rFonts w:ascii="Times New Roman" w:cs="Times New Roman" w:eastAsia="Times New Roman" w:hAnsi="Times New Roman"/>
          <w:sz w:val="22"/>
          <w:szCs w:val="22"/>
          <w:color w:val="auto"/>
        </w:rPr>
      </w:pPr>
    </w:p>
    <w:p>
      <w:pPr>
        <w:jc w:val="both"/>
        <w:ind w:firstLine="1505"/>
        <w:spacing w:after="0"/>
        <w:tabs>
          <w:tab w:leader="none" w:pos="2036" w:val="left"/>
        </w:tabs>
        <w:numPr>
          <w:ilvl w:val="1"/>
          <w:numId w:val="20"/>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Termination of Awards Upon Consummation of Covered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Administrator may otherwise determine in any case, each Award will automatically terminate (and in the case of outstanding shares of Restricted Stock, will automatically be forfeited) upon consummation of the Covered Transaction, other than Awards assumed or continued pursuant to </w:t>
      </w:r>
      <w:r>
        <w:rPr>
          <w:rFonts w:ascii="Arial" w:cs="Arial" w:eastAsia="Arial" w:hAnsi="Arial"/>
          <w:sz w:val="22"/>
          <w:szCs w:val="22"/>
          <w:u w:val="single" w:color="auto"/>
          <w:color w:val="auto"/>
        </w:rPr>
        <w:t>Section 7(a)(i)</w:t>
      </w:r>
      <w:r>
        <w:rPr>
          <w:rFonts w:ascii="Arial" w:cs="Arial" w:eastAsia="Arial" w:hAnsi="Arial"/>
          <w:sz w:val="22"/>
          <w:szCs w:val="22"/>
          <w:color w:val="auto"/>
        </w:rPr>
        <w:t xml:space="preserve"> above.</w:t>
      </w:r>
    </w:p>
    <w:p>
      <w:pPr>
        <w:spacing w:after="0" w:line="175"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20"/>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Additional Limitations</w:t>
      </w:r>
      <w:r>
        <w:rPr>
          <w:rFonts w:ascii="Arial" w:cs="Arial" w:eastAsia="Arial" w:hAnsi="Arial"/>
          <w:sz w:val="22"/>
          <w:szCs w:val="22"/>
          <w:b w:val="1"/>
          <w:bCs w:val="1"/>
          <w:color w:val="auto"/>
        </w:rPr>
        <w:t xml:space="preserve">. </w:t>
      </w:r>
      <w:r>
        <w:rPr>
          <w:rFonts w:ascii="Arial" w:cs="Arial" w:eastAsia="Arial" w:hAnsi="Arial"/>
          <w:sz w:val="22"/>
          <w:szCs w:val="22"/>
          <w:color w:val="auto"/>
        </w:rPr>
        <w:t>Any share of Stock and any cash or other property delivered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w:t>
      </w:r>
      <w:r>
        <w:rPr>
          <w:rFonts w:ascii="Arial" w:cs="Arial" w:eastAsia="Arial" w:hAnsi="Arial"/>
          <w:sz w:val="22"/>
          <w:szCs w:val="22"/>
          <w:u w:val="single" w:color="auto"/>
          <w:color w:val="auto"/>
        </w:rPr>
        <w:t>Section 7(a)(ii)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7(a)(iii)</w:t>
      </w:r>
      <w:r>
        <w:rPr>
          <w:rFonts w:ascii="Arial" w:cs="Arial" w:eastAsia="Arial" w:hAnsi="Arial"/>
          <w:sz w:val="22"/>
          <w:szCs w:val="22"/>
          <w:color w:val="auto"/>
        </w:rPr>
        <w:t xml:space="preserve"> above with respect to an Award may, in the discretion of the Administrator, contain such restrictions, if any, as the Administrator deems appropriate to reflect any Performance Criteria or other vesting conditions to which the Award was subject and that did not lapse (and were not satisfied) in connection with the Covered Transaction. For purposes of the immediately preceding sentence, a cash-out under </w:t>
      </w:r>
      <w:r>
        <w:rPr>
          <w:rFonts w:ascii="Arial" w:cs="Arial" w:eastAsia="Arial" w:hAnsi="Arial"/>
          <w:sz w:val="22"/>
          <w:szCs w:val="22"/>
          <w:u w:val="single" w:color="auto"/>
          <w:color w:val="auto"/>
        </w:rPr>
        <w:t>Section 7(a)(ii)</w:t>
      </w:r>
      <w:r>
        <w:rPr>
          <w:rFonts w:ascii="Arial" w:cs="Arial" w:eastAsia="Arial" w:hAnsi="Arial"/>
          <w:sz w:val="22"/>
          <w:szCs w:val="22"/>
          <w:color w:val="auto"/>
        </w:rPr>
        <w:t xml:space="preserve"> above or acceleration under </w:t>
      </w:r>
      <w:r>
        <w:rPr>
          <w:rFonts w:ascii="Arial" w:cs="Arial" w:eastAsia="Arial" w:hAnsi="Arial"/>
          <w:sz w:val="22"/>
          <w:szCs w:val="22"/>
          <w:u w:val="single" w:color="auto"/>
          <w:color w:val="auto"/>
        </w:rPr>
        <w:t>Section 7(a)(iii)</w:t>
      </w:r>
      <w:r>
        <w:rPr>
          <w:rFonts w:ascii="Arial" w:cs="Arial" w:eastAsia="Arial" w:hAnsi="Arial"/>
          <w:sz w:val="22"/>
          <w:szCs w:val="22"/>
          <w:color w:val="auto"/>
        </w:rPr>
        <w:t xml:space="preserve"> above will not, in and of itself, be treated as the lapsing (or satisfaction) of a Performance Criteria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74"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Changes in and Distributions With Respect to Stock</w:t>
      </w:r>
      <w:r>
        <w:rPr>
          <w:rFonts w:ascii="Arial" w:cs="Arial" w:eastAsia="Arial" w:hAnsi="Arial"/>
          <w:sz w:val="22"/>
          <w:szCs w:val="22"/>
          <w:b w:val="1"/>
          <w:bCs w:val="1"/>
          <w:color w:val="auto"/>
        </w:rPr>
        <w:t>.</w:t>
      </w:r>
    </w:p>
    <w:p>
      <w:pPr>
        <w:spacing w:after="0" w:line="205"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21"/>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Basic Adjustment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 stock dividend, stock split or combination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shares (including a reverse stock split), recapitalization or other change in the Company’s capital structure that constitutes an equity restructuring within the meaning of FASB ASC 718, the Administrator will make appropriate adjustments to the maximum number of shares specified in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that may be delivered under the Plan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74" w:lineRule="exact"/>
        <w:rPr>
          <w:rFonts w:ascii="Times New Roman" w:cs="Times New Roman" w:eastAsia="Times New Roman" w:hAnsi="Times New Roman"/>
          <w:sz w:val="22"/>
          <w:szCs w:val="22"/>
          <w:color w:val="auto"/>
        </w:rPr>
      </w:pPr>
    </w:p>
    <w:p>
      <w:pPr>
        <w:ind w:firstLine="1505"/>
        <w:spacing w:after="0" w:line="260" w:lineRule="auto"/>
        <w:tabs>
          <w:tab w:leader="none" w:pos="2036" w:val="left"/>
        </w:tabs>
        <w:numPr>
          <w:ilvl w:val="1"/>
          <w:numId w:val="21"/>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Certain Other 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Administrator may also make adjustments of the type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described in </w:t>
      </w:r>
      <w:r>
        <w:rPr>
          <w:rFonts w:ascii="Arial" w:cs="Arial" w:eastAsia="Arial" w:hAnsi="Arial"/>
          <w:sz w:val="22"/>
          <w:szCs w:val="22"/>
          <w:u w:val="single" w:color="auto"/>
          <w:color w:val="auto"/>
        </w:rPr>
        <w:t>Section 7(b)(i)</w:t>
      </w:r>
      <w:r>
        <w:rPr>
          <w:rFonts w:ascii="Arial" w:cs="Arial" w:eastAsia="Arial" w:hAnsi="Arial"/>
          <w:sz w:val="22"/>
          <w:szCs w:val="22"/>
          <w:color w:val="auto"/>
        </w:rPr>
        <w:t xml:space="preserve"> above to take into account distributions to stockholders other than those provided</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0" w:name="page11"/>
    <w:bookmarkEnd w:id="10"/>
    <w:p>
      <w:pPr>
        <w:jc w:val="both"/>
        <w:spacing w:after="0" w:line="245" w:lineRule="auto"/>
        <w:rPr>
          <w:sz w:val="20"/>
          <w:szCs w:val="20"/>
          <w:color w:val="auto"/>
        </w:rPr>
      </w:pPr>
      <w:r>
        <w:rPr>
          <w:rFonts w:ascii="Arial" w:cs="Arial" w:eastAsia="Arial" w:hAnsi="Arial"/>
          <w:sz w:val="22"/>
          <w:szCs w:val="22"/>
          <w:color w:val="auto"/>
        </w:rPr>
        <w:t xml:space="preserve">for in </w:t>
      </w:r>
      <w:r>
        <w:rPr>
          <w:rFonts w:ascii="Arial" w:cs="Arial" w:eastAsia="Arial" w:hAnsi="Arial"/>
          <w:sz w:val="22"/>
          <w:szCs w:val="22"/>
          <w:u w:val="single" w:color="auto"/>
          <w:color w:val="auto"/>
        </w:rPr>
        <w:t>Section 7(a)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7(b)(i),</w:t>
      </w:r>
      <w:r>
        <w:rPr>
          <w:rFonts w:ascii="Arial" w:cs="Arial" w:eastAsia="Arial" w:hAnsi="Arial"/>
          <w:sz w:val="22"/>
          <w:szCs w:val="22"/>
          <w:color w:val="auto"/>
        </w:rPr>
        <w:t xml:space="preserve"> or any other event, if the Administrator determines that adjustments are appropriate to avoid distortion in the operation of the Plan, having due regard for the qualification of ISOs under Section 422 and the requirements of Section 409A, where applicable.</w:t>
      </w:r>
    </w:p>
    <w:p>
      <w:pPr>
        <w:spacing w:after="0" w:line="168" w:lineRule="exact"/>
        <w:rPr>
          <w:sz w:val="20"/>
          <w:szCs w:val="20"/>
          <w:color w:val="auto"/>
        </w:rPr>
      </w:pPr>
    </w:p>
    <w:p>
      <w:pPr>
        <w:ind w:firstLine="1505"/>
        <w:spacing w:after="0" w:line="260" w:lineRule="auto"/>
        <w:tabs>
          <w:tab w:leader="none" w:pos="2036" w:val="left"/>
        </w:tabs>
        <w:numPr>
          <w:ilvl w:val="1"/>
          <w:numId w:val="22"/>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Continuing Application of Plan Terms</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References in the Plan to shares of Stock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construed to include any stock or securities resulting from an adjustment pursuant to this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52"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3"/>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LEGAL CONDITIONS ON DELIVERY OF STOCK</w:t>
      </w:r>
    </w:p>
    <w:p>
      <w:pPr>
        <w:spacing w:after="0" w:line="20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Company will not be obligated to deliver any shares of Stock pursuant to the Plan or to remove any restriction from shares of Stock previously delivered under the Plan until: (a) the Company is satisfied that all legal matters in connection with the issuance and delivery of such shares have been addressed and resolved; (b) if the outstanding Stock is at the time of delivery listed on any stock exchange or national market system, the shares to be delivered have been listed or authorized to be listed on such exchange or system upon official notice of issuance; and</w:t>
      </w:r>
    </w:p>
    <w:p>
      <w:pPr>
        <w:spacing w:after="0" w:line="2" w:lineRule="exact"/>
        <w:rPr>
          <w:sz w:val="20"/>
          <w:szCs w:val="20"/>
          <w:color w:val="auto"/>
        </w:rPr>
      </w:pPr>
    </w:p>
    <w:p>
      <w:pPr>
        <w:jc w:val="both"/>
        <w:ind w:firstLine="8"/>
        <w:spacing w:after="0" w:line="232" w:lineRule="auto"/>
        <w:tabs>
          <w:tab w:leader="none" w:pos="321"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conditions of the Award have been satisfied or waived. The Company may require, as a condition to exercise of the Award, such representations or agreements as counsel for the Company may consider appropriate to avoid violation of the Securities Act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182"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AMENDMENT AND TERMINATION</w:t>
      </w:r>
    </w:p>
    <w:p>
      <w:pPr>
        <w:spacing w:after="0" w:line="20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spacing w:after="0" w:line="16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OTHER COMPENSATION ARRANGEMENTS</w:t>
      </w:r>
    </w:p>
    <w:p>
      <w:pPr>
        <w:spacing w:after="0" w:line="207" w:lineRule="exact"/>
        <w:rPr>
          <w:sz w:val="20"/>
          <w:szCs w:val="20"/>
          <w:color w:val="auto"/>
        </w:rPr>
      </w:pPr>
    </w:p>
    <w:p>
      <w:pPr>
        <w:ind w:firstLine="749"/>
        <w:spacing w:after="0" w:line="259" w:lineRule="auto"/>
        <w:rPr>
          <w:sz w:val="20"/>
          <w:szCs w:val="20"/>
          <w:color w:val="auto"/>
        </w:rPr>
      </w:pPr>
      <w:r>
        <w:rPr>
          <w:rFonts w:ascii="Arial" w:cs="Arial" w:eastAsia="Arial" w:hAnsi="Arial"/>
          <w:sz w:val="22"/>
          <w:szCs w:val="22"/>
          <w:color w:val="auto"/>
        </w:rPr>
        <w:t>The existence of the Plan or the grant of any Award will not in any way affect the Company’s right to Award a person bonuses or other compensation in addition to Awards under the Plan.</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1" w:name="page12"/>
    <w:bookmarkEnd w:id="11"/>
    <w:p>
      <w:pPr>
        <w:ind w:left="520" w:hanging="512"/>
        <w:spacing w:after="0"/>
        <w:tabs>
          <w:tab w:leader="none" w:pos="520" w:val="left"/>
        </w:tabs>
        <w:numPr>
          <w:ilvl w:val="0"/>
          <w:numId w:val="27"/>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MISCELLANEOUS</w:t>
      </w:r>
    </w:p>
    <w:p>
      <w:pPr>
        <w:spacing w:after="0" w:line="205" w:lineRule="exact"/>
        <w:rPr>
          <w:rFonts w:ascii="Times New Roman" w:cs="Times New Roman" w:eastAsia="Times New Roman" w:hAnsi="Times New Roman"/>
          <w:sz w:val="22"/>
          <w:szCs w:val="22"/>
          <w:b w:val="1"/>
          <w:bCs w:val="1"/>
          <w:color w:val="auto"/>
        </w:rPr>
      </w:pPr>
    </w:p>
    <w:p>
      <w:pPr>
        <w:jc w:val="both"/>
        <w:ind w:firstLine="757"/>
        <w:spacing w:after="0" w:line="245" w:lineRule="auto"/>
        <w:tabs>
          <w:tab w:leader="none" w:pos="1018" w:val="left"/>
        </w:tabs>
        <w:numPr>
          <w:ilvl w:val="1"/>
          <w:numId w:val="27"/>
        </w:numPr>
        <w:rPr>
          <w:rFonts w:ascii="Times New Roman" w:cs="Times New Roman" w:eastAsia="Times New Roman" w:hAnsi="Times New Roman"/>
          <w:sz w:val="21"/>
          <w:szCs w:val="21"/>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b w:val="1"/>
          <w:bCs w:val="1"/>
          <w:color w:val="auto"/>
        </w:rPr>
        <w:t xml:space="preserve">. </w:t>
      </w:r>
      <w:r>
        <w:rPr>
          <w:rFonts w:ascii="Arial" w:cs="Arial" w:eastAsia="Arial" w:hAnsi="Arial"/>
          <w:sz w:val="21"/>
          <w:szCs w:val="21"/>
          <w:color w:val="auto"/>
        </w:rPr>
        <w:t>By accepting an Award under the Plan and to the extent permitted under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law,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176" w:lineRule="exact"/>
        <w:rPr>
          <w:rFonts w:ascii="Times New Roman" w:cs="Times New Roman" w:eastAsia="Times New Roman" w:hAnsi="Times New Roman"/>
          <w:sz w:val="21"/>
          <w:szCs w:val="21"/>
          <w:color w:val="auto"/>
        </w:rPr>
      </w:pPr>
    </w:p>
    <w:p>
      <w:pPr>
        <w:jc w:val="both"/>
        <w:ind w:firstLine="757"/>
        <w:spacing w:after="0" w:line="237" w:lineRule="auto"/>
        <w:tabs>
          <w:tab w:leader="none" w:pos="1018" w:val="left"/>
        </w:tabs>
        <w:numPr>
          <w:ilvl w:val="1"/>
          <w:numId w:val="27"/>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Limitation of Liability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anything to the contrary in the Plan, neither the Company,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17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7"/>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ESTABLISHMENT OF SUB-PLANS</w:t>
      </w:r>
    </w:p>
    <w:p>
      <w:pPr>
        <w:spacing w:after="0" w:line="20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(a) such limitations on the Administrator’s discretion under the Plan as it deems necessary or desirable and (b)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174"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22"/>
          <w:szCs w:val="22"/>
          <w:b w:val="1"/>
          <w:bCs w:val="1"/>
          <w:color w:val="auto"/>
        </w:rPr>
      </w:pPr>
      <w:r>
        <w:rPr>
          <w:rFonts w:ascii="Arial" w:cs="Arial" w:eastAsia="Arial" w:hAnsi="Arial"/>
          <w:sz w:val="22"/>
          <w:szCs w:val="22"/>
          <w:b w:val="1"/>
          <w:bCs w:val="1"/>
          <w:color w:val="auto"/>
        </w:rPr>
        <w:t>GOVERNING LAW</w:t>
      </w:r>
    </w:p>
    <w:p>
      <w:pPr>
        <w:spacing w:after="0" w:line="205"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1"/>
          <w:numId w:val="2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Certain Requirements of Corporate Law</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be granted and administered consistent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5" w:lineRule="exact"/>
        <w:rPr>
          <w:rFonts w:ascii="Times New Roman" w:cs="Times New Roman" w:eastAsia="Times New Roman" w:hAnsi="Times New Roman"/>
          <w:sz w:val="22"/>
          <w:szCs w:val="22"/>
          <w:color w:val="auto"/>
        </w:rPr>
      </w:pPr>
    </w:p>
    <w:p>
      <w:pPr>
        <w:jc w:val="both"/>
        <w:ind w:firstLine="757"/>
        <w:spacing w:after="0" w:line="237" w:lineRule="auto"/>
        <w:tabs>
          <w:tab w:leader="none" w:pos="1018" w:val="left"/>
        </w:tabs>
        <w:numPr>
          <w:ilvl w:val="1"/>
          <w:numId w:val="28"/>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Other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Except as otherwise provided by the express terms of an Award agreement, under a sub-plan described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or as provided in </w:t>
      </w:r>
      <w:r>
        <w:rPr>
          <w:rFonts w:ascii="Arial" w:cs="Arial" w:eastAsia="Arial" w:hAnsi="Arial"/>
          <w:sz w:val="22"/>
          <w:szCs w:val="22"/>
          <w:u w:val="single" w:color="auto"/>
          <w:color w:val="auto"/>
        </w:rPr>
        <w:t>Section 13(a)</w:t>
      </w:r>
      <w:r>
        <w:rPr>
          <w:rFonts w:ascii="Arial" w:cs="Arial" w:eastAsia="Arial" w:hAnsi="Arial"/>
          <w:sz w:val="22"/>
          <w:szCs w:val="22"/>
          <w:color w:val="auto"/>
        </w:rPr>
        <w:t xml:space="preserve">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2" w:name="page13"/>
    <w:bookmarkEnd w:id="12"/>
    <w:p>
      <w:pPr>
        <w:jc w:val="both"/>
        <w:ind w:firstLine="757"/>
        <w:spacing w:after="0" w:line="234" w:lineRule="auto"/>
        <w:tabs>
          <w:tab w:leader="none" w:pos="1018" w:val="left"/>
        </w:tabs>
        <w:numPr>
          <w:ilvl w:val="0"/>
          <w:numId w:val="29"/>
        </w:numPr>
        <w:rPr>
          <w:rFonts w:ascii="Times New Roman" w:cs="Times New Roman" w:eastAsia="Times New Roman" w:hAnsi="Times New Roman"/>
          <w:sz w:val="22"/>
          <w:szCs w:val="22"/>
          <w:color w:val="auto"/>
        </w:rPr>
      </w:pPr>
      <w:r>
        <w:rPr>
          <w:rFonts w:ascii="Arial" w:cs="Arial" w:eastAsia="Arial" w:hAnsi="Arial"/>
          <w:sz w:val="22"/>
          <w:szCs w:val="22"/>
          <w:b w:val="1"/>
          <w:bCs w:val="1"/>
          <w:u w:val="single" w:color="auto"/>
          <w:color w:val="auto"/>
        </w:rPr>
        <w:t>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By accepting an Award, each Participant will be deemed to (a) have submitted irrevocably</w:t>
      </w:r>
      <w:r>
        <w:rPr>
          <w:rFonts w:ascii="Arial" w:cs="Arial" w:eastAsia="Arial" w:hAnsi="Arial"/>
          <w:sz w:val="22"/>
          <w:szCs w:val="22"/>
          <w:b w:val="1"/>
          <w:bCs w:val="1"/>
          <w:color w:val="auto"/>
        </w:rPr>
        <w:t xml:space="preserve"> </w:t>
      </w:r>
      <w:r>
        <w:rPr>
          <w:rFonts w:ascii="Arial" w:cs="Arial" w:eastAsia="Arial" w:hAnsi="Arial"/>
          <w:sz w:val="22"/>
          <w:szCs w:val="22"/>
          <w:color w:val="auto"/>
        </w:rPr>
        <w:t>and unconditionally to the jurisdiction of the federal and state courts located within the geographic boundaries of the United States District Court for the Northern District of California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Northern District of California;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200" w:lineRule="exact"/>
        <w:rPr>
          <w:sz w:val="20"/>
          <w:szCs w:val="20"/>
          <w:color w:val="auto"/>
        </w:rPr>
      </w:pPr>
    </w:p>
    <w:p>
      <w:pPr>
        <w:spacing w:after="0" w:line="21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4640"/>
        <w:spacing w:after="0"/>
        <w:rPr>
          <w:sz w:val="20"/>
          <w:szCs w:val="20"/>
          <w:color w:val="auto"/>
        </w:rPr>
      </w:pPr>
      <w:r>
        <w:rPr>
          <w:rFonts w:ascii="Arial" w:cs="Arial" w:eastAsia="Arial" w:hAnsi="Arial"/>
          <w:sz w:val="22"/>
          <w:szCs w:val="22"/>
          <w:b w:val="1"/>
          <w:bCs w:val="1"/>
          <w:u w:val="single" w:color="auto"/>
          <w:color w:val="auto"/>
        </w:rPr>
        <w:t>Definition of Terms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1"/>
          <w:szCs w:val="21"/>
          <w:color w:val="auto"/>
        </w:rPr>
        <w:t>The following terms, when used in the Plan, will have the meanings and be subject to the provisions set forth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color w:val="auto"/>
        </w:rPr>
        <w:t xml:space="preserve">“Administrator”: </w:t>
      </w:r>
      <w:r>
        <w:rPr>
          <w:rFonts w:ascii="Arial" w:cs="Arial" w:eastAsia="Arial" w:hAnsi="Arial"/>
          <w:sz w:val="22"/>
          <w:szCs w:val="22"/>
          <w:color w:val="auto"/>
        </w:rPr>
        <w:t>The Compensation Committee, except that the Compensation Committee may,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 delegate (i) to one or more of its members (or one or more other members of the Board (including the full Board)) such of its duties, powers and responsibilities as it may determine; (ii) to one or more officers or Employees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7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Any corporation or other entity that stands in a relationship to the Company that would result in</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such corporation or other entity being treated as one employer under Section 414(b) and Section 414(c) of the Code.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“Award”: </w:t>
      </w:r>
      <w:r>
        <w:rPr>
          <w:rFonts w:ascii="Arial" w:cs="Arial" w:eastAsia="Arial" w:hAnsi="Arial"/>
          <w:sz w:val="22"/>
          <w:szCs w:val="22"/>
          <w:color w:val="auto"/>
        </w:rPr>
        <w:t>Any or a combination of the following:</w:t>
      </w:r>
    </w:p>
    <w:p>
      <w:pPr>
        <w:spacing w:after="0" w:line="208" w:lineRule="exact"/>
        <w:rPr>
          <w:sz w:val="20"/>
          <w:szCs w:val="20"/>
          <w:color w:val="auto"/>
        </w:rPr>
      </w:pPr>
    </w:p>
    <w:p>
      <w:pPr>
        <w:ind w:left="1980" w:hanging="4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Stock Options.</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SARs.</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Restricted Stock.</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Unrestricted Stock.</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Stock Units, including Restricted Stock Units.</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Performance Awards.</w:t>
      </w:r>
    </w:p>
    <w:p>
      <w:pPr>
        <w:spacing w:after="0" w:line="206" w:lineRule="exact"/>
        <w:rPr>
          <w:rFonts w:ascii="Arial" w:cs="Arial" w:eastAsia="Arial" w:hAnsi="Arial"/>
          <w:sz w:val="22"/>
          <w:szCs w:val="22"/>
          <w:color w:val="auto"/>
        </w:rPr>
      </w:pPr>
    </w:p>
    <w:p>
      <w:pPr>
        <w:ind w:left="1980" w:hanging="475"/>
        <w:spacing w:after="0"/>
        <w:tabs>
          <w:tab w:leader="none" w:pos="19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Cash Awards.</w:t>
      </w:r>
    </w:p>
    <w:p>
      <w:pPr>
        <w:spacing w:after="0" w:line="200" w:lineRule="exact"/>
        <w:rPr>
          <w:sz w:val="20"/>
          <w:szCs w:val="20"/>
          <w:color w:val="auto"/>
        </w:rPr>
      </w:pPr>
    </w:p>
    <w:p>
      <w:pPr>
        <w:spacing w:after="0" w:line="207"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3" w:name="page14"/>
    <w:bookmarkEnd w:id="13"/>
    <w:p>
      <w:pPr>
        <w:ind w:left="760" w:right="40" w:firstLine="745"/>
        <w:spacing w:after="0" w:line="259" w:lineRule="auto"/>
        <w:tabs>
          <w:tab w:leader="none" w:pos="2469" w:val="left"/>
        </w:tabs>
        <w:numPr>
          <w:ilvl w:val="0"/>
          <w:numId w:val="31"/>
        </w:numPr>
        <w:rPr>
          <w:rFonts w:ascii="Arial" w:cs="Arial" w:eastAsia="Arial" w:hAnsi="Arial"/>
          <w:sz w:val="22"/>
          <w:szCs w:val="22"/>
          <w:color w:val="auto"/>
        </w:rPr>
      </w:pPr>
      <w:r>
        <w:rPr>
          <w:rFonts w:ascii="Arial" w:cs="Arial" w:eastAsia="Arial" w:hAnsi="Arial"/>
          <w:sz w:val="22"/>
          <w:szCs w:val="22"/>
          <w:color w:val="auto"/>
        </w:rPr>
        <w:t>Awards (other than Awards described in (i) through (vii) above) that are convertible into or otherwise based on Stock.</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The Board of Directors of the Company.</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“Cash Award”: </w:t>
      </w:r>
      <w:r>
        <w:rPr>
          <w:rFonts w:ascii="Arial" w:cs="Arial" w:eastAsia="Arial" w:hAnsi="Arial"/>
          <w:sz w:val="22"/>
          <w:szCs w:val="22"/>
          <w:color w:val="auto"/>
        </w:rPr>
        <w:t>An Award denominated in cash.</w:t>
      </w:r>
    </w:p>
    <w:p>
      <w:pPr>
        <w:spacing w:after="0" w:line="20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In the case of any Participant who is party to an employment or severance-benefit agreement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contains a definition of “Cause,” the definition set forth in such agreement will apply with respect to such Participant under the Plan.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spacing w:after="0" w:line="18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The U.S. Internal Revenue Code of 1986 as from time to time amended and in effect,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statute as from time to time in effect.</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Ultragenyx Pharmaceutical Inc., and except as utilized in the definition of Covered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any successor corporation.</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“Compensation Committee”: </w:t>
      </w:r>
      <w:r>
        <w:rPr>
          <w:rFonts w:ascii="Arial" w:cs="Arial" w:eastAsia="Arial" w:hAnsi="Arial"/>
          <w:sz w:val="22"/>
          <w:szCs w:val="22"/>
          <w:color w:val="auto"/>
        </w:rPr>
        <w:t>The Compensation Committee of the Board.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“Covered Transaction”: </w:t>
      </w:r>
      <w:r>
        <w:rPr>
          <w:rFonts w:ascii="Arial" w:cs="Arial" w:eastAsia="Arial" w:hAnsi="Arial"/>
          <w:sz w:val="22"/>
          <w:szCs w:val="22"/>
          <w:color w:val="auto"/>
        </w:rPr>
        <w:t>The occurrence of any one of the following events:</w:t>
      </w:r>
    </w:p>
    <w:p>
      <w:pPr>
        <w:spacing w:after="0" w:line="208" w:lineRule="exact"/>
        <w:rPr>
          <w:sz w:val="20"/>
          <w:szCs w:val="20"/>
          <w:color w:val="auto"/>
        </w:rPr>
      </w:pPr>
    </w:p>
    <w:p>
      <w:pPr>
        <w:jc w:val="both"/>
        <w:ind w:left="760" w:firstLine="745"/>
        <w:spacing w:after="0" w:line="235" w:lineRule="auto"/>
        <w:tabs>
          <w:tab w:leader="none" w:pos="1989"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consolidation, merger, or similar transaction or series of related transactions in which the Company is not the surviving corporation or which results in the acquisition of all or substantially all of the Company’s then outstanding Stock by a single person or entity or by a group of persons and/or entities acting in concert (a “</w:t>
      </w:r>
      <w:r>
        <w:rPr>
          <w:rFonts w:ascii="Arial" w:cs="Arial" w:eastAsia="Arial" w:hAnsi="Arial"/>
          <w:sz w:val="22"/>
          <w:szCs w:val="22"/>
          <w:b w:val="1"/>
          <w:bCs w:val="1"/>
          <w:color w:val="auto"/>
        </w:rPr>
        <w:t>Transaction</w:t>
      </w:r>
      <w:r>
        <w:rPr>
          <w:rFonts w:ascii="Arial" w:cs="Arial" w:eastAsia="Arial" w:hAnsi="Arial"/>
          <w:sz w:val="22"/>
          <w:szCs w:val="22"/>
          <w:color w:val="auto"/>
        </w:rPr>
        <w:t>”), excluding a Transaction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w:t>
      </w:r>
    </w:p>
    <w:p>
      <w:pPr>
        <w:spacing w:after="0" w:line="178" w:lineRule="exact"/>
        <w:rPr>
          <w:rFonts w:ascii="Arial" w:cs="Arial" w:eastAsia="Arial" w:hAnsi="Arial"/>
          <w:sz w:val="22"/>
          <w:szCs w:val="22"/>
          <w:color w:val="auto"/>
        </w:rPr>
      </w:pPr>
    </w:p>
    <w:p>
      <w:pPr>
        <w:jc w:val="both"/>
        <w:ind w:left="760" w:firstLine="745"/>
        <w:spacing w:after="0"/>
        <w:tabs>
          <w:tab w:leader="none" w:pos="1989"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sale or transfer of all or substantially all the Company’s assets, excluding a sale or transfer to an entity, at least 50% of the combined voting power of the voting securities of which is owned by stockholders of the Company in substantially the same proportions as their ownership of the Company immediately prior to such sale; or</w:t>
      </w:r>
    </w:p>
    <w:p>
      <w:pPr>
        <w:spacing w:after="0" w:line="176" w:lineRule="exact"/>
        <w:rPr>
          <w:rFonts w:ascii="Arial" w:cs="Arial" w:eastAsia="Arial" w:hAnsi="Arial"/>
          <w:sz w:val="22"/>
          <w:szCs w:val="22"/>
          <w:color w:val="auto"/>
        </w:rPr>
      </w:pPr>
    </w:p>
    <w:p>
      <w:pPr>
        <w:ind w:left="1980" w:hanging="475"/>
        <w:spacing w:after="0"/>
        <w:tabs>
          <w:tab w:leader="none" w:pos="19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dissolution or liquidation of the Company.</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4" w:name="page15"/>
    <w:bookmarkEnd w:id="14"/>
    <w:p>
      <w:pPr>
        <w:jc w:val="both"/>
        <w:ind w:left="760"/>
        <w:spacing w:after="0" w:line="235" w:lineRule="auto"/>
        <w:rPr>
          <w:sz w:val="20"/>
          <w:szCs w:val="20"/>
          <w:color w:val="auto"/>
        </w:rPr>
      </w:pPr>
      <w:r>
        <w:rPr>
          <w:rFonts w:ascii="Arial" w:cs="Arial" w:eastAsia="Arial" w:hAnsi="Arial"/>
          <w:sz w:val="22"/>
          <w:szCs w:val="22"/>
          <w:color w:val="auto"/>
        </w:rPr>
        <w:t>Where a Covered Transaction involves a tender offer that is reasonably expected to be followed by a merger described in clause (i) (as determined by the Administrator), the Covered Transaction will be deemed to have occurred upon consummation of the tender offer. Notwithstanding the foregoing, for each Award that constitutes deferred compensation under Section 409A, and to the extent required to avoid accelerated taxation and/or tax penalties under Section 409A, a Covered Transaction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“Date of Adoption”: </w:t>
      </w:r>
      <w:r>
        <w:rPr>
          <w:rFonts w:ascii="Arial" w:cs="Arial" w:eastAsia="Arial" w:hAnsi="Arial"/>
          <w:sz w:val="22"/>
          <w:szCs w:val="22"/>
          <w:color w:val="auto"/>
        </w:rPr>
        <w:t>March 24, 2026.</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Any person who is employed by the Company or an Affiliate.</w:t>
      </w:r>
    </w:p>
    <w:p>
      <w:pPr>
        <w:spacing w:after="0" w:line="206"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b w:val="1"/>
          <w:bCs w:val="1"/>
          <w:color w:val="auto"/>
        </w:rPr>
        <w:t xml:space="preserve">“Employment”: </w:t>
      </w:r>
      <w:r>
        <w:rPr>
          <w:rFonts w:ascii="Arial" w:cs="Arial" w:eastAsia="Arial" w:hAnsi="Arial"/>
          <w:sz w:val="22"/>
          <w:szCs w:val="22"/>
          <w:color w:val="auto"/>
        </w:rPr>
        <w:t>A Participant’s employment or other service relationship with the Company and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which may include service as a director, consultant or independent contractor. Employment will be deemed to continue, unless the Administrator expressly provides otherwise, so long as the Participant is employed by, or otherwise is providing services in a capacity described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“Fair Market Value”:</w:t>
      </w:r>
    </w:p>
    <w:p>
      <w:pPr>
        <w:spacing w:after="0" w:line="208" w:lineRule="exact"/>
        <w:rPr>
          <w:sz w:val="20"/>
          <w:szCs w:val="20"/>
          <w:color w:val="auto"/>
        </w:rPr>
      </w:pPr>
    </w:p>
    <w:p>
      <w:pPr>
        <w:ind w:firstLine="757"/>
        <w:spacing w:after="0"/>
        <w:tabs>
          <w:tab w:leader="none" w:pos="1229"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the Stock is readily traded on an established national exchange or trading system (including the Nasdaq Global Market), the closing price of the Stock as reported by the principal exchange on which such Stock is traded; provided, however, that if such day is not a trading day, Fair Market Value will mean the reported closing price of the Stock for the immediately preceding day that is a trading day.</w:t>
      </w:r>
    </w:p>
    <w:p>
      <w:pPr>
        <w:spacing w:after="0" w:line="176" w:lineRule="exact"/>
        <w:rPr>
          <w:rFonts w:ascii="Arial" w:cs="Arial" w:eastAsia="Arial" w:hAnsi="Arial"/>
          <w:sz w:val="22"/>
          <w:szCs w:val="22"/>
          <w:color w:val="auto"/>
        </w:rPr>
      </w:pPr>
    </w:p>
    <w:p>
      <w:pPr>
        <w:ind w:right="180" w:firstLine="757"/>
        <w:spacing w:after="0" w:line="259" w:lineRule="auto"/>
        <w:tabs>
          <w:tab w:leader="none" w:pos="1229"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the Stock is not traded on an established national exchange or trading system, the average of the bid and ask prices for such Stock where the bid and ask prices are quoted.</w:t>
      </w:r>
    </w:p>
    <w:p>
      <w:pPr>
        <w:spacing w:after="0" w:line="156" w:lineRule="exact"/>
        <w:rPr>
          <w:rFonts w:ascii="Arial" w:cs="Arial" w:eastAsia="Arial" w:hAnsi="Arial"/>
          <w:sz w:val="22"/>
          <w:szCs w:val="22"/>
          <w:color w:val="auto"/>
        </w:rPr>
      </w:pPr>
    </w:p>
    <w:p>
      <w:pPr>
        <w:ind w:firstLine="757"/>
        <w:spacing w:after="0" w:line="259" w:lineRule="auto"/>
        <w:tabs>
          <w:tab w:leader="none" w:pos="1229"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the Stock cannot be valued pursuant to clauses (a) or (b), the value as determined in good faith by the Board in its sole discretion consistent with the rules of Section 422 and Section 409A to the extent applicable.</w:t>
      </w:r>
    </w:p>
    <w:p>
      <w:pPr>
        <w:spacing w:after="0" w:line="154"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“ISO”: </w:t>
      </w:r>
      <w:r>
        <w:rPr>
          <w:rFonts w:ascii="Arial" w:cs="Arial" w:eastAsia="Arial" w:hAnsi="Arial"/>
          <w:sz w:val="22"/>
          <w:szCs w:val="22"/>
          <w:color w:val="auto"/>
        </w:rPr>
        <w:t>A Stock Option intended to be an “incentive stock option” within the meaning of Section 422. Each</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granted pursuant to the Plan will be treated as providing by its terms that it is to be an NSO unless, as of the date of grant, it is expressly designated as an ISO.</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4" w:right="339" w:bottom="1440" w:gutter="0" w:footer="0" w:header="0"/>
        </w:sectPr>
      </w:pPr>
    </w:p>
    <w:bookmarkStart w:id="15" w:name="page16"/>
    <w:bookmarkEnd w:id="15"/>
    <w:p>
      <w:pPr>
        <w:ind w:left="760"/>
        <w:spacing w:after="0"/>
        <w:rPr>
          <w:sz w:val="20"/>
          <w:szCs w:val="20"/>
          <w:color w:val="auto"/>
        </w:rPr>
      </w:pPr>
      <w:r>
        <w:rPr>
          <w:rFonts w:ascii="Arial" w:cs="Arial" w:eastAsia="Arial" w:hAnsi="Arial"/>
          <w:sz w:val="22"/>
          <w:szCs w:val="22"/>
          <w:b w:val="1"/>
          <w:bCs w:val="1"/>
          <w:color w:val="auto"/>
        </w:rPr>
        <w:t xml:space="preserve">“NSO”: </w:t>
      </w:r>
      <w:r>
        <w:rPr>
          <w:rFonts w:ascii="Arial" w:cs="Arial" w:eastAsia="Arial" w:hAnsi="Arial"/>
          <w:sz w:val="22"/>
          <w:szCs w:val="22"/>
          <w:color w:val="auto"/>
        </w:rPr>
        <w:t>A Stock Option that is not intended to be an “incentive stock option” within the meaning of Section</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422.</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A person who is granted an Award under the Plan.</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“Original Effective Date”: </w:t>
      </w:r>
      <w:r>
        <w:rPr>
          <w:rFonts w:ascii="Arial" w:cs="Arial" w:eastAsia="Arial" w:hAnsi="Arial"/>
          <w:sz w:val="22"/>
          <w:szCs w:val="22"/>
          <w:color w:val="auto"/>
        </w:rPr>
        <w:t>June 7, 2023.</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“Performance Award”: </w:t>
      </w:r>
      <w:r>
        <w:rPr>
          <w:rFonts w:ascii="Arial" w:cs="Arial" w:eastAsia="Arial" w:hAnsi="Arial"/>
          <w:sz w:val="22"/>
          <w:szCs w:val="22"/>
          <w:color w:val="auto"/>
        </w:rPr>
        <w:t>An Award subject to Performance Criteria.</w:t>
      </w:r>
    </w:p>
    <w:p>
      <w:pPr>
        <w:spacing w:after="0" w:line="206"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2"/>
          <w:szCs w:val="22"/>
          <w:b w:val="1"/>
          <w:bCs w:val="1"/>
          <w:color w:val="auto"/>
        </w:rPr>
        <w:t xml:space="preserve">“Performance Criteria”: </w:t>
      </w:r>
      <w:r>
        <w:rPr>
          <w:rFonts w:ascii="Arial" w:cs="Arial" w:eastAsia="Arial" w:hAnsi="Arial"/>
          <w:sz w:val="22"/>
          <w:szCs w:val="22"/>
          <w:color w:val="auto"/>
        </w:rPr>
        <w:t>Specified criteria, other than the mere continuation of Employment or the mere</w:t>
      </w:r>
      <w:r>
        <w:rPr>
          <w:rFonts w:ascii="Arial" w:cs="Arial" w:eastAsia="Arial" w:hAnsi="Arial"/>
          <w:sz w:val="22"/>
          <w:szCs w:val="22"/>
          <w:b w:val="1"/>
          <w:bCs w:val="1"/>
          <w:color w:val="auto"/>
        </w:rPr>
        <w:t xml:space="preserve"> </w:t>
      </w:r>
      <w:r>
        <w:rPr>
          <w:rFonts w:ascii="Arial" w:cs="Arial" w:eastAsia="Arial" w:hAnsi="Arial"/>
          <w:sz w:val="22"/>
          <w:szCs w:val="22"/>
          <w:color w:val="auto"/>
        </w:rPr>
        <w:t>passage of time, the satisfaction of which is a condition for the grant, exercisability, vesting or full enjoyment of an Award. Performance Criteria will include but not be limited to any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from operations; earnings before or after deduction for all or any portion of interest, taxes, depreciation, amortization, incentives, service fees or extraordinary or special items, whether or not on a continuing operations or an aggregate or per share basis; net income or net income per common share (basic or diluted); return on equity, investment, capital or assets; one or more operating ratios; borrowing levels, leverage ratios or credit rating; market share; capital expenditures; cash flow, free cash flow, cash flow return on investment, or net cash provided by operations; stock price, dividends or total stockholder return; development of new technologies or products; sales of particular products or services; economic value created or added; operating margin or profit margin; customer acquisition or retention; raising or refinancing of capital; successful hiring of key individuals; resolution of significant litigation; acquisitions and divestitures (in whole or in part); joint ventures and strategic alliances; spin-offs, split-ups and the like; reorganizations; recapitalizations, restructurings, financings (issuance of debt or equity) or refinancings; or strategic business criteria, consisting of one or more objectives based on the following goals: meeting specified market penetration or value added, product development or introduction (including, without limitation, any clinical trial accomplishments, regulatory or other filings or approvals,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or divestitures (in whole or in part), joint ventures or strategic alliances. Performance Criteria and any targets with respect thereto determined by the Administrator need not be based upon an increase, a positive or improved result or avoidance of loss.</w:t>
      </w:r>
    </w:p>
    <w:p>
      <w:pPr>
        <w:spacing w:after="0" w:line="17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The Ultragenyx Pharmaceutical Inc. 2023 Incentive Plan as amended and restated effective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Effective Date, and as from time to time amended and in effect.</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“Prior Plans”: </w:t>
      </w:r>
      <w:r>
        <w:rPr>
          <w:rFonts w:ascii="Arial" w:cs="Arial" w:eastAsia="Arial" w:hAnsi="Arial"/>
          <w:sz w:val="22"/>
          <w:szCs w:val="22"/>
          <w:color w:val="auto"/>
        </w:rPr>
        <w:t>The Ultragenyx Pharmaceutical Inc. 2011 Incentive Plan and the Ultragenyx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Inc. 2014 Incentive Plan, in each case as amended from time to time.</w:t>
      </w:r>
    </w:p>
    <w:p>
      <w:pPr>
        <w:spacing w:after="0" w:line="152"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22"/>
          <w:szCs w:val="22"/>
          <w:b w:val="1"/>
          <w:bCs w:val="1"/>
          <w:color w:val="auto"/>
        </w:rPr>
        <w:t xml:space="preserve">“Restricted Stock”: </w:t>
      </w:r>
      <w:r>
        <w:rPr>
          <w:rFonts w:ascii="Arial" w:cs="Arial" w:eastAsia="Arial" w:hAnsi="Arial"/>
          <w:sz w:val="22"/>
          <w:szCs w:val="22"/>
          <w:color w:val="auto"/>
        </w:rPr>
        <w:t>Stock subject to restrictions requiring that it be redelivered or offered for sale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if specified conditions are not satisfied.</w:t>
      </w:r>
    </w:p>
    <w:p>
      <w:pPr>
        <w:spacing w:after="0" w:line="15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b w:val="1"/>
          <w:bCs w:val="1"/>
          <w:color w:val="auto"/>
        </w:rPr>
        <w:t xml:space="preserve">“Restricted Stock Unit”: </w:t>
      </w:r>
      <w:r>
        <w:rPr>
          <w:rFonts w:ascii="Arial" w:cs="Arial" w:eastAsia="Arial" w:hAnsi="Arial"/>
          <w:sz w:val="22"/>
          <w:szCs w:val="22"/>
          <w:color w:val="auto"/>
        </w:rPr>
        <w:t>A Stock Unit that is, or as to which the delivery of Stock or cash in lieu of Stock is,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satisfaction of specified performance or other vesting conditions.</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6" w:name="page17"/>
    <w:bookmarkEnd w:id="16"/>
    <w:p>
      <w:pPr>
        <w:jc w:val="both"/>
        <w:ind w:firstLine="749"/>
        <w:spacing w:after="0" w:line="245" w:lineRule="auto"/>
        <w:rPr>
          <w:sz w:val="20"/>
          <w:szCs w:val="20"/>
          <w:color w:val="auto"/>
        </w:rPr>
      </w:pPr>
      <w:r>
        <w:rPr>
          <w:rFonts w:ascii="Arial" w:cs="Arial" w:eastAsia="Arial" w:hAnsi="Arial"/>
          <w:sz w:val="22"/>
          <w:szCs w:val="22"/>
          <w:b w:val="1"/>
          <w:bCs w:val="1"/>
          <w:color w:val="auto"/>
        </w:rPr>
        <w:t xml:space="preserve">“SAR”: </w:t>
      </w:r>
      <w:r>
        <w:rPr>
          <w:rFonts w:ascii="Arial" w:cs="Arial" w:eastAsia="Arial" w:hAnsi="Arial"/>
          <w:sz w:val="22"/>
          <w:szCs w:val="22"/>
          <w:color w:val="auto"/>
        </w:rPr>
        <w:t>A right entitling the holder upon exercise to receive an amount (payable in cash or in shares of Stock</w:t>
      </w:r>
      <w:r>
        <w:rPr>
          <w:rFonts w:ascii="Arial" w:cs="Arial" w:eastAsia="Arial" w:hAnsi="Arial"/>
          <w:sz w:val="22"/>
          <w:szCs w:val="22"/>
          <w:b w:val="1"/>
          <w:bCs w:val="1"/>
          <w:color w:val="auto"/>
        </w:rPr>
        <w:t xml:space="preserve"> </w:t>
      </w:r>
      <w:r>
        <w:rPr>
          <w:rFonts w:ascii="Arial" w:cs="Arial" w:eastAsia="Arial" w:hAnsi="Arial"/>
          <w:sz w:val="22"/>
          <w:szCs w:val="22"/>
          <w:color w:val="auto"/>
        </w:rPr>
        <w:t>of equivalent value) equal to the excess of the Fair Market Value of the shares of Stock subject to the right over the base value from which appreciation under the SAR is to be measured.</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409A”: </w:t>
      </w:r>
      <w:r>
        <w:rPr>
          <w:rFonts w:ascii="Arial" w:cs="Arial" w:eastAsia="Arial" w:hAnsi="Arial"/>
          <w:sz w:val="22"/>
          <w:szCs w:val="22"/>
          <w:color w:val="auto"/>
        </w:rPr>
        <w:t>Section 409A of the Code.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422”: </w:t>
      </w:r>
      <w:r>
        <w:rPr>
          <w:rFonts w:ascii="Arial" w:cs="Arial" w:eastAsia="Arial" w:hAnsi="Arial"/>
          <w:sz w:val="22"/>
          <w:szCs w:val="22"/>
          <w:color w:val="auto"/>
        </w:rPr>
        <w:t>Section 422 of the Code.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The U.S. Securities Act of 1933, as amended.</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“Stock”: </w:t>
      </w:r>
      <w:r>
        <w:rPr>
          <w:rFonts w:ascii="Arial" w:cs="Arial" w:eastAsia="Arial" w:hAnsi="Arial"/>
          <w:sz w:val="22"/>
          <w:szCs w:val="22"/>
          <w:color w:val="auto"/>
        </w:rPr>
        <w:t>Common stock of the Company, par value $0.001 per share.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“Stock Option”:  </w:t>
      </w:r>
      <w:r>
        <w:rPr>
          <w:rFonts w:ascii="Arial" w:cs="Arial" w:eastAsia="Arial" w:hAnsi="Arial"/>
          <w:sz w:val="22"/>
          <w:szCs w:val="22"/>
          <w:color w:val="auto"/>
        </w:rPr>
        <w:t>An option entitling the holder to acquire shares of Stock upon payment of the exercise</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price.</w:t>
      </w:r>
    </w:p>
    <w:p>
      <w:pPr>
        <w:spacing w:after="0" w:line="184"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22"/>
          <w:szCs w:val="22"/>
          <w:b w:val="1"/>
          <w:bCs w:val="1"/>
          <w:color w:val="auto"/>
        </w:rPr>
        <w:t xml:space="preserve">“Stock Unit”: </w:t>
      </w:r>
      <w:r>
        <w:rPr>
          <w:rFonts w:ascii="Arial" w:cs="Arial" w:eastAsia="Arial" w:hAnsi="Arial"/>
          <w:sz w:val="22"/>
          <w:szCs w:val="22"/>
          <w:color w:val="auto"/>
        </w:rPr>
        <w:t>An unfunded and unsecured promise, denominated in shares of Stock, to deliver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cash measured by the value of Stock in the future.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“Unrestricted Stock”: </w:t>
      </w:r>
      <w:r>
        <w:rPr>
          <w:rFonts w:ascii="Arial" w:cs="Arial" w:eastAsia="Arial" w:hAnsi="Arial"/>
          <w:sz w:val="22"/>
          <w:szCs w:val="22"/>
          <w:color w:val="auto"/>
        </w:rPr>
        <w:t>Stock not subject to any restrictions under the terms of the Award.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4"/>
    </w:lvl>
  </w:abstractNum>
  <w:abstractNum w:abstractNumId="2">
    <w:nsid w:val="431BD7B7"/>
    <w:multiLevelType w:val="hybridMultilevel"/>
    <w:lvl w:ilvl="0">
      <w:lvlJc w:val="left"/>
      <w:lvlText w:val="%1"/>
      <w:numFmt w:val="decimal"/>
      <w:start w:val="104"/>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lowerLetter"/>
      <w:start w:val="2"/>
    </w:lvl>
  </w:abstractNum>
  <w:abstractNum w:abstractNumId="7">
    <w:nsid w:val="436C6125"/>
    <w:multiLevelType w:val="hybridMultilevel"/>
    <w:lvl w:ilvl="0">
      <w:lvlJc w:val="left"/>
      <w:lvlText w:val="(%1)"/>
      <w:numFmt w:val="lowerLetter"/>
      <w:start w:val="4"/>
    </w:lvl>
  </w:abstractNum>
  <w:abstractNum w:abstractNumId="8">
    <w:nsid w:val="628C895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
    <w:nsid w:val="333AB105"/>
    <w:multiLevelType w:val="hybridMultilevel"/>
    <w:lvl w:ilvl="0">
      <w:lvlJc w:val="left"/>
      <w:lvlText w:val="%1"/>
      <w:numFmt w:val="decimal"/>
      <w:start w:val="1"/>
    </w:lvl>
    <w:lvl w:ilvl="1">
      <w:lvlJc w:val="left"/>
      <w:lvlText w:val="(%2)"/>
      <w:numFmt w:val="lowerLetter"/>
      <w:start w:val="2"/>
    </w:lvl>
  </w:abstractNum>
  <w:abstractNum w:abstractNumId="10">
    <w:nsid w:val="721DA317"/>
    <w:multiLevelType w:val="hybridMultilevel"/>
    <w:lvl w:ilvl="0">
      <w:lvlJc w:val="left"/>
      <w:lvlText w:val="%1."/>
      <w:numFmt w:val="decimal"/>
      <w:start w:val="5"/>
    </w:lvl>
    <w:lvl w:ilvl="1">
      <w:lvlJc w:val="left"/>
      <w:lvlText w:val="%2"/>
      <w:numFmt w:val="lowerLetter"/>
      <w:start w:val="1"/>
    </w:lvl>
  </w:abstractNum>
  <w:abstractNum w:abstractNumId="11">
    <w:nsid w:val="2443A85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2">
    <w:nsid w:val="2D1D5AE9"/>
    <w:multiLevelType w:val="hybridMultilevel"/>
    <w:lvl w:ilvl="0">
      <w:lvlJc w:val="left"/>
      <w:lvlText w:val="(%1)"/>
      <w:numFmt w:val="lowerRoman"/>
      <w:start w:val="4"/>
    </w:lvl>
  </w:abstractNum>
  <w:abstractNum w:abstractNumId="13">
    <w:nsid w:val="6763845E"/>
    <w:multiLevelType w:val="hybridMultilevel"/>
    <w:lvl w:ilvl="0">
      <w:lvlJc w:val="left"/>
      <w:lvlText w:val="(%1)"/>
      <w:numFmt w:val="upperLetter"/>
      <w:start w:val="2"/>
    </w:lvl>
    <w:lvl w:ilvl="1">
      <w:lvlJc w:val="left"/>
      <w:lvlText w:val="(%2)"/>
      <w:numFmt w:val="upperLetter"/>
      <w:start w:val="2"/>
    </w:lvl>
  </w:abstractNum>
  <w:abstractNum w:abstractNumId="14">
    <w:nsid w:val="75A2A8D4"/>
    <w:multiLevelType w:val="hybridMultilevel"/>
    <w:lvl w:ilvl="0">
      <w:lvlJc w:val="left"/>
      <w:lvlText w:val="(%1)"/>
      <w:numFmt w:val="lowerRoman"/>
      <w:start w:val="5"/>
    </w:lvl>
  </w:abstractNum>
  <w:abstractNum w:abstractNumId="15">
    <w:nsid w:val="8EDBDAB"/>
    <w:multiLevelType w:val="hybridMultilevel"/>
    <w:lvl w:ilvl="0">
      <w:lvlJc w:val="left"/>
      <w:lvlText w:val="%1"/>
      <w:numFmt w:val="lowerLetter"/>
      <w:start w:val="1"/>
    </w:lvl>
    <w:lvl w:ilvl="1">
      <w:lvlJc w:val="left"/>
      <w:lvlText w:val="(%2)"/>
      <w:numFmt w:val="lowerRoman"/>
      <w:start w:val="7"/>
    </w:lvl>
  </w:abstractNum>
  <w:abstractNum w:abstractNumId="16">
    <w:nsid w:val="79838CB2"/>
    <w:multiLevelType w:val="hybridMultilevel"/>
    <w:lvl w:ilvl="0">
      <w:lvlJc w:val="left"/>
      <w:lvlText w:val="(%1)"/>
      <w:numFmt w:val="lowerLetter"/>
      <w:start w:val="2"/>
    </w:lvl>
    <w:lvl w:ilvl="1">
      <w:lvlJc w:val="left"/>
      <w:lvlText w:val="(%2)"/>
      <w:numFmt w:val="lowerRoman"/>
      <w:start w:val="1"/>
    </w:lvl>
  </w:abstractNum>
  <w:abstractNum w:abstractNumId="17">
    <w:nsid w:val="4353D0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
    <w:nsid w:val="B03E0C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9">
    <w:nsid w:val="189A769B"/>
    <w:multiLevelType w:val="hybridMultilevel"/>
    <w:lvl w:ilvl="0">
      <w:lvlJc w:val="left"/>
      <w:lvlText w:val="%1"/>
      <w:numFmt w:val="lowerLetter"/>
      <w:start w:val="1"/>
    </w:lvl>
    <w:lvl w:ilvl="1">
      <w:lvlJc w:val="left"/>
      <w:lvlText w:val="(%2)"/>
      <w:numFmt w:val="lowerRoman"/>
      <w:start w:val="3"/>
    </w:lvl>
  </w:abstractNum>
  <w:abstractNum w:abstractNumId="20">
    <w:nsid w:val="54E49EB4"/>
    <w:multiLevelType w:val="hybridMultilevel"/>
    <w:lvl w:ilvl="0">
      <w:lvlJc w:val="left"/>
      <w:lvlText w:val="(%1)"/>
      <w:numFmt w:val="lowerLetter"/>
      <w:start w:val="2"/>
    </w:lvl>
    <w:lvl w:ilvl="1">
      <w:lvlJc w:val="left"/>
      <w:lvlText w:val="(%2)"/>
      <w:numFmt w:val="lowerRoman"/>
      <w:start w:val="1"/>
    </w:lvl>
  </w:abstractNum>
  <w:abstractNum w:abstractNumId="21">
    <w:nsid w:val="71F32454"/>
    <w:multiLevelType w:val="hybridMultilevel"/>
    <w:lvl w:ilvl="0">
      <w:lvlJc w:val="left"/>
      <w:lvlText w:val="%1"/>
      <w:numFmt w:val="decimal"/>
      <w:start w:val="1"/>
    </w:lvl>
    <w:lvl w:ilvl="1">
      <w:lvlJc w:val="left"/>
      <w:lvlText w:val="(%2)"/>
      <w:numFmt w:val="lowerRoman"/>
      <w:start w:val="3"/>
    </w:lvl>
  </w:abstractNum>
  <w:abstractNum w:abstractNumId="22">
    <w:nsid w:val="2CA88611"/>
    <w:multiLevelType w:val="hybridMultilevel"/>
    <w:lvl w:ilvl="0">
      <w:lvlJc w:val="left"/>
      <w:lvlText w:val="%1."/>
      <w:numFmt w:val="decimal"/>
      <w:start w:val="8"/>
    </w:lvl>
    <w:lvl w:ilvl="1">
      <w:lvlJc w:val="left"/>
      <w:lvlText w:val="%2"/>
      <w:numFmt w:val="lowerRoman"/>
      <w:start w:val="1"/>
    </w:lvl>
  </w:abstractNum>
  <w:abstractNum w:abstractNumId="23">
    <w:nsid w:val="836C40E"/>
    <w:multiLevelType w:val="hybridMultilevel"/>
    <w:lvl w:ilvl="0">
      <w:lvlJc w:val="left"/>
      <w:lvlText w:val="(%1)"/>
      <w:numFmt w:val="lowerLetter"/>
      <w:start w:val="3"/>
    </w:lvl>
  </w:abstractNum>
  <w:abstractNum w:abstractNumId="24">
    <w:nsid w:val="2901D82"/>
    <w:multiLevelType w:val="hybridMultilevel"/>
    <w:lvl w:ilvl="0">
      <w:lvlJc w:val="left"/>
      <w:lvlText w:val="%1."/>
      <w:numFmt w:val="decimal"/>
      <w:start w:val="9"/>
    </w:lvl>
  </w:abstractNum>
  <w:abstractNum w:abstractNumId="25">
    <w:nsid w:val="3A95F874"/>
    <w:multiLevelType w:val="hybridMultilevel"/>
    <w:lvl w:ilvl="0">
      <w:lvlJc w:val="left"/>
      <w:lvlText w:val="%1."/>
      <w:numFmt w:val="decimal"/>
      <w:start w:val="10"/>
    </w:lvl>
  </w:abstractNum>
  <w:abstractNum w:abstractNumId="26">
    <w:nsid w:val="8138641"/>
    <w:multiLevelType w:val="hybridMultilevel"/>
    <w:lvl w:ilvl="0">
      <w:lvlJc w:val="left"/>
      <w:lvlText w:val="%1."/>
      <w:numFmt w:val="decimal"/>
      <w:start w:val="11"/>
    </w:lvl>
    <w:lvl w:ilvl="1">
      <w:lvlJc w:val="left"/>
      <w:lvlText w:val="(%2)"/>
      <w:numFmt w:val="lowerLetter"/>
      <w:start w:val="1"/>
    </w:lvl>
  </w:abstractNum>
  <w:abstractNum w:abstractNumId="27">
    <w:nsid w:val="1E7FF521"/>
    <w:multiLevelType w:val="hybridMultilevel"/>
    <w:lvl w:ilvl="0">
      <w:lvlJc w:val="left"/>
      <w:lvlText w:val="%1."/>
      <w:numFmt w:val="decimal"/>
      <w:start w:val="13"/>
    </w:lvl>
    <w:lvl w:ilvl="1">
      <w:lvlJc w:val="left"/>
      <w:lvlText w:val="(%2)"/>
      <w:numFmt w:val="lowerLetter"/>
      <w:start w:val="1"/>
    </w:lvl>
  </w:abstractNum>
  <w:abstractNum w:abstractNumId="28">
    <w:nsid w:val="7C3DBD3D"/>
    <w:multiLevelType w:val="hybridMultilevel"/>
    <w:lvl w:ilvl="0">
      <w:lvlJc w:val="left"/>
      <w:lvlText w:val="(%1)"/>
      <w:numFmt w:val="lowerLetter"/>
      <w:start w:val="3"/>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Roman"/>
      <w:start w:val="8"/>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2026-05-18T13:16:30Z</dcterms:created>
  <dcterms:modified xsi:type="dcterms:W3CDTF">2026-05-18T13:16:30Z</dcterms:modified>
</cp:coreProperties>
</file>