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June 25, 2014</w:t>
      </w:r>
    </w:p>
    <w:p>
      <w:pPr>
        <w:spacing w:after="0" w:line="2" w:lineRule="exact"/>
        <w:rPr>
          <w:sz w:val="24"/>
          <w:szCs w:val="24"/>
          <w:color w:val="auto"/>
        </w:rPr>
      </w:pPr>
    </w:p>
    <w:p>
      <w:pPr>
        <w:ind w:left="97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S-1</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Ultragenyx Pharmaceutical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55" w:lineRule="exact"/>
        <w:rPr>
          <w:sz w:val="24"/>
          <w:szCs w:val="24"/>
          <w:color w:val="auto"/>
        </w:rPr>
      </w:pPr>
    </w:p>
    <w:p>
      <w:pPr>
        <w:ind w:left="1740"/>
        <w:spacing w:after="0"/>
        <w:rPr>
          <w:sz w:val="20"/>
          <w:szCs w:val="20"/>
          <w:color w:val="auto"/>
        </w:rPr>
      </w:pPr>
      <w:r>
        <w:rPr>
          <w:rFonts w:ascii="Arial" w:cs="Arial" w:eastAsia="Arial" w:hAnsi="Arial"/>
          <w:sz w:val="14"/>
          <w:szCs w:val="14"/>
          <w:b w:val="1"/>
          <w:bCs w:val="1"/>
          <w:color w:val="auto"/>
        </w:rPr>
        <w:t>Delaware</w:t>
      </w:r>
    </w:p>
    <w:p>
      <w:pPr>
        <w:spacing w:after="0" w:line="2" w:lineRule="exact"/>
        <w:rPr>
          <w:sz w:val="24"/>
          <w:szCs w:val="24"/>
          <w:color w:val="auto"/>
        </w:rPr>
      </w:pPr>
    </w:p>
    <w:p>
      <w:pPr>
        <w:ind w:left="1220"/>
        <w:spacing w:after="0"/>
        <w:rPr>
          <w:sz w:val="20"/>
          <w:szCs w:val="20"/>
          <w:color w:val="auto"/>
        </w:rPr>
      </w:pPr>
      <w:r>
        <w:rPr>
          <w:rFonts w:ascii="Arial" w:cs="Arial" w:eastAsia="Arial" w:hAnsi="Arial"/>
          <w:sz w:val="12"/>
          <w:szCs w:val="12"/>
          <w:i w:val="1"/>
          <w:iCs w:val="1"/>
          <w:color w:val="auto"/>
        </w:rPr>
        <w:t>(State or other jurisdiction of</w:t>
      </w:r>
    </w:p>
    <w:p>
      <w:pPr>
        <w:spacing w:after="0" w:line="11" w:lineRule="exact"/>
        <w:rPr>
          <w:sz w:val="24"/>
          <w:szCs w:val="24"/>
          <w:color w:val="auto"/>
        </w:rPr>
      </w:pPr>
    </w:p>
    <w:p>
      <w:pPr>
        <w:ind w:left="118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1580"/>
        <w:spacing w:after="0"/>
        <w:rPr>
          <w:sz w:val="20"/>
          <w:szCs w:val="20"/>
          <w:color w:val="auto"/>
        </w:rPr>
      </w:pPr>
      <w:r>
        <w:rPr>
          <w:rFonts w:ascii="Arial" w:cs="Arial" w:eastAsia="Arial" w:hAnsi="Arial"/>
          <w:sz w:val="14"/>
          <w:szCs w:val="14"/>
          <w:b w:val="1"/>
          <w:bCs w:val="1"/>
          <w:color w:val="auto"/>
        </w:rPr>
        <w:t>2834</w:t>
      </w:r>
    </w:p>
    <w:p>
      <w:pPr>
        <w:spacing w:after="0" w:line="2" w:lineRule="exact"/>
        <w:rPr>
          <w:sz w:val="24"/>
          <w:szCs w:val="24"/>
          <w:color w:val="auto"/>
        </w:rPr>
      </w:pPr>
    </w:p>
    <w:p>
      <w:pPr>
        <w:jc w:val="center"/>
        <w:ind w:right="1580"/>
        <w:spacing w:after="0"/>
        <w:rPr>
          <w:sz w:val="20"/>
          <w:szCs w:val="20"/>
          <w:color w:val="auto"/>
        </w:rPr>
      </w:pPr>
      <w:r>
        <w:rPr>
          <w:rFonts w:ascii="Arial" w:cs="Arial" w:eastAsia="Arial" w:hAnsi="Arial"/>
          <w:sz w:val="12"/>
          <w:szCs w:val="12"/>
          <w:i w:val="1"/>
          <w:iCs w:val="1"/>
          <w:color w:val="auto"/>
        </w:rPr>
        <w:t>(Primary Standard Industrial</w:t>
      </w:r>
    </w:p>
    <w:p>
      <w:pPr>
        <w:spacing w:after="0" w:line="11" w:lineRule="exact"/>
        <w:rPr>
          <w:sz w:val="24"/>
          <w:szCs w:val="24"/>
          <w:color w:val="auto"/>
        </w:rPr>
      </w:pPr>
    </w:p>
    <w:p>
      <w:pPr>
        <w:jc w:val="center"/>
        <w:ind w:right="1560"/>
        <w:spacing w:after="0"/>
        <w:rPr>
          <w:sz w:val="20"/>
          <w:szCs w:val="20"/>
          <w:color w:val="auto"/>
        </w:rPr>
      </w:pPr>
      <w:r>
        <w:rPr>
          <w:rFonts w:ascii="Arial" w:cs="Arial" w:eastAsia="Arial" w:hAnsi="Arial"/>
          <w:sz w:val="12"/>
          <w:szCs w:val="12"/>
          <w:i w:val="1"/>
          <w:iCs w:val="1"/>
          <w:color w:val="auto"/>
        </w:rPr>
        <w:t>Classification Code Number)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27-2546083</w:t>
      </w:r>
    </w:p>
    <w:p>
      <w:pPr>
        <w:jc w:val="center"/>
        <w:ind w:right="1140"/>
        <w:spacing w:after="0" w:line="223" w:lineRule="auto"/>
        <w:rPr>
          <w:sz w:val="20"/>
          <w:szCs w:val="20"/>
          <w:color w:val="auto"/>
        </w:rPr>
      </w:pPr>
      <w:r>
        <w:rPr>
          <w:rFonts w:ascii="Arial" w:cs="Arial" w:eastAsia="Arial" w:hAnsi="Arial"/>
          <w:sz w:val="14"/>
          <w:szCs w:val="14"/>
          <w:i w:val="1"/>
          <w:iCs w:val="1"/>
          <w:color w:val="auto"/>
        </w:rPr>
        <w:t>(I.R.S. Employer</w:t>
      </w:r>
    </w:p>
    <w:p>
      <w:pPr>
        <w:spacing w:after="0" w:line="1" w:lineRule="exact"/>
        <w:rPr>
          <w:sz w:val="24"/>
          <w:szCs w:val="24"/>
          <w:color w:val="auto"/>
        </w:rPr>
      </w:pPr>
    </w:p>
    <w:p>
      <w:pPr>
        <w:jc w:val="center"/>
        <w:ind w:right="1140"/>
        <w:spacing w:after="0"/>
        <w:rPr>
          <w:sz w:val="20"/>
          <w:szCs w:val="20"/>
          <w:color w:val="auto"/>
        </w:rPr>
      </w:pPr>
      <w:r>
        <w:rPr>
          <w:rFonts w:ascii="Arial" w:cs="Arial" w:eastAsia="Arial" w:hAnsi="Arial"/>
          <w:sz w:val="12"/>
          <w:szCs w:val="12"/>
          <w:i w:val="1"/>
          <w:iCs w:val="1"/>
          <w:color w:val="auto"/>
        </w:rPr>
        <w:t>Identification Number)</w:t>
      </w:r>
    </w:p>
    <w:p>
      <w:pPr>
        <w:spacing w:after="0" w:line="64" w:lineRule="exact"/>
        <w:rPr>
          <w:sz w:val="24"/>
          <w:szCs w:val="24"/>
          <w:color w:val="auto"/>
        </w:rPr>
      </w:pPr>
    </w:p>
    <w:p>
      <w:pPr>
        <w:sectPr>
          <w:pgSz w:w="11900" w:h="16838" w:orient="portrait"/>
          <w:cols w:equalWidth="0" w:num="3">
            <w:col w:w="4440" w:space="720"/>
            <w:col w:w="3160" w:space="720"/>
            <w:col w:w="2380"/>
          </w:cols>
          <w:pgMar w:left="240" w:top="230" w:right="239" w:bottom="1440" w:gutter="0" w:footer="0" w:header="0"/>
          <w:type w:val="continuous"/>
        </w:sectPr>
      </w:pPr>
    </w:p>
    <w:p>
      <w:pPr>
        <w:ind w:left="5180"/>
        <w:spacing w:after="0"/>
        <w:rPr>
          <w:sz w:val="20"/>
          <w:szCs w:val="20"/>
          <w:color w:val="auto"/>
        </w:rPr>
      </w:pPr>
      <w:r>
        <w:rPr>
          <w:rFonts w:ascii="Arial" w:cs="Arial" w:eastAsia="Arial" w:hAnsi="Arial"/>
          <w:sz w:val="12"/>
          <w:szCs w:val="12"/>
          <w:b w:val="1"/>
          <w:bCs w:val="1"/>
          <w:color w:val="auto"/>
        </w:rPr>
        <w:t>60 Leveroni Court</w:t>
      </w:r>
    </w:p>
    <w:p>
      <w:pPr>
        <w:spacing w:after="0" w:line="25" w:lineRule="exact"/>
        <w:rPr>
          <w:sz w:val="24"/>
          <w:szCs w:val="24"/>
          <w:color w:val="auto"/>
        </w:rPr>
      </w:pPr>
    </w:p>
    <w:p>
      <w:pPr>
        <w:ind w:left="5200"/>
        <w:spacing w:after="0"/>
        <w:rPr>
          <w:sz w:val="20"/>
          <w:szCs w:val="20"/>
          <w:color w:val="auto"/>
        </w:rPr>
      </w:pPr>
      <w:r>
        <w:rPr>
          <w:rFonts w:ascii="Arial" w:cs="Arial" w:eastAsia="Arial" w:hAnsi="Arial"/>
          <w:sz w:val="12"/>
          <w:szCs w:val="12"/>
          <w:b w:val="1"/>
          <w:bCs w:val="1"/>
          <w:color w:val="auto"/>
        </w:rPr>
        <w:t>Novato, CA 94949</w:t>
      </w:r>
    </w:p>
    <w:p>
      <w:pPr>
        <w:spacing w:after="0" w:line="11" w:lineRule="exact"/>
        <w:rPr>
          <w:sz w:val="24"/>
          <w:szCs w:val="24"/>
          <w:color w:val="auto"/>
        </w:rPr>
      </w:pPr>
    </w:p>
    <w:p>
      <w:pPr>
        <w:ind w:left="5300"/>
        <w:spacing w:after="0"/>
        <w:rPr>
          <w:sz w:val="20"/>
          <w:szCs w:val="20"/>
          <w:color w:val="auto"/>
        </w:rPr>
      </w:pPr>
      <w:r>
        <w:rPr>
          <w:rFonts w:ascii="Arial" w:cs="Arial" w:eastAsia="Arial" w:hAnsi="Arial"/>
          <w:sz w:val="12"/>
          <w:szCs w:val="12"/>
          <w:b w:val="1"/>
          <w:bCs w:val="1"/>
          <w:color w:val="auto"/>
        </w:rPr>
        <w:t>(415) 483-8800</w:t>
      </w:r>
    </w:p>
    <w:p>
      <w:pPr>
        <w:sectPr>
          <w:pgSz w:w="11900" w:h="16838" w:orient="portrait"/>
          <w:cols w:equalWidth="0" w:num="1">
            <w:col w:w="11420"/>
          </w:cols>
          <w:pgMar w:left="240" w:top="230" w:right="239" w:bottom="1440" w:gutter="0" w:footer="0" w:header="0"/>
          <w:type w:val="continuous"/>
        </w:sectPr>
      </w:pP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Emil D. Kakkis, M.D., Ph.D.</w:t>
      </w:r>
    </w:p>
    <w:p>
      <w:pPr>
        <w:jc w:val="center"/>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Ultragenyx Pharmaceutical Inc.</w:t>
      </w:r>
    </w:p>
    <w:p>
      <w:pPr>
        <w:jc w:val="center"/>
        <w:spacing w:after="0" w:line="221" w:lineRule="auto"/>
        <w:rPr>
          <w:sz w:val="20"/>
          <w:szCs w:val="20"/>
          <w:color w:val="auto"/>
        </w:rPr>
      </w:pPr>
      <w:r>
        <w:rPr>
          <w:rFonts w:ascii="Arial" w:cs="Arial" w:eastAsia="Arial" w:hAnsi="Arial"/>
          <w:sz w:val="14"/>
          <w:szCs w:val="14"/>
          <w:b w:val="1"/>
          <w:bCs w:val="1"/>
          <w:color w:val="auto"/>
        </w:rPr>
        <w:t>60 Leveroni Court</w:t>
      </w:r>
    </w:p>
    <w:p>
      <w:pPr>
        <w:jc w:val="center"/>
        <w:spacing w:after="0" w:line="222" w:lineRule="auto"/>
        <w:rPr>
          <w:sz w:val="20"/>
          <w:szCs w:val="20"/>
          <w:color w:val="auto"/>
        </w:rPr>
      </w:pPr>
      <w:r>
        <w:rPr>
          <w:rFonts w:ascii="Arial" w:cs="Arial" w:eastAsia="Arial" w:hAnsi="Arial"/>
          <w:sz w:val="14"/>
          <w:szCs w:val="14"/>
          <w:b w:val="1"/>
          <w:bCs w:val="1"/>
          <w:color w:val="auto"/>
        </w:rPr>
        <w:t>Novato, CA 94949</w:t>
      </w:r>
    </w:p>
    <w:p>
      <w:pPr>
        <w:jc w:val="center"/>
        <w:spacing w:after="0" w:line="221" w:lineRule="auto"/>
        <w:rPr>
          <w:sz w:val="20"/>
          <w:szCs w:val="20"/>
          <w:color w:val="auto"/>
        </w:rPr>
      </w:pPr>
      <w:r>
        <w:rPr>
          <w:rFonts w:ascii="Arial" w:cs="Arial" w:eastAsia="Arial" w:hAnsi="Arial"/>
          <w:sz w:val="14"/>
          <w:szCs w:val="14"/>
          <w:b w:val="1"/>
          <w:bCs w:val="1"/>
          <w:color w:val="auto"/>
        </w:rPr>
        <w:t>(415) 483-8800</w:t>
      </w: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tbl>
      <w:tblPr>
        <w:tblLayout w:type="fixed"/>
        <w:tblInd w:w="110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780" w:type="dxa"/>
            <w:vAlign w:val="bottom"/>
            <w:gridSpan w:val="2"/>
          </w:tcPr>
          <w:p>
            <w:pPr>
              <w:ind w:left="900"/>
              <w:spacing w:after="0"/>
              <w:rPr>
                <w:sz w:val="20"/>
                <w:szCs w:val="20"/>
                <w:color w:val="auto"/>
              </w:rPr>
            </w:pPr>
            <w:r>
              <w:rPr>
                <w:rFonts w:ascii="Arial" w:cs="Arial" w:eastAsia="Arial" w:hAnsi="Arial"/>
                <w:sz w:val="14"/>
                <w:szCs w:val="14"/>
                <w:b w:val="1"/>
                <w:bCs w:val="1"/>
                <w:color w:val="auto"/>
              </w:rPr>
              <w:t>Copies to:</w:t>
            </w:r>
          </w:p>
        </w:tc>
        <w:tc>
          <w:tcPr>
            <w:tcW w:w="2360" w:type="dxa"/>
            <w:vAlign w:val="bottom"/>
          </w:tcPr>
          <w:p>
            <w:pPr>
              <w:spacing w:after="0"/>
              <w:rPr>
                <w:sz w:val="15"/>
                <w:szCs w:val="15"/>
                <w:color w:val="auto"/>
              </w:rPr>
            </w:pPr>
          </w:p>
        </w:tc>
      </w:tr>
      <w:tr>
        <w:trPr>
          <w:trHeight w:val="190"/>
        </w:trPr>
        <w:tc>
          <w:tcPr>
            <w:tcW w:w="2260" w:type="dxa"/>
            <w:vAlign w:val="bottom"/>
          </w:tcPr>
          <w:p>
            <w:pPr>
              <w:jc w:val="center"/>
              <w:ind w:right="372"/>
              <w:spacing w:after="0"/>
              <w:rPr>
                <w:sz w:val="20"/>
                <w:szCs w:val="20"/>
                <w:color w:val="auto"/>
              </w:rPr>
            </w:pPr>
            <w:r>
              <w:rPr>
                <w:rFonts w:ascii="Arial" w:cs="Arial" w:eastAsia="Arial" w:hAnsi="Arial"/>
                <w:sz w:val="14"/>
                <w:szCs w:val="14"/>
                <w:b w:val="1"/>
                <w:bCs w:val="1"/>
                <w:color w:val="auto"/>
                <w:w w:val="91"/>
              </w:rPr>
              <w:t>Ryan A. Murr, Esq.</w:t>
            </w:r>
          </w:p>
        </w:tc>
        <w:tc>
          <w:tcPr>
            <w:tcW w:w="1160" w:type="dxa"/>
            <w:vAlign w:val="bottom"/>
          </w:tcPr>
          <w:p>
            <w:pPr>
              <w:spacing w:after="0"/>
              <w:rPr>
                <w:sz w:val="16"/>
                <w:szCs w:val="16"/>
                <w:color w:val="auto"/>
              </w:rPr>
            </w:pPr>
          </w:p>
        </w:tc>
        <w:tc>
          <w:tcPr>
            <w:tcW w:w="37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Shalini Sharp, Chief Financial Officer</w:t>
            </w:r>
          </w:p>
        </w:tc>
        <w:tc>
          <w:tcPr>
            <w:tcW w:w="2360" w:type="dxa"/>
            <w:vAlign w:val="bottom"/>
          </w:tcPr>
          <w:p>
            <w:pPr>
              <w:jc w:val="center"/>
              <w:ind w:left="294"/>
              <w:spacing w:after="0"/>
              <w:rPr>
                <w:sz w:val="20"/>
                <w:szCs w:val="20"/>
                <w:color w:val="auto"/>
              </w:rPr>
            </w:pPr>
            <w:r>
              <w:rPr>
                <w:rFonts w:ascii="Arial" w:cs="Arial" w:eastAsia="Arial" w:hAnsi="Arial"/>
                <w:sz w:val="14"/>
                <w:szCs w:val="14"/>
                <w:b w:val="1"/>
                <w:bCs w:val="1"/>
                <w:color w:val="auto"/>
                <w:w w:val="85"/>
              </w:rPr>
              <w:t>B. Shayne Kennedy, Esq.</w:t>
            </w:r>
          </w:p>
        </w:tc>
      </w:tr>
      <w:tr>
        <w:trPr>
          <w:trHeight w:val="149"/>
        </w:trPr>
        <w:tc>
          <w:tcPr>
            <w:tcW w:w="22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Sean Sullivan, Esq.</w:t>
            </w:r>
          </w:p>
        </w:tc>
        <w:tc>
          <w:tcPr>
            <w:tcW w:w="1160" w:type="dxa"/>
            <w:vAlign w:val="bottom"/>
          </w:tcPr>
          <w:p>
            <w:pPr>
              <w:spacing w:after="0"/>
              <w:rPr>
                <w:sz w:val="12"/>
                <w:szCs w:val="12"/>
                <w:color w:val="auto"/>
              </w:rPr>
            </w:pPr>
          </w:p>
        </w:tc>
        <w:tc>
          <w:tcPr>
            <w:tcW w:w="37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Lisa M. Kahle, Senior Corporate Counsel</w:t>
            </w:r>
          </w:p>
        </w:tc>
        <w:tc>
          <w:tcPr>
            <w:tcW w:w="2360" w:type="dxa"/>
            <w:vAlign w:val="bottom"/>
          </w:tcPr>
          <w:p>
            <w:pPr>
              <w:jc w:val="center"/>
              <w:ind w:left="294"/>
              <w:spacing w:after="0" w:line="149" w:lineRule="exact"/>
              <w:rPr>
                <w:sz w:val="20"/>
                <w:szCs w:val="20"/>
                <w:color w:val="auto"/>
              </w:rPr>
            </w:pPr>
            <w:r>
              <w:rPr>
                <w:rFonts w:ascii="Arial" w:cs="Arial" w:eastAsia="Arial" w:hAnsi="Arial"/>
                <w:sz w:val="14"/>
                <w:szCs w:val="14"/>
                <w:b w:val="1"/>
                <w:bCs w:val="1"/>
                <w:color w:val="auto"/>
                <w:w w:val="88"/>
              </w:rPr>
              <w:t>Brian J. Cuneo, Esq.</w:t>
            </w:r>
          </w:p>
        </w:tc>
      </w:tr>
      <w:tr>
        <w:trPr>
          <w:trHeight w:val="134"/>
        </w:trPr>
        <w:tc>
          <w:tcPr>
            <w:tcW w:w="2260" w:type="dxa"/>
            <w:vAlign w:val="bottom"/>
          </w:tcPr>
          <w:p>
            <w:pPr>
              <w:jc w:val="center"/>
              <w:ind w:right="372"/>
              <w:spacing w:after="0" w:line="135" w:lineRule="exact"/>
              <w:rPr>
                <w:sz w:val="20"/>
                <w:szCs w:val="20"/>
                <w:color w:val="auto"/>
              </w:rPr>
            </w:pPr>
            <w:r>
              <w:rPr>
                <w:rFonts w:ascii="Arial" w:cs="Arial" w:eastAsia="Arial" w:hAnsi="Arial"/>
                <w:sz w:val="14"/>
                <w:szCs w:val="14"/>
                <w:b w:val="1"/>
                <w:bCs w:val="1"/>
                <w:color w:val="auto"/>
                <w:w w:val="91"/>
              </w:rPr>
              <w:t>Gibson, Dunn &amp; Crutcher LLP</w:t>
            </w:r>
          </w:p>
        </w:tc>
        <w:tc>
          <w:tcPr>
            <w:tcW w:w="1160" w:type="dxa"/>
            <w:vAlign w:val="bottom"/>
          </w:tcPr>
          <w:p>
            <w:pPr>
              <w:spacing w:after="0"/>
              <w:rPr>
                <w:sz w:val="11"/>
                <w:szCs w:val="11"/>
                <w:color w:val="auto"/>
              </w:rPr>
            </w:pPr>
          </w:p>
        </w:tc>
        <w:tc>
          <w:tcPr>
            <w:tcW w:w="378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8"/>
              </w:rPr>
              <w:t>Ultragenyx Pharmaceutical Inc.</w:t>
            </w:r>
          </w:p>
        </w:tc>
        <w:tc>
          <w:tcPr>
            <w:tcW w:w="2360" w:type="dxa"/>
            <w:vAlign w:val="bottom"/>
          </w:tcPr>
          <w:p>
            <w:pPr>
              <w:jc w:val="center"/>
              <w:ind w:left="294"/>
              <w:spacing w:after="0" w:line="135" w:lineRule="exact"/>
              <w:rPr>
                <w:sz w:val="20"/>
                <w:szCs w:val="20"/>
                <w:color w:val="auto"/>
              </w:rPr>
            </w:pPr>
            <w:r>
              <w:rPr>
                <w:rFonts w:ascii="Arial" w:cs="Arial" w:eastAsia="Arial" w:hAnsi="Arial"/>
                <w:sz w:val="14"/>
                <w:szCs w:val="14"/>
                <w:b w:val="1"/>
                <w:bCs w:val="1"/>
                <w:color w:val="auto"/>
                <w:w w:val="92"/>
              </w:rPr>
              <w:t>Latham &amp; Watkins LLP</w:t>
            </w:r>
          </w:p>
        </w:tc>
      </w:tr>
      <w:tr>
        <w:trPr>
          <w:trHeight w:val="163"/>
        </w:trPr>
        <w:tc>
          <w:tcPr>
            <w:tcW w:w="2260" w:type="dxa"/>
            <w:vAlign w:val="bottom"/>
          </w:tcPr>
          <w:p>
            <w:pPr>
              <w:jc w:val="center"/>
              <w:ind w:right="372"/>
              <w:spacing w:after="0"/>
              <w:rPr>
                <w:sz w:val="20"/>
                <w:szCs w:val="20"/>
                <w:color w:val="auto"/>
              </w:rPr>
            </w:pPr>
            <w:r>
              <w:rPr>
                <w:rFonts w:ascii="Arial" w:cs="Arial" w:eastAsia="Arial" w:hAnsi="Arial"/>
                <w:sz w:val="14"/>
                <w:szCs w:val="14"/>
                <w:b w:val="1"/>
                <w:bCs w:val="1"/>
                <w:color w:val="auto"/>
                <w:w w:val="86"/>
              </w:rPr>
              <w:t>555 Mission Street, Suite 3000</w:t>
            </w:r>
          </w:p>
        </w:tc>
        <w:tc>
          <w:tcPr>
            <w:tcW w:w="1160" w:type="dxa"/>
            <w:vAlign w:val="bottom"/>
          </w:tcPr>
          <w:p>
            <w:pPr>
              <w:spacing w:after="0"/>
              <w:rPr>
                <w:sz w:val="14"/>
                <w:szCs w:val="14"/>
                <w:color w:val="auto"/>
              </w:rPr>
            </w:pPr>
          </w:p>
        </w:tc>
        <w:tc>
          <w:tcPr>
            <w:tcW w:w="37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60 Leveroni Court</w:t>
            </w:r>
          </w:p>
        </w:tc>
        <w:tc>
          <w:tcPr>
            <w:tcW w:w="2360" w:type="dxa"/>
            <w:vAlign w:val="bottom"/>
          </w:tcPr>
          <w:p>
            <w:pPr>
              <w:jc w:val="center"/>
              <w:ind w:left="294"/>
              <w:spacing w:after="0" w:line="163" w:lineRule="exact"/>
              <w:rPr>
                <w:sz w:val="20"/>
                <w:szCs w:val="20"/>
                <w:color w:val="auto"/>
              </w:rPr>
            </w:pPr>
            <w:r>
              <w:rPr>
                <w:rFonts w:ascii="Arial" w:cs="Arial" w:eastAsia="Arial" w:hAnsi="Arial"/>
                <w:sz w:val="12"/>
                <w:szCs w:val="12"/>
                <w:b w:val="1"/>
                <w:bCs w:val="1"/>
                <w:color w:val="auto"/>
              </w:rPr>
              <w:t>650 Town Center Drive, 20</w:t>
            </w:r>
            <w:r>
              <w:rPr>
                <w:rFonts w:ascii="Arial" w:cs="Arial" w:eastAsia="Arial" w:hAnsi="Arial"/>
                <w:sz w:val="18"/>
                <w:szCs w:val="18"/>
                <w:b w:val="1"/>
                <w:bCs w:val="1"/>
                <w:color w:val="auto"/>
                <w:vertAlign w:val="superscript"/>
              </w:rPr>
              <w:t>th</w:t>
            </w:r>
            <w:r>
              <w:rPr>
                <w:rFonts w:ascii="Arial" w:cs="Arial" w:eastAsia="Arial" w:hAnsi="Arial"/>
                <w:sz w:val="12"/>
                <w:szCs w:val="12"/>
                <w:b w:val="1"/>
                <w:bCs w:val="1"/>
                <w:color w:val="auto"/>
              </w:rPr>
              <w:t xml:space="preserve"> Floor</w:t>
            </w:r>
          </w:p>
        </w:tc>
      </w:tr>
      <w:tr>
        <w:trPr>
          <w:trHeight w:val="149"/>
        </w:trPr>
        <w:tc>
          <w:tcPr>
            <w:tcW w:w="226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San Francisco, CA 94105-0921</w:t>
            </w:r>
          </w:p>
        </w:tc>
        <w:tc>
          <w:tcPr>
            <w:tcW w:w="1160" w:type="dxa"/>
            <w:vAlign w:val="bottom"/>
          </w:tcPr>
          <w:p>
            <w:pPr>
              <w:spacing w:after="0"/>
              <w:rPr>
                <w:sz w:val="12"/>
                <w:szCs w:val="12"/>
                <w:color w:val="auto"/>
              </w:rPr>
            </w:pPr>
          </w:p>
        </w:tc>
        <w:tc>
          <w:tcPr>
            <w:tcW w:w="37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Novato, CA 94949</w:t>
            </w:r>
          </w:p>
        </w:tc>
        <w:tc>
          <w:tcPr>
            <w:tcW w:w="2360" w:type="dxa"/>
            <w:vAlign w:val="bottom"/>
          </w:tcPr>
          <w:p>
            <w:pPr>
              <w:jc w:val="center"/>
              <w:ind w:left="294"/>
              <w:spacing w:after="0" w:line="149" w:lineRule="exact"/>
              <w:rPr>
                <w:sz w:val="20"/>
                <w:szCs w:val="20"/>
                <w:color w:val="auto"/>
              </w:rPr>
            </w:pPr>
            <w:r>
              <w:rPr>
                <w:rFonts w:ascii="Arial" w:cs="Arial" w:eastAsia="Arial" w:hAnsi="Arial"/>
                <w:sz w:val="14"/>
                <w:szCs w:val="14"/>
                <w:b w:val="1"/>
                <w:bCs w:val="1"/>
                <w:color w:val="auto"/>
                <w:w w:val="88"/>
              </w:rPr>
              <w:t>Costa Mesa, CA 92626</w:t>
            </w:r>
          </w:p>
        </w:tc>
      </w:tr>
      <w:tr>
        <w:trPr>
          <w:trHeight w:val="149"/>
        </w:trPr>
        <w:tc>
          <w:tcPr>
            <w:tcW w:w="22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Telephone: (415) 393-8200</w:t>
            </w:r>
          </w:p>
        </w:tc>
        <w:tc>
          <w:tcPr>
            <w:tcW w:w="1160" w:type="dxa"/>
            <w:vAlign w:val="bottom"/>
          </w:tcPr>
          <w:p>
            <w:pPr>
              <w:spacing w:after="0"/>
              <w:rPr>
                <w:sz w:val="12"/>
                <w:szCs w:val="12"/>
                <w:color w:val="auto"/>
              </w:rPr>
            </w:pPr>
          </w:p>
        </w:tc>
        <w:tc>
          <w:tcPr>
            <w:tcW w:w="37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Telephone: (415) 483-8800</w:t>
            </w:r>
          </w:p>
        </w:tc>
        <w:tc>
          <w:tcPr>
            <w:tcW w:w="2360" w:type="dxa"/>
            <w:vAlign w:val="bottom"/>
          </w:tcPr>
          <w:p>
            <w:pPr>
              <w:jc w:val="center"/>
              <w:ind w:left="294"/>
              <w:spacing w:after="0" w:line="149" w:lineRule="exact"/>
              <w:rPr>
                <w:sz w:val="20"/>
                <w:szCs w:val="20"/>
                <w:color w:val="auto"/>
              </w:rPr>
            </w:pPr>
            <w:r>
              <w:rPr>
                <w:rFonts w:ascii="Arial" w:cs="Arial" w:eastAsia="Arial" w:hAnsi="Arial"/>
                <w:sz w:val="14"/>
                <w:szCs w:val="14"/>
                <w:b w:val="1"/>
                <w:bCs w:val="1"/>
                <w:color w:val="auto"/>
                <w:w w:val="87"/>
              </w:rPr>
              <w:t>Telephone: (714) 540-1235</w:t>
            </w:r>
          </w:p>
        </w:tc>
      </w:tr>
      <w:tr>
        <w:trPr>
          <w:trHeight w:val="174"/>
        </w:trPr>
        <w:tc>
          <w:tcPr>
            <w:tcW w:w="2260" w:type="dxa"/>
            <w:vAlign w:val="bottom"/>
          </w:tcPr>
          <w:p>
            <w:pPr>
              <w:jc w:val="center"/>
              <w:ind w:right="372"/>
              <w:spacing w:after="0"/>
              <w:rPr>
                <w:sz w:val="20"/>
                <w:szCs w:val="20"/>
                <w:color w:val="auto"/>
              </w:rPr>
            </w:pPr>
            <w:r>
              <w:rPr>
                <w:rFonts w:ascii="Arial" w:cs="Arial" w:eastAsia="Arial" w:hAnsi="Arial"/>
                <w:sz w:val="14"/>
                <w:szCs w:val="14"/>
                <w:b w:val="1"/>
                <w:bCs w:val="1"/>
                <w:color w:val="auto"/>
                <w:w w:val="86"/>
              </w:rPr>
              <w:t>Facsimile: (415) 393-8306</w:t>
            </w:r>
          </w:p>
        </w:tc>
        <w:tc>
          <w:tcPr>
            <w:tcW w:w="1160" w:type="dxa"/>
            <w:vAlign w:val="bottom"/>
          </w:tcPr>
          <w:p>
            <w:pPr>
              <w:spacing w:after="0"/>
              <w:rPr>
                <w:sz w:val="15"/>
                <w:szCs w:val="15"/>
                <w:color w:val="auto"/>
              </w:rPr>
            </w:pPr>
          </w:p>
        </w:tc>
        <w:tc>
          <w:tcPr>
            <w:tcW w:w="37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Facsimile: (415) 483-8810</w:t>
            </w:r>
          </w:p>
        </w:tc>
        <w:tc>
          <w:tcPr>
            <w:tcW w:w="2360" w:type="dxa"/>
            <w:vAlign w:val="bottom"/>
          </w:tcPr>
          <w:p>
            <w:pPr>
              <w:jc w:val="center"/>
              <w:ind w:left="294"/>
              <w:spacing w:after="0"/>
              <w:rPr>
                <w:sz w:val="20"/>
                <w:szCs w:val="20"/>
                <w:color w:val="auto"/>
              </w:rPr>
            </w:pPr>
            <w:r>
              <w:rPr>
                <w:rFonts w:ascii="Arial" w:cs="Arial" w:eastAsia="Arial" w:hAnsi="Arial"/>
                <w:sz w:val="14"/>
                <w:szCs w:val="14"/>
                <w:b w:val="1"/>
                <w:bCs w:val="1"/>
                <w:color w:val="auto"/>
                <w:w w:val="88"/>
              </w:rPr>
              <w:t>Facsimile: (714) 755-8290</w:t>
            </w:r>
          </w:p>
        </w:tc>
      </w:tr>
      <w:tr>
        <w:trPr>
          <w:trHeight w:val="149"/>
        </w:trPr>
        <w:tc>
          <w:tcPr>
            <w:tcW w:w="2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260" w:type="dxa"/>
            <w:vAlign w:val="bottom"/>
          </w:tcPr>
          <w:p>
            <w:pPr>
              <w:spacing w:after="0"/>
              <w:rPr>
                <w:sz w:val="16"/>
                <w:szCs w:val="16"/>
                <w:color w:val="auto"/>
              </w:rPr>
            </w:pPr>
          </w:p>
        </w:tc>
        <w:tc>
          <w:tcPr>
            <w:tcW w:w="49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2360" w:type="dxa"/>
            <w:vAlign w:val="bottom"/>
          </w:tcPr>
          <w:p>
            <w:pPr>
              <w:spacing w:after="0"/>
              <w:rPr>
                <w:sz w:val="16"/>
                <w:szCs w:val="16"/>
                <w:color w:val="auto"/>
              </w:rPr>
            </w:pPr>
          </w:p>
        </w:tc>
      </w:tr>
      <w:tr>
        <w:trPr>
          <w:trHeight w:val="172"/>
        </w:trPr>
        <w:tc>
          <w:tcPr>
            <w:tcW w:w="2260" w:type="dxa"/>
            <w:vAlign w:val="bottom"/>
          </w:tcPr>
          <w:p>
            <w:pPr>
              <w:spacing w:after="0"/>
              <w:rPr>
                <w:sz w:val="14"/>
                <w:szCs w:val="14"/>
                <w:color w:val="auto"/>
              </w:rPr>
            </w:pPr>
          </w:p>
        </w:tc>
        <w:tc>
          <w:tcPr>
            <w:tcW w:w="4940" w:type="dxa"/>
            <w:vAlign w:val="bottom"/>
            <w:gridSpan w:val="3"/>
          </w:tcPr>
          <w:p>
            <w:pPr>
              <w:jc w:val="center"/>
              <w:ind w:left="52"/>
              <w:spacing w:after="0"/>
              <w:rPr>
                <w:sz w:val="20"/>
                <w:szCs w:val="20"/>
                <w:color w:val="auto"/>
              </w:rPr>
            </w:pPr>
            <w:r>
              <w:rPr>
                <w:rFonts w:ascii="Arial" w:cs="Arial" w:eastAsia="Arial" w:hAnsi="Arial"/>
                <w:sz w:val="14"/>
                <w:szCs w:val="14"/>
                <w:color w:val="auto"/>
                <w:w w:val="87"/>
              </w:rPr>
              <w:t>As soon as practicable after the effective date of this Registration Statement.</w:t>
            </w:r>
          </w:p>
        </w:tc>
        <w:tc>
          <w:tcPr>
            <w:tcW w:w="2360" w:type="dxa"/>
            <w:vAlign w:val="bottom"/>
          </w:tcPr>
          <w:p>
            <w:pPr>
              <w:spacing w:after="0"/>
              <w:rPr>
                <w:sz w:val="14"/>
                <w:szCs w:val="14"/>
                <w:color w:val="auto"/>
              </w:rPr>
            </w:pPr>
          </w:p>
        </w:tc>
      </w:tr>
    </w:tbl>
    <w:p>
      <w:pPr>
        <w:spacing w:after="0" w:line="5"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90"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right="2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4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96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80" w:type="dxa"/>
            <w:vAlign w:val="bottom"/>
          </w:tcPr>
          <w:p>
            <w:pPr>
              <w:spacing w:after="0"/>
              <w:rPr>
                <w:sz w:val="15"/>
                <w:szCs w:val="15"/>
                <w:color w:val="auto"/>
              </w:rPr>
            </w:pPr>
          </w:p>
        </w:tc>
        <w:tc>
          <w:tcPr>
            <w:tcW w:w="3220" w:type="dxa"/>
            <w:vAlign w:val="bottom"/>
            <w:gridSpan w:val="2"/>
          </w:tcPr>
          <w:p>
            <w:pPr>
              <w:ind w:left="14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80" w:type="dxa"/>
            <w:vAlign w:val="bottom"/>
          </w:tcPr>
          <w:p>
            <w:pPr>
              <w:spacing w:after="0"/>
              <w:rPr>
                <w:sz w:val="15"/>
                <w:szCs w:val="15"/>
                <w:color w:val="auto"/>
              </w:rPr>
            </w:pPr>
          </w:p>
        </w:tc>
        <w:tc>
          <w:tcPr>
            <w:tcW w:w="2080" w:type="dxa"/>
            <w:vAlign w:val="bottom"/>
            <w:gridSpan w:val="2"/>
          </w:tcPr>
          <w:p>
            <w:pPr>
              <w:ind w:left="580"/>
              <w:spacing w:after="0"/>
              <w:rPr>
                <w:sz w:val="20"/>
                <w:szCs w:val="20"/>
                <w:color w:val="auto"/>
              </w:rPr>
            </w:pPr>
            <w:r>
              <w:rPr>
                <w:rFonts w:ascii="Arial" w:cs="Arial" w:eastAsia="Arial" w:hAnsi="Arial"/>
                <w:sz w:val="14"/>
                <w:szCs w:val="14"/>
                <w:color w:val="auto"/>
                <w:w w:val="88"/>
              </w:rPr>
              <w:t>Smaller reporting company</w:t>
            </w:r>
          </w:p>
        </w:tc>
        <w:tc>
          <w:tcPr>
            <w:tcW w:w="680" w:type="dxa"/>
            <w:vAlign w:val="bottom"/>
          </w:tcPr>
          <w:p>
            <w:pPr>
              <w:jc w:val="right"/>
              <w:ind w:right="452"/>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2"/>
          </w:tcPr>
          <w:p>
            <w:pPr>
              <w:ind w:left="460"/>
              <w:spacing w:after="0"/>
              <w:rPr>
                <w:sz w:val="20"/>
                <w:szCs w:val="20"/>
                <w:color w:val="auto"/>
              </w:rPr>
            </w:pPr>
            <w:r>
              <w:rPr>
                <w:rFonts w:ascii="Arial" w:cs="Arial" w:eastAsia="Arial" w:hAnsi="Arial"/>
                <w:sz w:val="14"/>
                <w:szCs w:val="14"/>
                <w:color w:val="auto"/>
                <w:w w:val="97"/>
              </w:rPr>
              <w:t>(Do not check if a smaller reporting company)</w:t>
            </w: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300" w:type="dxa"/>
            <w:vAlign w:val="bottom"/>
            <w:gridSpan w:val="3"/>
          </w:tcPr>
          <w:p>
            <w:pPr>
              <w:ind w:left="60"/>
              <w:spacing w:after="0"/>
              <w:rPr>
                <w:sz w:val="20"/>
                <w:szCs w:val="20"/>
                <w:color w:val="auto"/>
              </w:rPr>
            </w:pPr>
            <w:r>
              <w:rPr>
                <w:rFonts w:ascii="Arial" w:cs="Arial" w:eastAsia="Arial" w:hAnsi="Arial"/>
                <w:sz w:val="14"/>
                <w:szCs w:val="14"/>
                <w:color w:val="auto"/>
              </w:rPr>
              <w:t>CALCULATION OF REGISTRATION FEE</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jc w:val="center"/>
              <w:ind w:right="552"/>
              <w:spacing w:after="0" w:line="130" w:lineRule="exact"/>
              <w:rPr>
                <w:sz w:val="20"/>
                <w:szCs w:val="20"/>
                <w:color w:val="auto"/>
              </w:rPr>
            </w:pPr>
            <w:r>
              <w:rPr>
                <w:rFonts w:ascii="Arial" w:cs="Arial" w:eastAsia="Arial" w:hAnsi="Arial"/>
                <w:sz w:val="14"/>
                <w:szCs w:val="14"/>
                <w:b w:val="1"/>
                <w:bCs w:val="1"/>
                <w:color w:val="auto"/>
                <w:w w:val="83"/>
              </w:rPr>
              <w:t>Proposed</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60" w:type="dxa"/>
            <w:vAlign w:val="bottom"/>
            <w:vMerge w:val="restart"/>
          </w:tcPr>
          <w:p>
            <w:pPr>
              <w:jc w:val="center"/>
              <w:ind w:left="572"/>
              <w:spacing w:after="0"/>
              <w:rPr>
                <w:sz w:val="20"/>
                <w:szCs w:val="20"/>
                <w:color w:val="auto"/>
              </w:rPr>
            </w:pPr>
            <w:r>
              <w:rPr>
                <w:rFonts w:ascii="Arial" w:cs="Arial" w:eastAsia="Arial" w:hAnsi="Arial"/>
                <w:sz w:val="14"/>
                <w:szCs w:val="14"/>
                <w:b w:val="1"/>
                <w:bCs w:val="1"/>
                <w:color w:val="auto"/>
                <w:w w:val="84"/>
              </w:rPr>
              <w:t>Title of each class of</w:t>
            </w: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center"/>
              <w:ind w:right="552"/>
              <w:spacing w:after="0" w:line="149" w:lineRule="exact"/>
              <w:rPr>
                <w:sz w:val="20"/>
                <w:szCs w:val="20"/>
                <w:color w:val="auto"/>
              </w:rPr>
            </w:pPr>
            <w:r>
              <w:rPr>
                <w:rFonts w:ascii="Arial" w:cs="Arial" w:eastAsia="Arial" w:hAnsi="Arial"/>
                <w:sz w:val="14"/>
                <w:szCs w:val="14"/>
                <w:b w:val="1"/>
                <w:bCs w:val="1"/>
                <w:color w:val="auto"/>
                <w:w w:val="88"/>
              </w:rPr>
              <w:t>maximum</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jc w:val="center"/>
              <w:ind w:right="572"/>
              <w:spacing w:after="0" w:line="135" w:lineRule="exact"/>
              <w:rPr>
                <w:sz w:val="20"/>
                <w:szCs w:val="20"/>
                <w:color w:val="auto"/>
              </w:rPr>
            </w:pPr>
            <w:r>
              <w:rPr>
                <w:rFonts w:ascii="Arial" w:cs="Arial" w:eastAsia="Arial" w:hAnsi="Arial"/>
                <w:sz w:val="14"/>
                <w:szCs w:val="14"/>
                <w:b w:val="1"/>
                <w:bCs w:val="1"/>
                <w:color w:val="auto"/>
                <w:w w:val="83"/>
              </w:rPr>
              <w:t>aggregate</w:t>
            </w:r>
          </w:p>
        </w:tc>
        <w:tc>
          <w:tcPr>
            <w:tcW w:w="1360" w:type="dxa"/>
            <w:vAlign w:val="bottom"/>
            <w:gridSpan w:val="2"/>
          </w:tcPr>
          <w:p>
            <w:pPr>
              <w:ind w:left="620"/>
              <w:spacing w:after="0" w:line="135" w:lineRule="exact"/>
              <w:rPr>
                <w:sz w:val="20"/>
                <w:szCs w:val="20"/>
                <w:color w:val="auto"/>
              </w:rPr>
            </w:pPr>
            <w:r>
              <w:rPr>
                <w:rFonts w:ascii="Arial" w:cs="Arial" w:eastAsia="Arial" w:hAnsi="Arial"/>
                <w:sz w:val="14"/>
                <w:szCs w:val="14"/>
                <w:b w:val="1"/>
                <w:bCs w:val="1"/>
                <w:color w:val="auto"/>
              </w:rPr>
              <w:t>Amount of</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5260" w:type="dxa"/>
            <w:vAlign w:val="bottom"/>
            <w:tcBorders>
              <w:bottom w:val="single" w:sz="8" w:color="auto"/>
            </w:tcBorders>
            <w:gridSpan w:val="4"/>
          </w:tcPr>
          <w:p>
            <w:pPr>
              <w:jc w:val="center"/>
              <w:ind w:right="2640"/>
              <w:spacing w:after="0"/>
              <w:rPr>
                <w:sz w:val="20"/>
                <w:szCs w:val="20"/>
                <w:color w:val="auto"/>
              </w:rPr>
            </w:pPr>
            <w:r>
              <w:rPr>
                <w:rFonts w:ascii="Arial" w:cs="Arial" w:eastAsia="Arial" w:hAnsi="Arial"/>
                <w:sz w:val="14"/>
                <w:szCs w:val="14"/>
                <w:b w:val="1"/>
                <w:bCs w:val="1"/>
                <w:color w:val="auto"/>
                <w:w w:val="83"/>
              </w:rPr>
              <w:t>securities to be registered</w:t>
            </w:r>
          </w:p>
        </w:tc>
        <w:tc>
          <w:tcPr>
            <w:tcW w:w="1780" w:type="dxa"/>
            <w:vAlign w:val="bottom"/>
            <w:tcBorders>
              <w:bottom w:val="single" w:sz="8" w:color="auto"/>
            </w:tcBorders>
            <w:gridSpan w:val="2"/>
          </w:tcPr>
          <w:p>
            <w:pPr>
              <w:jc w:val="center"/>
              <w:ind w:right="192"/>
              <w:spacing w:after="0" w:line="176" w:lineRule="exact"/>
              <w:rPr>
                <w:sz w:val="20"/>
                <w:szCs w:val="20"/>
                <w:color w:val="auto"/>
              </w:rPr>
            </w:pPr>
            <w:r>
              <w:rPr>
                <w:rFonts w:ascii="Arial" w:cs="Arial" w:eastAsia="Arial" w:hAnsi="Arial"/>
                <w:sz w:val="13"/>
                <w:szCs w:val="13"/>
                <w:b w:val="1"/>
                <w:bCs w:val="1"/>
                <w:color w:val="auto"/>
                <w:w w:val="89"/>
              </w:rPr>
              <w:t>offering price</w:t>
            </w:r>
            <w:r>
              <w:rPr>
                <w:rFonts w:ascii="Arial" w:cs="Arial" w:eastAsia="Arial" w:hAnsi="Arial"/>
                <w:sz w:val="20"/>
                <w:szCs w:val="20"/>
                <w:b w:val="1"/>
                <w:bCs w:val="1"/>
                <w:color w:val="auto"/>
                <w:w w:val="89"/>
                <w:vertAlign w:val="superscript"/>
              </w:rPr>
              <w:t>(1)(2)</w:t>
            </w:r>
          </w:p>
        </w:tc>
        <w:tc>
          <w:tcPr>
            <w:tcW w:w="13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84"/>
              </w:rPr>
              <w:t>registration fee</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0"/>
              </w:rPr>
              <w:t>Common stock, $0.001 par value per share</w:t>
            </w:r>
          </w:p>
        </w:tc>
        <w:tc>
          <w:tcPr>
            <w:tcW w:w="1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color w:val="auto"/>
              </w:rPr>
              <w:t>115,000,000</w:t>
            </w:r>
          </w:p>
        </w:tc>
        <w:tc>
          <w:tcPr>
            <w:tcW w:w="68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14,812</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$15,000,000 of additional shares of common stock that may be purchased by the underwriters pursuant to an option to purchase additional shares.</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w:t>
      </w:r>
    </w:p>
    <w:p>
      <w:pPr>
        <w:spacing w:after="0" w:line="28" w:lineRule="exact"/>
        <w:rPr>
          <w:sz w:val="24"/>
          <w:szCs w:val="24"/>
          <w:color w:val="auto"/>
        </w:rPr>
      </w:pPr>
    </w:p>
    <w:p>
      <w:pPr>
        <w:jc w:val="both"/>
        <w:ind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DE1A1E"/>
        </w:rPr>
        <w:t>The information in this preliminary prospectus is not complete and may be changed. Neither we nor the selling stockholders may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June 25, 2014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135255</wp:posOffset>
            </wp:positionV>
            <wp:extent cx="3044190" cy="1217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4419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Ultragenyx Pharmaceutical Inc. is offering shares of its common stock with an aggregate public offering price of approximately $65,000,000. The selling stockholders identified in this prospectus are offering shares of our common stock with an aggregate public offering price of approximately $35,000,000. We will not receive any proceeds from the sale of any shares by the selling stockholders.</w:t>
      </w:r>
    </w:p>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“RARE”. The last reported sale price of our common stock on The NASDAQ Global Select Market on June 20, 2014 was $47.49 per share.</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32"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1"/>
                <w:szCs w:val="11"/>
                <w:color w:val="auto"/>
              </w:rPr>
              <w:t>(1)</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18"/>
                <w:szCs w:val="18"/>
                <w:color w:val="auto"/>
              </w:rPr>
            </w:pP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Proceeds to Ultragenyx Pharmaceutical Inc., before expenses</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Proceeds to selling stockholders</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19"/>
                <w:szCs w:val="19"/>
                <w:color w:val="auto"/>
              </w:rPr>
            </w:pP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underwriters have been granted an option for a period of 30 days to purchase additional shares of common stock with an aggregate public offering price of up to approximately $15,000,000.</w:t>
      </w:r>
    </w:p>
    <w:p>
      <w:pPr>
        <w:spacing w:after="0" w:line="4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ectPr>
          <w:pgSz w:w="11900" w:h="16838" w:orient="portrait"/>
          <w:cols w:equalWidth="0" w:num="1">
            <w:col w:w="11420"/>
          </w:cols>
          <w:pgMar w:left="240" w:top="459" w:right="2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The underwriters expect to deliver the shares of common stock to purchasers on or about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 2014.</w:t>
      </w:r>
    </w:p>
    <w:p>
      <w:pPr>
        <w:spacing w:after="0" w:line="92" w:lineRule="exact"/>
        <w:rPr>
          <w:sz w:val="20"/>
          <w:szCs w:val="20"/>
          <w:color w:val="auto"/>
        </w:rPr>
      </w:pPr>
    </w:p>
    <w:p>
      <w:pPr>
        <w:sectPr>
          <w:pgSz w:w="11900" w:h="16838" w:orient="portrait"/>
          <w:cols w:equalWidth="0" w:num="2">
            <w:col w:w="6280" w:space="720"/>
            <w:col w:w="4420"/>
          </w:cols>
          <w:pgMar w:left="240" w:top="459" w:right="239" w:bottom="1440" w:gutter="0" w:footer="0" w:header="0"/>
          <w:type w:val="continuous"/>
        </w:sectPr>
      </w:pP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Morgan Stanley</w:t>
      </w:r>
    </w:p>
    <w:p>
      <w:pPr>
        <w:spacing w:after="0" w:line="200" w:lineRule="exact"/>
        <w:rPr>
          <w:sz w:val="20"/>
          <w:szCs w:val="20"/>
          <w:color w:val="auto"/>
        </w:rPr>
      </w:pPr>
    </w:p>
    <w:p>
      <w:pPr>
        <w:sectPr>
          <w:pgSz w:w="11900" w:h="16838" w:orient="portrait"/>
          <w:cols w:equalWidth="0" w:num="2">
            <w:col w:w="8480" w:space="720"/>
            <w:col w:w="2220"/>
          </w:cols>
          <w:pgMar w:left="240" w:top="459" w:right="239" w:bottom="1440" w:gutter="0" w:footer="0" w:header="0"/>
          <w:type w:val="continuous"/>
        </w:sectPr>
      </w:pP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Cowen and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Baird</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80" w:type="dxa"/>
            <w:vAlign w:val="bottom"/>
            <w:gridSpan w:val="5"/>
            <w:vMerge w:val="restart"/>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Prospectus Summary</w:t>
              </w:r>
            </w:hyperlink>
          </w:p>
        </w:tc>
        <w:tc>
          <w:tcPr>
            <w:tcW w:w="3620" w:type="dxa"/>
            <w:vAlign w:val="bottom"/>
            <w:gridSpan w:val="4"/>
            <w:vMerge w:val="restart"/>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w w:val="73"/>
              </w:rPr>
              <w:t>Page</w:t>
            </w:r>
          </w:p>
        </w:tc>
        <w:tc>
          <w:tcPr>
            <w:tcW w:w="2440" w:type="dxa"/>
            <w:vAlign w:val="bottom"/>
            <w:gridSpan w:val="8"/>
            <w:vMerge w:val="restart"/>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Principal and Selling Stockholders</w:t>
              </w:r>
            </w:hyperlink>
          </w:p>
        </w:tc>
        <w:tc>
          <w:tcPr>
            <w:tcW w:w="2320" w:type="dxa"/>
            <w:vAlign w:val="bottom"/>
            <w:gridSpan w:val="4"/>
            <w:vMerge w:val="restart"/>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1480" w:type="dxa"/>
            <w:vAlign w:val="bottom"/>
            <w:tcBorders>
              <w:bottom w:val="single" w:sz="8" w:color="0000EE"/>
            </w:tcBorders>
            <w:gridSpan w:val="5"/>
            <w:vMerge w:val="continue"/>
          </w:tcPr>
          <w:p>
            <w:pPr>
              <w:spacing w:after="0"/>
              <w:rPr>
                <w:sz w:val="13"/>
                <w:szCs w:val="13"/>
                <w:color w:val="auto"/>
              </w:rPr>
            </w:pPr>
          </w:p>
        </w:tc>
        <w:tc>
          <w:tcPr>
            <w:tcW w:w="3620" w:type="dxa"/>
            <w:vAlign w:val="bottom"/>
            <w:gridSpan w:val="4"/>
            <w:vMerge w:val="continue"/>
          </w:tcPr>
          <w:p>
            <w:pPr>
              <w:spacing w:after="0"/>
              <w:rPr>
                <w:sz w:val="13"/>
                <w:szCs w:val="13"/>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40" w:type="dxa"/>
            <w:vAlign w:val="bottom"/>
          </w:tcPr>
          <w:p>
            <w:pPr>
              <w:spacing w:after="0"/>
              <w:rPr>
                <w:sz w:val="13"/>
                <w:szCs w:val="13"/>
                <w:color w:val="auto"/>
              </w:rPr>
            </w:pPr>
          </w:p>
        </w:tc>
        <w:tc>
          <w:tcPr>
            <w:tcW w:w="2440" w:type="dxa"/>
            <w:vAlign w:val="bottom"/>
            <w:tcBorders>
              <w:bottom w:val="single" w:sz="8" w:color="0000EE"/>
            </w:tcBorders>
            <w:gridSpan w:val="8"/>
            <w:vMerge w:val="continue"/>
          </w:tcPr>
          <w:p>
            <w:pPr>
              <w:spacing w:after="0"/>
              <w:rPr>
                <w:sz w:val="13"/>
                <w:szCs w:val="13"/>
                <w:color w:val="auto"/>
              </w:rPr>
            </w:pPr>
          </w:p>
        </w:tc>
        <w:tc>
          <w:tcPr>
            <w:tcW w:w="232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4220" w:type="dxa"/>
            <w:vAlign w:val="bottom"/>
            <w:gridSpan w:val="7"/>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476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gridSpan w:val="8"/>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Cautionary Note Regarding Forward-Looking Statements</w:t>
              </w:r>
            </w:hyperlink>
          </w:p>
        </w:tc>
        <w:tc>
          <w:tcPr>
            <w:tcW w:w="1060" w:type="dxa"/>
            <w:vAlign w:val="bottom"/>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16</w:t>
            </w:r>
          </w:p>
        </w:tc>
        <w:tc>
          <w:tcPr>
            <w:tcW w:w="476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Shares Eligible For Future Sale</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Use of Proceeds</w:t>
              </w:r>
            </w:hyperlink>
          </w:p>
        </w:tc>
        <w:tc>
          <w:tcPr>
            <w:tcW w:w="290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17</w:t>
            </w:r>
          </w:p>
        </w:tc>
        <w:tc>
          <w:tcPr>
            <w:tcW w:w="44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Material U.S. Federal Income Tax Consequences To Non-U.S.</w:t>
              </w:r>
            </w:hyperlink>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Price Range of Common Stock</w:t>
              </w:r>
            </w:hyperlink>
          </w:p>
        </w:tc>
        <w:tc>
          <w:tcPr>
            <w:tcW w:w="2920" w:type="dxa"/>
            <w:vAlign w:val="bottom"/>
            <w:gridSpan w:val="3"/>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Holders</w:t>
              </w:r>
            </w:hyperlink>
          </w:p>
        </w:tc>
        <w:tc>
          <w:tcPr>
            <w:tcW w:w="3980" w:type="dxa"/>
            <w:vAlign w:val="bottom"/>
            <w:gridSpan w:val="9"/>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Dividend Policy</w:t>
              </w:r>
            </w:hyperlink>
          </w:p>
        </w:tc>
        <w:tc>
          <w:tcPr>
            <w:tcW w:w="3960" w:type="dxa"/>
            <w:vAlign w:val="bottom"/>
            <w:gridSpan w:val="5"/>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19</w:t>
            </w: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Underwriting</w:t>
              </w:r>
            </w:hyperlink>
          </w:p>
        </w:tc>
        <w:tc>
          <w:tcPr>
            <w:tcW w:w="3800" w:type="dxa"/>
            <w:vAlign w:val="bottom"/>
            <w:gridSpan w:val="8"/>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80" w:type="dxa"/>
            <w:vAlign w:val="bottom"/>
            <w:gridSpan w:val="3"/>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Capitalization</w:t>
              </w:r>
            </w:hyperlink>
          </w:p>
        </w:tc>
        <w:tc>
          <w:tcPr>
            <w:tcW w:w="4120" w:type="dxa"/>
            <w:vAlign w:val="bottom"/>
            <w:gridSpan w:val="6"/>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20</w:t>
            </w:r>
          </w:p>
        </w:tc>
        <w:tc>
          <w:tcPr>
            <w:tcW w:w="4760" w:type="dxa"/>
            <w:vAlign w:val="bottom"/>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Dilution</w:t>
              </w:r>
            </w:hyperlink>
          </w:p>
        </w:tc>
        <w:tc>
          <w:tcPr>
            <w:tcW w:w="400" w:type="dxa"/>
            <w:vAlign w:val="bottom"/>
            <w:tcBorders>
              <w:top w:val="single" w:sz="8" w:color="0000EE"/>
            </w:tcBorders>
            <w:gridSpan w:val="2"/>
          </w:tcPr>
          <w:p>
            <w:pPr>
              <w:spacing w:after="0"/>
              <w:rPr>
                <w:sz w:val="17"/>
                <w:szCs w:val="17"/>
                <w:color w:val="auto"/>
              </w:rPr>
            </w:pPr>
          </w:p>
        </w:tc>
        <w:tc>
          <w:tcPr>
            <w:tcW w:w="4120" w:type="dxa"/>
            <w:vAlign w:val="bottom"/>
            <w:gridSpan w:val="6"/>
          </w:tcPr>
          <w:p>
            <w:pPr>
              <w:spacing w:after="0"/>
              <w:rPr>
                <w:sz w:val="17"/>
                <w:szCs w:val="17"/>
                <w:color w:val="auto"/>
              </w:rPr>
            </w:pP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21</w:t>
            </w:r>
          </w:p>
        </w:tc>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3780" w:type="dxa"/>
            <w:vAlign w:val="bottom"/>
            <w:gridSpan w:val="7"/>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Certain Relationships and Related-Party Transactions</w:t>
              </w:r>
            </w:hyperlink>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22</w:t>
            </w:r>
          </w:p>
        </w:tc>
        <w:tc>
          <w:tcPr>
            <w:tcW w:w="4760" w:type="dxa"/>
            <w:vAlign w:val="bottom"/>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60" w:type="dxa"/>
            <w:vAlign w:val="bottom"/>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Incorporation of Certain Information by Reference</w:t>
              </w:r>
            </w:hyperlink>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Neither we nor the selling stockholders have authorized anyone to provide you with information other than that contained in this prospectus or in any free writing prospectus prepared by or on behalf of us or to which we have referred you. We and the selling stockholders take no responsibility for, and can provide no assurance as to the reliability of, any other information that others may give to you. We and the selling stockholders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 Our business, financial condition, results of operations, and prospects may have changed since that date.</w:t>
      </w:r>
    </w:p>
    <w:p>
      <w:pPr>
        <w:spacing w:after="0" w:line="3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96" w:lineRule="exact"/>
        <w:rPr>
          <w:sz w:val="20"/>
          <w:szCs w:val="20"/>
          <w:color w:val="auto"/>
        </w:rPr>
      </w:pPr>
    </w:p>
    <w:p>
      <w:pPr>
        <w:jc w:val="both"/>
        <w:ind w:left="200" w:firstLine="443"/>
        <w:spacing w:after="0" w:line="291" w:lineRule="auto"/>
        <w:rPr>
          <w:sz w:val="20"/>
          <w:szCs w:val="20"/>
          <w:color w:val="auto"/>
        </w:rPr>
      </w:pPr>
      <w:r>
        <w:rPr>
          <w:rFonts w:ascii="Arial" w:cs="Arial" w:eastAsia="Arial" w:hAnsi="Arial"/>
          <w:sz w:val="16"/>
          <w:szCs w:val="16"/>
          <w:i w:val="1"/>
          <w:iCs w:val="1"/>
          <w:color w:val="auto"/>
        </w:rPr>
        <w:t>The items in the following summary are described in more detail later in this prospectus. This summary provides an overview of selected information and does not contain all of the information you should consider before buying our common stock. Therefore, you should read the entire prospectus carefully, including the information in our filings with the Securities and Exchange Commission, or SEC, incorporated by reference in this prospectus, before deciding to invest in our common stock. Investors should carefully consider the information set forth under “Risk Factors” beginning on page 14 of this prospectus and those identified in our Quarterly Report on Form 10-Q for the quarter ended March 31, 2014. In this prospectus, unless the context otherwise requires, references to “the Company,” “we,” “us,” “our,” or “Ultragenyx” refer to Ultragenyx Pharmaceutical Inc.</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left="200" w:firstLine="443"/>
        <w:spacing w:after="0" w:line="254" w:lineRule="auto"/>
        <w:rPr>
          <w:sz w:val="20"/>
          <w:szCs w:val="20"/>
          <w:color w:val="auto"/>
        </w:rPr>
      </w:pPr>
      <w:r>
        <w:rPr>
          <w:rFonts w:ascii="Arial" w:cs="Arial" w:eastAsia="Arial" w:hAnsi="Arial"/>
          <w:sz w:val="18"/>
          <w:szCs w:val="18"/>
          <w:color w:val="auto"/>
        </w:rPr>
        <w:t>We are a development-stage biopharmaceutical company focused on the identification, acquisition, development, and commercialization of novel products for the treatment of rare and ultra-rare diseases, with an initial focus on serious, debilitating genetic diseases. We focus on diseases for which the unmet medical need is high, the biology for treatment is clear, and for which there are no approved therapies. Since our inception in 2010, we have in-licensed potential treatments for five different diseases that are currently in or have completed Phase 1/2 or Phase 2 clinical studies. Our strategy, which is predicated upon time- and cost-efficient drug development, allows us to pursue multiple programs in parallel with the goal of delivering safe and effective therapies to patients with the utmost urgency.</w:t>
      </w:r>
    </w:p>
    <w:p>
      <w:pPr>
        <w:spacing w:after="0" w:line="63"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Our current product candidate pipeline has been either in-licensed from academic institutions or derived from partnerships with other pharmaceutical companies. Our strategy is to acquire and retain global commercialization rights to our products to maximize long-term value, where possible. Over time, we intend to build our own commercial organization, which we believe will be of modest size due to the relatively small number of specialists who treat patients with rare and ultra-rare diseases.</w:t>
      </w:r>
    </w:p>
    <w:p>
      <w:pPr>
        <w:spacing w:after="0" w:line="62"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The patients we seek to treat have diseases with limited or no treatment options, and we recognize that their lives and well-being are highly dependent upon our efforts to develop new therapies. For this reason, we are passionate about developing these therapies with the utmost urgency and care. We strive to build a company that is faster, better, and smarter about advancing multiple product candidates through approval.</w:t>
      </w:r>
    </w:p>
    <w:p>
      <w:pPr>
        <w:spacing w:after="0" w:line="26"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We were founded in April 2010 by our current President and Chief Executive Officer, Dr. Emil Kakkis, M.D., Ph.D. We have assembled an experienced team with extensive rare disease drug development and commercialization capabilities. Dr. Kakkis and the team at Ultragenyx have been previously involved at other companies in the development and/or commercialization of many therapies approved or in development for rare metabolic genetic diseases, including Aldurazyme, Naglazyme, Kuvan, and Vimizim (BioMarin); Lumizyme/Myozyme (Sanofi-Genzyme); and asfotase alpha (Enobia; now Alexion).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Our strategy is to identify, acquire, develop, and commercialize novel products for the treatment of rare and ultra-rare diseases in the United States, the European Union, and select international markets, with the goal of becoming a leading rare disease company. The critical components of our business strategy include the following:</w:t>
      </w:r>
    </w:p>
    <w:p>
      <w:pPr>
        <w:spacing w:after="0" w:line="59"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rare and ultra-rare diseases with significant unmet medical need;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diseases and therapies with clear mechanisms of action;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experience and relationships to in-license promising product candidates;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and commercialize multiple product candidates in parallel;</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81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814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excellent and rapid clinical and regulatory execution;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to retain global commercialization rights to product candidates.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Candidates</w:t>
      </w:r>
    </w:p>
    <w:p>
      <w:pPr>
        <w:spacing w:after="0" w:line="96"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Our current pipeline consists of two product categories: biologics, including a monoclonal antibody and enzyme replacement therapies;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 and one product candidate is an antibody that decreases the activity of an elevated hormone level.</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KRN23 (UX023) for the treatment of XLH</w:t>
      </w:r>
    </w:p>
    <w:p>
      <w:pPr>
        <w:spacing w:after="0" w:line="90" w:lineRule="exact"/>
        <w:rPr>
          <w:sz w:val="20"/>
          <w:szCs w:val="20"/>
          <w:color w:val="auto"/>
        </w:rPr>
      </w:pPr>
    </w:p>
    <w:p>
      <w:pPr>
        <w:jc w:val="both"/>
        <w:ind w:left="200" w:firstLine="443"/>
        <w:spacing w:after="0" w:line="287" w:lineRule="auto"/>
        <w:rPr>
          <w:sz w:val="20"/>
          <w:szCs w:val="20"/>
          <w:color w:val="auto"/>
        </w:rPr>
      </w:pPr>
      <w:r>
        <w:rPr>
          <w:rFonts w:ascii="Arial" w:cs="Arial" w:eastAsia="Arial" w:hAnsi="Arial"/>
          <w:sz w:val="16"/>
          <w:szCs w:val="16"/>
          <w:color w:val="auto"/>
        </w:rPr>
        <w:t>KRN23 is a fully human monoclonal antibody administered via subcutaneous injection that is designed to bind and reduce the biological activity of FGF23 to increase abnormally low phosphate levels in patients with X-linked hypophosphatemia, or XLH. Patients with XLH have low serum phosphate levels due to excessive phosphate loss into the urine, which is directly caused by the effect on kidney function of excess FGF23 production in bone cells. Low phosphate levels lead to poor bone mineralization and a variety of clinical manifestations, including rickets leading to bowing and other skeletal deformities, short stature, bone pain and fractures, poor quality bone, and muscle weakness. There is no approved drug therapy or treatment for the underlying cause of XLH. Most patients are managed using frequently divided doses of oral phosphate and vitamin D therapy, which is only partially effective at improving bone disease and growth and has significant side effects. Oral phosphate/vitamin D replacement therapy requires extremely close monitoring due to the potential for excessive phosphate levels and secondary increases in calcium, which can result in severe damage to the kidneys from excess calcium phosphate deposits and other complications. Additionally, some patients are unable to tolerate the regimen due to the chalky stool that results from taking large amounts of oral phosphate or the high frequency of dosing required.</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In August 2013, we formed a collaboration with Kyowa Hakko Kirin Co., Ltd., or KHK, to jointly develop and commercialize KRN23 for the treatment of XLH. KHK has conducted one Phase 1 study, one Phase 1/2 study, and one longer-term Phase 1/2 study of KRN23 in adults with XLH. We reviewed safety and efficacy data from the Phase 1 and Phase 1/2 studies prior to entering into our collaboration with KHK, and we entered into the collaboration based in part upon our conclusion that these data were supportive of further development (serum phosphate, renal tubular reabsorption of phosphate, and vitamin D levels were increased, and the product appeared well tolerated).</w:t>
      </w:r>
    </w:p>
    <w:p>
      <w:pPr>
        <w:spacing w:after="0" w:line="6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6"/>
          <w:szCs w:val="16"/>
          <w:color w:val="auto"/>
        </w:rPr>
        <w:t>Results from the Phase 1 single dose study in 38 adult XLH patients were presented at the American Society for Bone and Mineral Research Annual Meeting in October 2013 and published in the Journal of Clinical Investigation in February 2014. The data demonstrated that KRN23 was well tolerated and increased serum phosphate, or phosphorus, as well as vitamin D levels. Of the 38 adult XLH patients, 12 received a single subcutaneous injection of KRN23 (at doses of 0.1, 0.3, 0.6, or 1.0 mg/kg), 17 received a single intravenous injection of KRN23 (at doses of 0.003, 0.01, 0.03, 0.1, or 0.3 mg/kg) and 9 received placebo. The effect of KRN23 on the increase in serum phosphate levels was comparable between intravenous and subcutaneous administration; however, time to reach peak effect was slower and duration of effect was greater with subcutaneous administration compared with intravenous administration. The demonstrated improvement in serum phosphate levels suggests that significant benefit could be expected. Corresponding changes were observed in renal tubular reabsorption of phosphate. Increases in vitamin D were also observed, suggesting improved intestinal absorption of both phosphate and calcium. Changes were not observed in serum calcium.</w:t>
      </w:r>
    </w:p>
    <w:p>
      <w:pPr>
        <w:spacing w:after="0" w:line="39"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No serious adverse events were reported in the Phase 1 study. Approximately 83% of the subjects experienced at least one non-serious treatment-emergent adverse event, the most common of which were nausea and headache; no patients in the placebo or subcutaneous treatment arms reported these events. In the subcutaneous arm, two patients (approximately 17%) experienced elevated levels of the enzyme amylase in the blood, and two other patients (approximately 17%) experienced back pain. The elevations of the enzyme amylase were modest and not clinically significant. There did not appear to be a relationship between the incidence and types of adverse events and the dose administered following a single dose of study drug.</w:t>
      </w:r>
    </w:p>
    <w:p>
      <w:pPr>
        <w:spacing w:after="0" w:line="35" w:lineRule="exact"/>
        <w:rPr>
          <w:sz w:val="20"/>
          <w:szCs w:val="20"/>
          <w:color w:val="auto"/>
        </w:rPr>
      </w:pPr>
    </w:p>
    <w:p>
      <w:pPr>
        <w:jc w:val="both"/>
        <w:ind w:left="200" w:firstLine="443"/>
        <w:spacing w:after="0" w:line="291" w:lineRule="auto"/>
        <w:rPr>
          <w:sz w:val="20"/>
          <w:szCs w:val="20"/>
          <w:color w:val="auto"/>
        </w:rPr>
      </w:pPr>
      <w:r>
        <w:rPr>
          <w:rFonts w:ascii="Arial" w:cs="Arial" w:eastAsia="Arial" w:hAnsi="Arial"/>
          <w:sz w:val="16"/>
          <w:szCs w:val="16"/>
          <w:color w:val="auto"/>
        </w:rPr>
        <w:t>Results from a multiple-dose Phase 1/2 study with up to four escalating doses from 0.05 mg/kg to 0.6 mg/kg that was completed in 28 adult XLH patients were presented at the 2014 ICE/ENDO joint meeting of The Endocrine Society and the International Congress on Endocrinology in June 2014. The data demonstrated that repeat doses of KRN23 over four months led to an increase in serum phosphate in 100% of patients, with approximately 89% of patients reaching the low end of the normal range. Peak mean serum phosphorus increased to 3.03 ± 0.42 mg/dL after the fourth dose, which is an approximately 60% increase from the mean of 1.89 ± 0.33 mg/dL at baseline. Comparable increases were observed in mean reabsorption of phosphate from the urine (TmP/GFR) and mean serum 1,25 dihydroxy vitamin D levels.</w:t>
      </w:r>
    </w:p>
    <w:p>
      <w:pPr>
        <w:spacing w:after="0" w:line="39"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Increases in bone remodeling markers of bone formation and bone resorption were also observed in this Phase 1/2 study. The increase in P1NP (procollagen type I N propeptide) from baseline was statistically significant (p&lt;0.05) after all doses and the increase in osteocalcin was statistically significant (p&lt;0.05) after the fourth dose. These data support the concept that KRN23’s impact on improving phosphate metabolism will improve bone remodeling, a critical part of creating strong, properly-formed bones. Increases in quality of life and disability measures were also observed and we intend to objectively evaluate these in a future randomized controlled study.</w:t>
      </w:r>
    </w:p>
    <w:p>
      <w:pPr>
        <w:spacing w:after="0" w:line="62"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There were no significant changes in parathyroid hormone, serum calcium, or urinary calcium excretion in this Phase 1/2 study, consistent with the Phase 1 data showing that KRN23 can specifically improve phosphate control without interfering with calcium control. The most common adverse events were nasopharyngitis, joint pain, diarrhea, back pain, and restless leg syndrome. Joint pain and back pain are both known symptoms of XLH in adults. There were no serious adverse events related to treatment or renal or cardiac tissue calcification. One patient discontinued treatment due to an injection site reaction. No anti-KRN23 antibodies were observed.</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firstLine="443"/>
        <w:spacing w:after="0" w:line="268" w:lineRule="auto"/>
        <w:rPr>
          <w:sz w:val="20"/>
          <w:szCs w:val="20"/>
          <w:color w:val="auto"/>
        </w:rPr>
      </w:pPr>
      <w:r>
        <w:rPr>
          <w:rFonts w:ascii="Arial" w:cs="Arial" w:eastAsia="Arial" w:hAnsi="Arial"/>
          <w:sz w:val="18"/>
          <w:szCs w:val="18"/>
          <w:color w:val="auto"/>
        </w:rPr>
        <w:t>Data from the long-term Phase 1/2 study to evaluate KRN23 treatment for an additional 12 doses is expected to be presented at the American Society for Bone and Mineral Research (ASBMR) Annual Meeting in September 2014.</w:t>
      </w:r>
    </w:p>
    <w:p>
      <w:pPr>
        <w:spacing w:after="0" w:line="51" w:lineRule="exact"/>
        <w:rPr>
          <w:sz w:val="20"/>
          <w:szCs w:val="20"/>
          <w:color w:val="auto"/>
        </w:rPr>
      </w:pPr>
    </w:p>
    <w:p>
      <w:pPr>
        <w:jc w:val="both"/>
        <w:ind w:left="200" w:firstLine="443"/>
        <w:spacing w:after="0" w:line="290" w:lineRule="auto"/>
        <w:rPr>
          <w:sz w:val="20"/>
          <w:szCs w:val="20"/>
          <w:color w:val="auto"/>
        </w:rPr>
      </w:pPr>
      <w:r>
        <w:rPr>
          <w:rFonts w:ascii="Arial" w:cs="Arial" w:eastAsia="Arial" w:hAnsi="Arial"/>
          <w:sz w:val="16"/>
          <w:szCs w:val="16"/>
          <w:color w:val="auto"/>
        </w:rPr>
        <w:t>We plan to initiate a Phase 2 pediatric study in 2014 in patients with radiographic evidence of bone disease, following discussions with multiple regulatory agencies on our pediatric study design. We expect to enroll approximately 30 prepubertal patients in this study. Depending on the results of our Phase 2 pediatric study, we intend to conduct a Phase 3 pediatric trial. Given the high turnover and growth of bone during childhood and the critical role phosphate plays in bone growth, pediatric XLH patients have the highest morbidity and potential for benefit in a shorter timeframe. As a result, pediatric XLH patients may also have the greatest potential for improvement based on third-party data regarding enzyme replacement therapy in hypophosphatasia, which is another genetic bone disease with poor bone mineralization related to phosphate metabolism caused by a different, unrelated mechanism. We also expect to continue to develop KRN23 in adults with XLH and plan to conduct an adult Phase 2b study in parallel with our Phase 3 pediatric trial.</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Based on incidence and prevalence rates published in a Danish epidemiologic study and surveys of physicians in the United States, we estimate that there are approximately 3,000 cases of XLH in pediatric patients in the United States. Further, there are an estimated 9,000 cases of XLH in adult patients in the United States. However, we expect that many of these adult patients may not seek treatment if their bone disease is not too severe.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rhGUS (UX003) for the treatment of MPS 7</w:t>
      </w:r>
    </w:p>
    <w:p>
      <w:pPr>
        <w:spacing w:after="0" w:line="90" w:lineRule="exact"/>
        <w:rPr>
          <w:sz w:val="20"/>
          <w:szCs w:val="20"/>
          <w:color w:val="auto"/>
        </w:rPr>
      </w:pPr>
    </w:p>
    <w:p>
      <w:pPr>
        <w:jc w:val="both"/>
        <w:ind w:left="200" w:firstLine="443"/>
        <w:spacing w:after="0" w:line="289" w:lineRule="auto"/>
        <w:rPr>
          <w:sz w:val="20"/>
          <w:szCs w:val="20"/>
          <w:color w:val="auto"/>
        </w:rPr>
      </w:pPr>
      <w:r>
        <w:rPr>
          <w:rFonts w:ascii="Arial" w:cs="Arial" w:eastAsia="Arial" w:hAnsi="Arial"/>
          <w:sz w:val="16"/>
          <w:szCs w:val="16"/>
          <w:color w:val="auto"/>
        </w:rPr>
        <w:t>Recombinant human beta-glucuronidase, or rhGUS, is an intravenous, or IV, enzyme replacement therapy for the treatment of mucopolysaccharidosis 7, or MPS 7, also known as Sly Syndrome. Patients with MPS 7 suffer from severe cellular and organ dysfunction that typically leads to death in the teens or early adulthood. MPS 7 is caused by a deficiency of the lysosomal enzyme beta-glucuronidase, which is required for the breakdown of certain complex carbohydrates known as glycosaminoglycans, or GAGs. The inability to properly break down GAGs leads to their accumulation in many tissues, resulting in a serious multi-system disease. Patients with MPS 7 may have abnormal coarsened facial features, enlargement of the liver and spleen, airway obstruction, lung disease, cardiovascular complications, joint stiffness, short stature, and a skeletal disease known as dysostosis multiplex. In addition, many patients experience progressive lung problems as a result of airway obstruction and mucous production, often leading to sleep apnea and pulmonary insufficiency, and eventually requiring tracheostomy. There are currently no approved drug therapies for MPS 7.</w:t>
      </w:r>
    </w:p>
    <w:p>
      <w:pPr>
        <w:spacing w:after="0" w:line="37"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We licensed exclusive worldwide rights to rhGUS-related know-how and cell lines from Saint Louis University in November 2010 and initiated development in 2012. We have conducted preclinical studies to support the chronic IV administration of rhGUS. Administration of rhGUS resulted in substantial distribution of enzyme, as well as reduction in tissue pathology in a wide variety of tissues, including the liver, spleen, lung, heart, kidney, muscle, bone, and brain. No adverse toxicology related to rhGUS was noted in these studies.</w:t>
      </w:r>
    </w:p>
    <w:p>
      <w:pPr>
        <w:spacing w:after="0" w:line="62"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In December 2013, we initiated an open-label, Phase 1/2 study in the United Kingdom to evaluate the safety, tolerability, efficacy, and dose of IV administration every other week of rhGUS in up to five patients with MPS 7 who are between five and 30 years of age. The initial 12-week treatment period will be followed by a dose-titration period and a long-term extension study. We expect to release interim data from this study during 2014.</w:t>
      </w:r>
    </w:p>
    <w:p>
      <w:pPr>
        <w:spacing w:after="0" w:line="26"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Preliminary data from the Phase 1/2 study were presented at the American College of Medical Genetics and Genomics Annual Clinical Genetics Meeting in March 2014. Results from three patients who had been administered 2 mg/kg of rhGUS every other week for two, six, and 12 weeks showed evidence of clearance of lysosomal storage as indicated by the decrease in urinary GAG excretion beginning at two weeks of treatment of</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94" w:lineRule="auto"/>
        <w:rPr>
          <w:sz w:val="20"/>
          <w:szCs w:val="20"/>
          <w:color w:val="auto"/>
        </w:rPr>
      </w:pPr>
      <w:r>
        <w:rPr>
          <w:rFonts w:ascii="Arial" w:cs="Arial" w:eastAsia="Arial" w:hAnsi="Arial"/>
          <w:sz w:val="16"/>
          <w:szCs w:val="16"/>
          <w:color w:val="auto"/>
        </w:rPr>
        <w:t>approximately 30-50%. At the 12 week assessment of the first patient, absolute liver size was reduced by approximately 11%. This represents a 46% decrease in the excess liver size above normal for age and gender. The remaining patients have not yet reached the 12 week time point for liver size assessment. No serious adverse events were observed during up to 12 weeks of treatment, and no infusion-associated reactions were observed after a total of 13 infusions to date in these three subjects. The Phase 1/2 study will continue, and additional 12-week interim data are expected in the second half of 2014. If these results are supportive, we plan to initiate a pivotal Phase 3 study in 2014.</w:t>
      </w:r>
    </w:p>
    <w:p>
      <w:pPr>
        <w:spacing w:after="0" w:line="35"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We are also supplying rhGUS to an investigator who is treating a single U.S. patient under an emergency investigational new drug, or eIND, application. Preliminary results from the treatment of this patient were presented at the Lysosomal Disease Network’s 10</w:t>
      </w:r>
      <w:r>
        <w:rPr>
          <w:rFonts w:ascii="Arial" w:cs="Arial" w:eastAsia="Arial" w:hAnsi="Arial"/>
          <w:sz w:val="10"/>
          <w:szCs w:val="10"/>
          <w:color w:val="auto"/>
        </w:rPr>
        <w:t>th</w:t>
      </w:r>
      <w:r>
        <w:rPr>
          <w:rFonts w:ascii="Arial" w:cs="Arial" w:eastAsia="Arial" w:hAnsi="Arial"/>
          <w:sz w:val="16"/>
          <w:szCs w:val="16"/>
          <w:color w:val="auto"/>
        </w:rPr>
        <w:t xml:space="preserve"> Annual World Symposium in February 2014. Preliminary data showed evidence of a reduction in lysosomal storage based on reduced excretion of urinary GAG of 50% and a reduction in the size of the enlarged liver and spleen. The patient showed an improvement of pulmonary function and no infusion-associated reactions during the first 14 weeks of treatment. The patient’s caregivers also reported the patient’s improved stamina and increased time spent in school.</w:t>
      </w:r>
    </w:p>
    <w:p>
      <w:pPr>
        <w:spacing w:after="0" w:line="35" w:lineRule="exact"/>
        <w:rPr>
          <w:sz w:val="20"/>
          <w:szCs w:val="20"/>
          <w:color w:val="auto"/>
        </w:rPr>
      </w:pPr>
    </w:p>
    <w:p>
      <w:pPr>
        <w:jc w:val="both"/>
        <w:ind w:left="200" w:firstLine="443"/>
        <w:spacing w:after="0" w:line="290" w:lineRule="auto"/>
        <w:rPr>
          <w:sz w:val="20"/>
          <w:szCs w:val="20"/>
          <w:color w:val="auto"/>
        </w:rPr>
      </w:pPr>
      <w:r>
        <w:rPr>
          <w:rFonts w:ascii="Arial" w:cs="Arial" w:eastAsia="Arial" w:hAnsi="Arial"/>
          <w:sz w:val="16"/>
          <w:szCs w:val="16"/>
          <w:color w:val="auto"/>
        </w:rPr>
        <w:t>The European Medicines Agency, or EMA, has agreed that approval under exceptional circumstances could be possible for a proposed 12-patient placebo-controlled pivotal study in this disease with urinary GAG levels as a surrogate primary endpoint provided the data was strongly supportive of a favorable benefit/risk ratio. The EMA requested that some evidence of trend in improvement in clinical endpoints be observed to support the primary endpoint, but recognized that a statistically significant result on clinical endpoints was unlikely given the small number of patients expected to be enrolled in the study. The United States Food and Drug Administration, or FDA, has not yet agreed to the pivotal study plan or study design and primary endpoint and would like to see additional data correlating urinary GAG levels with other clinical endpoints, which we are collecting and will submit to the FDA. We expect to meet with the FDA to discuss the Phase 3 plan, although our plan is currently based on our agreement with the EMA.</w:t>
      </w:r>
    </w:p>
    <w:p>
      <w:pPr>
        <w:spacing w:after="0" w:line="37"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In addition to the above development plan, we intend to study MPS 7 patients under the age of five years, including potentially young infants born with hydrops fetalis. Currently, these infants often die within a few months to one year, but enzyme replacement therapy might be able to reduce GAG storage and improve health and survival in these patients. This program would not start until we had obtained sufficient information from the Phase 1/2 study to support the initiation of a trial in younger patients.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rhPPCA (UX004) for the treatment of galactosialidosis</w:t>
      </w:r>
    </w:p>
    <w:p>
      <w:pPr>
        <w:spacing w:after="0" w:line="90" w:lineRule="exact"/>
        <w:rPr>
          <w:sz w:val="20"/>
          <w:szCs w:val="20"/>
          <w:color w:val="auto"/>
        </w:rPr>
      </w:pPr>
    </w:p>
    <w:p>
      <w:pPr>
        <w:jc w:val="both"/>
        <w:ind w:left="200" w:firstLine="443"/>
        <w:spacing w:after="0" w:line="294" w:lineRule="auto"/>
        <w:rPr>
          <w:sz w:val="20"/>
          <w:szCs w:val="20"/>
          <w:color w:val="auto"/>
        </w:rPr>
      </w:pPr>
      <w:r>
        <w:rPr>
          <w:rFonts w:ascii="Arial" w:cs="Arial" w:eastAsia="Arial" w:hAnsi="Arial"/>
          <w:sz w:val="16"/>
          <w:szCs w:val="16"/>
          <w:color w:val="auto"/>
        </w:rPr>
        <w:t>Recombinant human protective protein cathepsin-A, or rhPPCA, which was in-licensed from St. Jude Children’s Research Hospital in September 2012, is in preclinical development as an enzyme replacement therapy for galactosialidosis, a rare lysosomal storage disease for which there are currently no approved drug therapies. Similar to MPS patients, patients with galactosialidosis present with both soft tissue storage in the liver, spleen, and other tissues, as well as connective tissue (bone and cartilage) related disease. As with MPS 7, an enzyme deficiency results in accumulation of substrates in the lysosomes, causing skeletal and organ dysfunction, and death. We plan to continue preclinical development of rhPPCA during 2014.</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Triheptanoin (UX007) for the treatment of LC-FAOD</w:t>
      </w:r>
    </w:p>
    <w:p>
      <w:pPr>
        <w:spacing w:after="0" w:line="90" w:lineRule="exact"/>
        <w:rPr>
          <w:sz w:val="20"/>
          <w:szCs w:val="20"/>
          <w:color w:val="auto"/>
        </w:rPr>
      </w:pPr>
    </w:p>
    <w:p>
      <w:pPr>
        <w:jc w:val="both"/>
        <w:ind w:left="200" w:firstLine="443"/>
        <w:spacing w:after="0" w:line="291" w:lineRule="auto"/>
        <w:rPr>
          <w:sz w:val="20"/>
          <w:szCs w:val="20"/>
          <w:color w:val="auto"/>
        </w:rPr>
      </w:pPr>
      <w:r>
        <w:rPr>
          <w:rFonts w:ascii="Arial" w:cs="Arial" w:eastAsia="Arial" w:hAnsi="Arial"/>
          <w:sz w:val="16"/>
          <w:szCs w:val="16"/>
          <w:color w:val="auto"/>
        </w:rPr>
        <w:t>We are developing triheptanoin for oral administration intended as a substrate replacement therapy for patients with long-chain fatty acid oxidation disorders, or LC-FAOD. Triheptanoin is a medium odd-chain triglyceride of three seven-carbon fatty acids designed to provide substrate replacement for fatty acid metabolism and restore production of energy. Patients with LC-FAOD have a deficiency that impairs the ability to produce energy from fat, which can lead to depletion of glucose in the body, and severe liver, muscle, and heart disease, as well as death. There are currently no approved drugs or treatments specifically for LC-FAOD. The current standard of care for LC-FAOD includes diligent prevention of fasting combined with the use of low-fat/high-carbohydrate diets, carnitine supplementation in some cases, and medium even-chain triglyceride oil</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6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36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supplementation. Despite treatment with the current standard of care, many patients continue to suffer significant morbidity and mortality.</w:t>
      </w:r>
    </w:p>
    <w:p>
      <w:pPr>
        <w:spacing w:after="0" w:line="90" w:lineRule="exact"/>
        <w:rPr>
          <w:sz w:val="20"/>
          <w:szCs w:val="20"/>
          <w:color w:val="auto"/>
        </w:rPr>
      </w:pPr>
    </w:p>
    <w:p>
      <w:pPr>
        <w:jc w:val="both"/>
        <w:ind w:left="200" w:firstLine="443"/>
        <w:spacing w:after="0" w:line="287" w:lineRule="auto"/>
        <w:rPr>
          <w:sz w:val="20"/>
          <w:szCs w:val="20"/>
          <w:color w:val="auto"/>
        </w:rPr>
      </w:pPr>
      <w:r>
        <w:rPr>
          <w:rFonts w:ascii="Arial" w:cs="Arial" w:eastAsia="Arial" w:hAnsi="Arial"/>
          <w:sz w:val="16"/>
          <w:szCs w:val="16"/>
          <w:color w:val="auto"/>
        </w:rPr>
        <w:t>We licensed certain intellectual property rights for triheptanoin from Baylor Research Institute in August 2012. Triheptanoin has been studied clinically for 13 years in approximately 130 human subjects affected by a variety of diseases, including more than 60 patients with LC-FAOD. Multiple investigator-sponsored open-label studies suggest clinical improvements with triheptanoin treatment, even for patients who were on standard of care. We recently presented a retrospective medical record review study assessing the clinical outcome of triheptanoin treatment on LC-FAOD subjects who have been participating in a compassionate use program at the University of Pittsburgh Medical Center. The data showed that treatment with triheptanoin appeared to reduce the frequency and severity of hospitalizations previously experienced by these patients for disease-related causes, including muscle rupture, hypoglycemia, and cardiomyopathy. Among a number of results suggesting significant improvement after crossing over onto triheptanoin treatment, a reduction in mean total hospital days per year from 17.55 to 5.40 (69%; p = 0.0242) was observed after transitioning from standard of care to triheptanoin therapy. These results are clinically important but are derived from a retrospective medical review, and not from a randomized controlled study. The preliminary results of our retrospective medical review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423"/>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data for four infants dosed within first six months of life.</w:t>
      </w:r>
    </w:p>
    <w:p>
      <w:pPr>
        <w:spacing w:after="0" w:line="90" w:lineRule="exact"/>
        <w:rPr>
          <w:rFonts w:ascii="Arial" w:cs="Arial" w:eastAsia="Arial" w:hAnsi="Arial"/>
          <w:sz w:val="18"/>
          <w:szCs w:val="18"/>
          <w:color w:val="auto"/>
        </w:rPr>
      </w:pPr>
    </w:p>
    <w:p>
      <w:pPr>
        <w:ind w:left="620" w:hanging="423"/>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hospitalizations with unknown discharge dates.</w:t>
      </w:r>
    </w:p>
    <w:p>
      <w:pPr>
        <w:spacing w:after="0" w:line="90" w:lineRule="exact"/>
        <w:rPr>
          <w:rFonts w:ascii="Arial" w:cs="Arial" w:eastAsia="Arial" w:hAnsi="Arial"/>
          <w:sz w:val="18"/>
          <w:szCs w:val="18"/>
          <w:color w:val="auto"/>
        </w:rPr>
      </w:pPr>
    </w:p>
    <w:p>
      <w:pPr>
        <w:ind w:left="620" w:hanging="423"/>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 infants were dosed within the first six months of life.</w:t>
      </w:r>
    </w:p>
    <w:p>
      <w:pPr>
        <w:spacing w:after="0" w:line="90" w:lineRule="exact"/>
        <w:rPr>
          <w:rFonts w:ascii="Arial" w:cs="Arial" w:eastAsia="Arial" w:hAnsi="Arial"/>
          <w:sz w:val="18"/>
          <w:szCs w:val="18"/>
          <w:color w:val="auto"/>
        </w:rPr>
      </w:pPr>
    </w:p>
    <w:p>
      <w:pPr>
        <w:ind w:left="620" w:hanging="423"/>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only those patients with hypoglycemia events prior to treatment.</w:t>
      </w:r>
    </w:p>
    <w:p>
      <w:pPr>
        <w:spacing w:after="0" w:line="90" w:lineRule="exact"/>
        <w:rPr>
          <w:rFonts w:ascii="Arial" w:cs="Arial" w:eastAsia="Arial" w:hAnsi="Arial"/>
          <w:sz w:val="18"/>
          <w:szCs w:val="18"/>
          <w:color w:val="auto"/>
        </w:rPr>
      </w:pPr>
    </w:p>
    <w:p>
      <w:pPr>
        <w:ind w:left="620" w:hanging="423"/>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only those patients with rhabdomyolysis events prior to treatment.</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6"/>
          <w:szCs w:val="16"/>
          <w:color w:val="auto"/>
        </w:rPr>
        <w:t>Triheptanoin is currently being evaluated in a prospective international open-label Phase 2 study in approximately 30 severely affected LC-FAOD patients. The principal goals of the study are to determine the appropriate clinical endpoints and patient population for testing in potential later-stage pivotal studies. The study will evaluate patients, ages six months to 35 years, exhibiting significant clinical manifestations of LC-FAOD despite current therapy. Prior to initiating treatment with triheptanoin, subjects will continue current therapy for four weeks to establish their baseline condition. Triheptanoin will then be titrated to an expected target dose of 25-35% of total daily caloric intake via oral administration, while ensuring tolerability. The study will assess the impact of triheptanoin on several endpoints, including cycle ergometer performance, 12-minute walk test, muscle strength, creatine kinase levels, hypoglycemia, liver size, cardiac disease, and major medical events. The patients will be followed to evaluate the effects of triheptanoin treatment on acute clinical pathophysiology associated with LC-FAOD over 24 weeks, then may continue treatment for an additional 54 weeks for observation of major medical events. We expect data from this study to be available in 2015.</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318" w:lineRule="auto"/>
        <w:rPr>
          <w:sz w:val="20"/>
          <w:szCs w:val="20"/>
          <w:color w:val="auto"/>
        </w:rPr>
      </w:pPr>
      <w:r>
        <w:rPr>
          <w:rFonts w:ascii="Arial" w:cs="Arial" w:eastAsia="Arial" w:hAnsi="Arial"/>
          <w:sz w:val="15"/>
          <w:szCs w:val="15"/>
          <w:color w:val="auto"/>
        </w:rPr>
        <w:t>Based upon data from the National Newborn Screening Information System, we estimate that there are approximately 2,000 to 3,500 LC-FAOD patients in the United States, depending on the assumed mortality rate. It is unclear how many of these patients are currently diagnosed because the availability of newborn screening in all 50 states in the United States is a relatively new development. Furthermore, until further clinical development of triheptanoin is conducted, it is not clear which subsets of diagnosed patients would be considered by clinicians to be good candidates for triheptanoin treatment. Outside of the United States, where newborn screening is not consistently done, figures regarding the prevalence of LC-FAOD are more uncertain.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Triheptanoin (UX007) for the treatment of Glut1 DS</w:t>
      </w:r>
    </w:p>
    <w:p>
      <w:pPr>
        <w:spacing w:after="0" w:line="90"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6"/>
          <w:szCs w:val="16"/>
          <w:color w:val="auto"/>
        </w:rPr>
        <w:t>We are also developing triheptanoin for patients with glucose transporter type 1 deficiency syndrome, or Glut1 DS. Glut1 DS is caused by a mutation affecting the gene for Glut1, a protein that transports glucose from the blood into the brain. Because glucose is the primary source of energy for the brain, Glut1 DS results in a chronic state of brain energy deficiency and is characterized by seizures, developmental delay, and movement disorder. There are currently no approved drugs specific to Glut1 DS. The current standard of care for Glut1 DS is the ketogenic diet, an extreme high-fat (70-80% of daily calories as fat)/low-carbohydrate diet, which generates ketone bodies as an alternative energy source to glucose, and one or more antiepileptic drugs. The ketogenic diet can be effective in reducing seizures but compliance can be difficult, and the diet has demonstrated limited effectiveness in the treatment of developmental delay and movement disorders. In addition, ketogenic diet can lead to side effects including renal stones. In general, Glut1 DS patients are considered relatively refractory to antiepileptic drugs with only approximately 10% achieving seizure control on antiepileptic drugs alone. There are currently no antiepileptic drugs approved specifically for patients with Glut1 DS.</w:t>
      </w:r>
    </w:p>
    <w:p>
      <w:pPr>
        <w:spacing w:after="0" w:line="39" w:lineRule="exact"/>
        <w:rPr>
          <w:sz w:val="20"/>
          <w:szCs w:val="20"/>
          <w:color w:val="auto"/>
        </w:rPr>
      </w:pPr>
    </w:p>
    <w:p>
      <w:pPr>
        <w:jc w:val="both"/>
        <w:ind w:left="200" w:firstLine="443"/>
        <w:spacing w:after="0" w:line="289" w:lineRule="auto"/>
        <w:rPr>
          <w:sz w:val="20"/>
          <w:szCs w:val="20"/>
          <w:color w:val="auto"/>
        </w:rPr>
      </w:pPr>
      <w:r>
        <w:rPr>
          <w:rFonts w:ascii="Arial" w:cs="Arial" w:eastAsia="Arial" w:hAnsi="Arial"/>
          <w:sz w:val="16"/>
          <w:szCs w:val="16"/>
          <w:color w:val="auto"/>
        </w:rPr>
        <w:t>Triheptanoin is intended as a substrate replacement therapy to provide an alternative source of energy to the brain in Glut1 DS patients. Although there are open-label investigator-sponsored clinical studies ongoing and the results have not yet been reported publicly, there are anecdotal reports of benefit in terms of reduced seizures and improved developmental function in some Glut1 DS subjects taking triheptanoin. In March 2014, we initiated a Phase 2 global, randomized, double-blind, placebo-controlled, parallel-group study that may enroll up to 50 patients who are currently not fully compliant with ketogenic diet and continue to have seizures. The primary efficacy objective is the reduction in frequency of seizures compared to placebo following a six-week baseline period and subsequent eight-week placebo-controlled treatment period. The blinded treatment period will be followed by an open-label extension period in which patients will be treated with triheptanoin through week 52. Patient enrollment may be modified based on an interim analysis. Assuming timely patient enrollment in this study, we expect to release data from this trial in 2015.</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continue to support investigator-sponsored trials studying triheptanoin across multiple indications.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While a comprehensive genetic analysis of birth incidence has not been conducted, published literature suggests a range of 3,000 to 7,000 Glut1 DS patients in the United States based on evaluations of generalized or absence seizures. The increasing recognition of alternative or variable motor forms of the disease suggests that older patients may be discovered over time. Given that the disease can be inherited as an autosomal dominant disease, the discovery of one patient may be used to identify other affected relatives in some cases, which can be important in marketing of the product.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SA-ER (UX001) for the treatment of HIBM</w:t>
      </w:r>
    </w:p>
    <w:p>
      <w:pPr>
        <w:spacing w:after="0" w:line="90" w:lineRule="exact"/>
        <w:rPr>
          <w:sz w:val="20"/>
          <w:szCs w:val="20"/>
          <w:color w:val="auto"/>
        </w:rPr>
      </w:pPr>
    </w:p>
    <w:p>
      <w:pPr>
        <w:jc w:val="both"/>
        <w:ind w:left="200" w:firstLine="443"/>
        <w:spacing w:after="0" w:line="254" w:lineRule="auto"/>
        <w:rPr>
          <w:sz w:val="20"/>
          <w:szCs w:val="20"/>
          <w:color w:val="auto"/>
        </w:rPr>
      </w:pPr>
      <w:r>
        <w:rPr>
          <w:rFonts w:ascii="Arial" w:cs="Arial" w:eastAsia="Arial" w:hAnsi="Arial"/>
          <w:sz w:val="18"/>
          <w:szCs w:val="18"/>
          <w:color w:val="auto"/>
        </w:rPr>
        <w:t>We are developing an extended-release, oral formulation of sialic acid, or SA-ER, for the treatment of hereditary inclusion body myopathy, or HIBM, which is also known as GNE myopathy. HIBM is characterized by severe progressive muscular myopathy, or disease in which muscle fibers do not function properly, with onset typically in the late teens or twenties. Patients with HIBM have a genetic defect in the gene coding for a particular enzyme that is involved in the first step in the biosynthesis of sialic acid. Therefore, HIBM patients have a sialic acid deficiency, which interferes with muscle function, leading to myopathy and atrophy. Patients typically lose a substantial amount of muscle function within ten to 20 years of diagnosis. There is no approved drug therapy for HIBM.</w:t>
      </w:r>
    </w:p>
    <w:p>
      <w:pPr>
        <w:spacing w:after="0" w:line="63" w:lineRule="exact"/>
        <w:rPr>
          <w:sz w:val="20"/>
          <w:szCs w:val="20"/>
          <w:color w:val="auto"/>
        </w:rPr>
      </w:pPr>
    </w:p>
    <w:p>
      <w:pPr>
        <w:jc w:val="both"/>
        <w:ind w:left="200" w:firstLine="443"/>
        <w:spacing w:after="0" w:line="290" w:lineRule="auto"/>
        <w:rPr>
          <w:sz w:val="20"/>
          <w:szCs w:val="20"/>
          <w:color w:val="auto"/>
        </w:rPr>
      </w:pPr>
      <w:r>
        <w:rPr>
          <w:rFonts w:ascii="Arial" w:cs="Arial" w:eastAsia="Arial" w:hAnsi="Arial"/>
          <w:sz w:val="16"/>
          <w:szCs w:val="16"/>
          <w:color w:val="auto"/>
        </w:rPr>
        <w:t>We are studying SA-ER as a potential substrate replacement therapy designed to address sialic acid deficiency and restore muscle function in HIBM patients. We have conducted a Phase 2 randomized, double-blind, placebo-controlled study of SA-ER in 47 HIBM patients. Data from this study were presented at the American Academy of Neurology Annual Meeting in April 2014. Patients in the study were initially randomized to receive placebo, three grams, or six grams of SA-ER per day. After 24 weeks, placebo patients crossed over to either three grams or six grams total daily dose, on a blinded basis, for an additional 24 weeks. The final analysis compared change at week 48 from baseline for the combined groups at six grams versus three grams of SA-ER. Assessments included pharmacokinetics, composites of upper extremity and lower extremity muscle strength as measured by dynamometry, other clinical endpoints, patient reported outcomes, and safety.</w:t>
      </w:r>
    </w:p>
    <w:p>
      <w:pPr>
        <w:spacing w:after="0" w:line="37" w:lineRule="exact"/>
        <w:rPr>
          <w:sz w:val="20"/>
          <w:szCs w:val="20"/>
          <w:color w:val="auto"/>
        </w:rPr>
      </w:pPr>
    </w:p>
    <w:p>
      <w:pPr>
        <w:jc w:val="both"/>
        <w:ind w:left="200" w:firstLine="443"/>
        <w:spacing w:after="0" w:line="309" w:lineRule="auto"/>
        <w:rPr>
          <w:sz w:val="20"/>
          <w:szCs w:val="20"/>
          <w:color w:val="auto"/>
        </w:rPr>
      </w:pPr>
      <w:r>
        <w:rPr>
          <w:rFonts w:ascii="Arial" w:cs="Arial" w:eastAsia="Arial" w:hAnsi="Arial"/>
          <w:sz w:val="15"/>
          <w:szCs w:val="15"/>
          <w:color w:val="auto"/>
        </w:rPr>
        <w:t>At 24 weeks, assessments of upper extremity composite of muscle strength showed a statistically significant difference in the six gram group compared to placebo (+2.33 kg; 5.5% relative difference from baseline; p=0.040). At 48 weeks, a statistically significant difference between the combined six gram group and the combined three gram group was observed (+3.44 kg; 8.5% relative difference from baseline; p=0.0033). Patients with less advanced disease (able to walk more than 200 meters at baseline), a predefined subset, showed a more pronounced difference (+4.69 kg; 9.6% relative difference from baseline; p=0.00055). The lower extremity composite showed a similar pattern of response but did not show a statistically significant difference between the dose groups. None of the groups showed a significant decline in the lower extremity composite during the treatment period. A positive trend was seen in patient-reported outcomes of functional activity consistent with the potential clinical meaningfulness of the muscle strength assessment. SA-ER appeared to be well tolerated with no serious adverse events observed to date in either dose group, and no dose-dependent treatment-emergent adverse events were identified. Most adverse events were mild to moderate and most commonly were gastrointestinal in nature and pain related to muscle biopsy procedures.</w:t>
      </w:r>
    </w:p>
    <w:p>
      <w:pPr>
        <w:spacing w:after="0" w:line="27"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We continue to treat these patients in an extension study evaluating an increased daily dosage of 12 grams of sialic acid based on the dose dependence observed at weeks 24 and 48. We anticipate that data from the extension study should be available in late 2014. We also plan to discuss data from this program with regulatory authorities during 2014 with the objective of agreeing on the design and primary endpoint for a pivotal study.</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Potential market opportunity</w:t>
      </w:r>
    </w:p>
    <w:p>
      <w:pPr>
        <w:spacing w:after="0" w:line="96"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Approximately 400 HIBM cases have been reported in the published literature. HIBM is expected to occur in one in every 1,600 persons of Persian Jewish descent. Patients have also been identified in Asian Indian, European, Chinese, Japanese, Korean, and Middle Eastern populations. To better understand the patient population, we conducted an initial survey of 420 myopathy clinics in the United States, and the extrapolated results suggest a patient population of 300 to 400 in the United States and 1,200 to 2,000 worldwide.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96"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and in our Quarterly Report on Form 10-Q for the quarter ended March 31, 2014, incorporated by reference herein. These risks include, among others:</w:t>
      </w:r>
    </w:p>
    <w:p>
      <w:pPr>
        <w:spacing w:after="0" w:line="26" w:lineRule="exact"/>
        <w:rPr>
          <w:sz w:val="20"/>
          <w:szCs w:val="20"/>
          <w:color w:val="auto"/>
        </w:rPr>
      </w:pPr>
    </w:p>
    <w:p>
      <w:pPr>
        <w:ind w:left="10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development-stage company and have a limited operating history on which to assess our business, have incurred significant losses since our inception, and anticipate that we will continue to incur significant losses for the foreseeable future;</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heavily dependent upon the success of our product candidates, which are in the early stages of clinical development, and we cannot provide any assurance that any of our product candidates will receive regulatory approval;</w:t>
      </w:r>
    </w:p>
    <w:p>
      <w:pPr>
        <w:spacing w:after="0" w:line="50" w:lineRule="exact"/>
        <w:rPr>
          <w:rFonts w:ascii="Arial" w:cs="Arial" w:eastAsia="Arial" w:hAnsi="Arial"/>
          <w:sz w:val="18"/>
          <w:szCs w:val="18"/>
          <w:color w:val="auto"/>
        </w:rPr>
      </w:pPr>
    </w:p>
    <w:p>
      <w:pPr>
        <w:ind w:left="1060" w:hanging="323"/>
        <w:spacing w:after="0" w:line="33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Because the target patient populations of our product candidates are small, and the addressable patient populations potentially even smaller, we must be able to successfully identify patients and acquire a significant market share to achieve profitability and growth;</w:t>
      </w:r>
    </w:p>
    <w:p>
      <w:pPr>
        <w:spacing w:after="0" w:line="4" w:lineRule="exact"/>
        <w:rPr>
          <w:rFonts w:ascii="Arial" w:cs="Arial" w:eastAsia="Arial" w:hAnsi="Arial"/>
          <w:sz w:val="16"/>
          <w:szCs w:val="16"/>
          <w:color w:val="auto"/>
        </w:rPr>
      </w:pPr>
    </w:p>
    <w:p>
      <w:pPr>
        <w:ind w:left="10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expect that we will need to raise additional funding before we can expect to become profitable from sales of our products;</w:t>
      </w:r>
    </w:p>
    <w:p>
      <w:pPr>
        <w:spacing w:after="0" w:line="50" w:lineRule="exact"/>
        <w:rPr>
          <w:rFonts w:ascii="Arial" w:cs="Arial" w:eastAsia="Arial" w:hAnsi="Arial"/>
          <w:sz w:val="18"/>
          <w:szCs w:val="18"/>
          <w:color w:val="auto"/>
        </w:rPr>
      </w:pPr>
    </w:p>
    <w:p>
      <w:pPr>
        <w:ind w:left="1060" w:hanging="323"/>
        <w:spacing w:after="0" w:line="33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insurance coverage and reimbursement status of newly-approved products is uncertain and failure to obtain or maintain adequate coverage and reimbursement for new or current products could limit our ability to market those products and decrease our ability to generate revenue;</w:t>
      </w:r>
    </w:p>
    <w:p>
      <w:pPr>
        <w:spacing w:after="0" w:line="4" w:lineRule="exact"/>
        <w:rPr>
          <w:rFonts w:ascii="Arial" w:cs="Arial" w:eastAsia="Arial" w:hAnsi="Arial"/>
          <w:sz w:val="16"/>
          <w:szCs w:val="16"/>
          <w:color w:val="auto"/>
        </w:rPr>
      </w:pPr>
    </w:p>
    <w:p>
      <w:pPr>
        <w:ind w:left="106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effective patent rights for our product candidates or any future product candidates, we may not be able to compete effectively in our markets; and</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depends in part upon our ability to retain our Founder, President, and Chief Executive Officer and to attract, retain, and motivate other qualified personnel.</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left="200" w:firstLine="443"/>
        <w:spacing w:after="0" w:line="256" w:lineRule="auto"/>
        <w:rPr>
          <w:sz w:val="20"/>
          <w:szCs w:val="20"/>
          <w:color w:val="auto"/>
        </w:rPr>
      </w:pPr>
      <w:r>
        <w:rPr>
          <w:rFonts w:ascii="Arial" w:cs="Arial" w:eastAsia="Arial" w:hAnsi="Arial"/>
          <w:sz w:val="18"/>
          <w:szCs w:val="18"/>
          <w:color w:val="auto"/>
        </w:rPr>
        <w:t xml:space="preserve">We were founded in April 2010 as a California corporation, and we reincorporated as a Delaware corporation in June 2011. Our principal executive offices are located at 60 Leveroni Court, Novato, CA 94949, and our telephone number is (415) 483-8800. Our web site address is </w:t>
      </w:r>
      <w:r>
        <w:rPr>
          <w:rFonts w:ascii="Arial" w:cs="Arial" w:eastAsia="Arial" w:hAnsi="Arial"/>
          <w:sz w:val="18"/>
          <w:szCs w:val="18"/>
          <w:i w:val="1"/>
          <w:iCs w:val="1"/>
          <w:color w:val="auto"/>
        </w:rPr>
        <w:t>www.ultragenyx.com</w:t>
      </w:r>
      <w:r>
        <w:rPr>
          <w:rFonts w:ascii="Arial" w:cs="Arial" w:eastAsia="Arial" w:hAnsi="Arial"/>
          <w:sz w:val="18"/>
          <w:szCs w:val="18"/>
          <w:color w:val="auto"/>
        </w:rPr>
        <w:t>. The information on, or that can be accessed through, our web site is not part of this prospectus. We have included our web site address as an inactive textual reference only.</w:t>
      </w:r>
    </w:p>
    <w:p>
      <w:pPr>
        <w:spacing w:after="0" w:line="62"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have filed trademark applications with the U.S. Patent and Trademark Office for the marks Ultragenyx™ and Ultragenyx Pharmaceutical™, and we are developing commercial names for our product candidates. This prospectus, and the information incorporated by reference herein, also contains trademarks of others, including Aldurazyme</w:t>
      </w:r>
      <w:r>
        <w:rPr>
          <w:rFonts w:ascii="Arial" w:cs="Arial" w:eastAsia="Arial" w:hAnsi="Arial"/>
          <w:sz w:val="10"/>
          <w:szCs w:val="10"/>
          <w:color w:val="auto"/>
        </w:rPr>
        <w:t>®</w:t>
      </w:r>
      <w:r>
        <w:rPr>
          <w:rFonts w:ascii="Arial" w:cs="Arial" w:eastAsia="Arial" w:hAnsi="Arial"/>
          <w:sz w:val="16"/>
          <w:szCs w:val="16"/>
          <w:color w:val="auto"/>
        </w:rPr>
        <w:t>, Naglazyme</w:t>
      </w:r>
      <w:r>
        <w:rPr>
          <w:rFonts w:ascii="Arial" w:cs="Arial" w:eastAsia="Arial" w:hAnsi="Arial"/>
          <w:sz w:val="10"/>
          <w:szCs w:val="10"/>
          <w:color w:val="auto"/>
        </w:rPr>
        <w:t>®</w:t>
      </w:r>
      <w:r>
        <w:rPr>
          <w:rFonts w:ascii="Arial" w:cs="Arial" w:eastAsia="Arial" w:hAnsi="Arial"/>
          <w:sz w:val="16"/>
          <w:szCs w:val="16"/>
          <w:color w:val="auto"/>
        </w:rPr>
        <w:t>, Kuvan</w:t>
      </w:r>
      <w:r>
        <w:rPr>
          <w:rFonts w:ascii="Arial" w:cs="Arial" w:eastAsia="Arial" w:hAnsi="Arial"/>
          <w:sz w:val="10"/>
          <w:szCs w:val="10"/>
          <w:color w:val="auto"/>
        </w:rPr>
        <w:t>®</w:t>
      </w:r>
      <w:r>
        <w:rPr>
          <w:rFonts w:ascii="Arial" w:cs="Arial" w:eastAsia="Arial" w:hAnsi="Arial"/>
          <w:sz w:val="16"/>
          <w:szCs w:val="16"/>
          <w:color w:val="auto"/>
        </w:rPr>
        <w:t>, Vimizim™, Lumizyme</w:t>
      </w:r>
      <w:r>
        <w:rPr>
          <w:rFonts w:ascii="Arial" w:cs="Arial" w:eastAsia="Arial" w:hAnsi="Arial"/>
          <w:sz w:val="10"/>
          <w:szCs w:val="10"/>
          <w:color w:val="auto"/>
        </w:rPr>
        <w:t>®</w:t>
      </w:r>
      <w:r>
        <w:rPr>
          <w:rFonts w:ascii="Arial" w:cs="Arial" w:eastAsia="Arial" w:hAnsi="Arial"/>
          <w:sz w:val="16"/>
          <w:szCs w:val="16"/>
          <w:color w:val="auto"/>
        </w:rPr>
        <w:t>, Myozyme</w:t>
      </w:r>
      <w:r>
        <w:rPr>
          <w:rFonts w:ascii="Arial" w:cs="Arial" w:eastAsia="Arial" w:hAnsi="Arial"/>
          <w:sz w:val="10"/>
          <w:szCs w:val="10"/>
          <w:color w:val="auto"/>
        </w:rPr>
        <w:t>®</w:t>
      </w:r>
      <w:r>
        <w:rPr>
          <w:rFonts w:ascii="Arial" w:cs="Arial" w:eastAsia="Arial" w:hAnsi="Arial"/>
          <w:sz w:val="16"/>
          <w:szCs w:val="16"/>
          <w:color w:val="auto"/>
        </w:rPr>
        <w:t xml:space="preserve"> and asfotase alpha. We do not intend our use or display of other companies’ trade names or trademarks to imply a relationship with, or endorsement or sponsorship of us by, any other companies.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$65,000,000 of shares of our common stock</w:t>
      </w:r>
    </w:p>
    <w:p>
      <w:pPr>
        <w:spacing w:after="0" w:line="12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Approximately $35,000,000 of shares of our common stock</w:t>
      </w:r>
    </w:p>
    <w:p>
      <w:pPr>
        <w:spacing w:after="0" w:line="127" w:lineRule="exact"/>
        <w:rPr>
          <w:sz w:val="20"/>
          <w:szCs w:val="20"/>
          <w:color w:val="auto"/>
        </w:rPr>
      </w:pPr>
    </w:p>
    <w:p>
      <w:pPr>
        <w:sectPr>
          <w:pgSz w:w="11900" w:h="16838" w:orient="portrait"/>
          <w:cols w:equalWidth="0" w:num="2">
            <w:col w:w="3740" w:space="66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31,418,359 shares</w:t>
      </w:r>
    </w:p>
    <w:p>
      <w:pPr>
        <w:spacing w:after="0" w:line="138" w:lineRule="exact"/>
        <w:rPr>
          <w:sz w:val="20"/>
          <w:szCs w:val="20"/>
          <w:color w:val="auto"/>
        </w:rPr>
      </w:pPr>
    </w:p>
    <w:p>
      <w:pPr>
        <w:sectPr>
          <w:pgSz w:w="11900" w:h="16838" w:orient="portrait"/>
          <w:cols w:equalWidth="0" w:num="2">
            <w:col w:w="3780" w:space="6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underwriters have been granted a 30-day option to purchase up to approximately $15,000,000 of shares of common stock.</w:t>
      </w:r>
    </w:p>
    <w:p>
      <w:pPr>
        <w:spacing w:after="0" w:line="51" w:lineRule="exact"/>
        <w:rPr>
          <w:sz w:val="20"/>
          <w:szCs w:val="20"/>
          <w:color w:val="auto"/>
        </w:rPr>
      </w:pPr>
    </w:p>
    <w:p>
      <w:pPr>
        <w:sectPr>
          <w:pgSz w:w="11900" w:h="16838" w:orient="portrait"/>
          <w:cols w:equalWidth="0" w:num="2">
            <w:col w:w="3760" w:space="64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We estimate that the net proceeds to us from this offering will be approximately $60.6 million, after deducting the estimated underwriting discounts and commissions and estimated offering expenses payable by us. We intend to use the net proceeds from this offering, together with our existing cash, cash equivalents, and short-term investments to continue to advance our clinical and preclinical pipeline, including potential new formulations of or indications for our existing product candidates or potential new product candidates, and to increase investment in early-stage research capabilities and general infrastructure, with any remaining proceeds to be used for other ongoing research and development, working capital and other general corporate purposes. We may also use a portion of the net proceeds to us to in-license, acquire, or invest in additional businesses, technologies, products, or assets, though we currently have no specific agreements, commitments, or understandings with respect to any in-licensing or acquisitions. See “Use of Proceeds.”</w:t>
      </w:r>
    </w:p>
    <w:p>
      <w:pPr>
        <w:spacing w:after="0" w:line="43"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We will not receive any proceeds from the sale of any shares by the selling stockholders.</w:t>
      </w:r>
    </w:p>
    <w:p>
      <w:pPr>
        <w:sectPr>
          <w:pgSz w:w="11900" w:h="16838" w:orient="portrait"/>
          <w:cols w:equalWidth="0" w:num="1">
            <w:col w:w="11260"/>
          </w:cols>
          <w:pgMar w:left="240" w:top="459" w:right="399" w:bottom="1440" w:gutter="0" w:footer="0" w:header="0"/>
          <w:type w:val="continuous"/>
        </w:sectPr>
      </w:pPr>
    </w:p>
    <w:p>
      <w:pPr>
        <w:spacing w:after="0" w:line="1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should read the “Risk Factors” section of this prospectus and our Quarterly Report on Form 10-Q for the quarter ended March 31, 2014, incorporated by reference herein, for a discussion of factors to consider carefully before deciding to invest in shares of our common stock.</w:t>
      </w:r>
    </w:p>
    <w:p>
      <w:pPr>
        <w:spacing w:after="0" w:line="2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“RARE”</w:t>
      </w:r>
    </w:p>
    <w:p>
      <w:pPr>
        <w:spacing w:after="0" w:line="10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firstLine="443"/>
        <w:spacing w:after="0" w:line="268" w:lineRule="auto"/>
        <w:rPr>
          <w:sz w:val="20"/>
          <w:szCs w:val="20"/>
          <w:color w:val="auto"/>
        </w:rPr>
      </w:pPr>
      <w:r>
        <w:rPr>
          <w:rFonts w:ascii="Arial" w:cs="Arial" w:eastAsia="Arial" w:hAnsi="Arial"/>
          <w:sz w:val="18"/>
          <w:szCs w:val="18"/>
          <w:color w:val="auto"/>
        </w:rPr>
        <w:t>The number of shares of common stock to be outstanding after this offering is based on 30,049,650 shares of common stock outstanding as of March 31, 2014.</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 the following:</w:t>
      </w:r>
    </w:p>
    <w:p>
      <w:pPr>
        <w:spacing w:after="0" w:line="90" w:lineRule="exact"/>
        <w:rPr>
          <w:sz w:val="20"/>
          <w:szCs w:val="20"/>
          <w:color w:val="auto"/>
        </w:rPr>
      </w:pPr>
    </w:p>
    <w:p>
      <w:pPr>
        <w:ind w:left="1060" w:right="2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2,396,323 shares of common stock issuable upon the exercise of outstanding stock options as of March 31, 2014 having a weighted-average exercise price of $6.35 per share;</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353,459 shares of common stock issuable upon the exercise of outstanding warrants as of March 31, 2014 having a weighted-average exercise price of $3.01 per share;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02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14020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line="33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2,167,000 shares of common stock reserved for issuance pursuant to future equity awards under our 2014 Incentive Plan as of March 31, 2014, as well as any future increases in the number of shares of our common stock reserved for future issuance under this plan; and</w:t>
      </w:r>
    </w:p>
    <w:p>
      <w:pPr>
        <w:spacing w:after="0" w:line="4" w:lineRule="exact"/>
        <w:rPr>
          <w:rFonts w:ascii="Arial" w:cs="Arial" w:eastAsia="Arial" w:hAnsi="Arial"/>
          <w:sz w:val="16"/>
          <w:szCs w:val="16"/>
          <w:color w:val="auto"/>
        </w:rPr>
      </w:pPr>
    </w:p>
    <w:p>
      <w:pPr>
        <w:ind w:left="1060" w:hanging="323"/>
        <w:spacing w:after="0" w:line="33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600,000 shares of common stock reserved for future issuance under our 2014 Employee Stock Purchase Plan, or 2014 ESPP, as of March 31, 2014, as well as any future increases in the number of shares of our common stock reserved for future issuance under the 2014 ESPP.</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contained in this prospectus:</w:t>
      </w:r>
    </w:p>
    <w:p>
      <w:pPr>
        <w:spacing w:after="0" w:line="90"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option to purchase additional shares;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no exercise of outstanding options or warrants after March 31, 2014.</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96" w:lineRule="exact"/>
        <w:rPr>
          <w:sz w:val="20"/>
          <w:szCs w:val="20"/>
          <w:color w:val="auto"/>
        </w:rPr>
      </w:pPr>
    </w:p>
    <w:p>
      <w:pPr>
        <w:jc w:val="both"/>
        <w:ind w:left="200" w:right="200" w:firstLine="443"/>
        <w:spacing w:after="0" w:line="288" w:lineRule="auto"/>
        <w:rPr>
          <w:sz w:val="20"/>
          <w:szCs w:val="20"/>
          <w:color w:val="auto"/>
        </w:rPr>
      </w:pPr>
      <w:r>
        <w:rPr>
          <w:rFonts w:ascii="Arial" w:cs="Arial" w:eastAsia="Arial" w:hAnsi="Arial"/>
          <w:sz w:val="16"/>
          <w:szCs w:val="16"/>
          <w:color w:val="auto"/>
        </w:rPr>
        <w:t>The following table summarizes our statements of operations and balance sheet data. We have derived the following statements of operations data for the years ended December 31, 2011, 2012, and 2013 from our audited financial statements incorporated by reference in this prospectus from our Annual Report on Form 10-K for the fiscal year ended December 31, 2013, or our 2013 Annual Report, and we have derived the following statements of operations data for the three months ended March 31, 2013 and March 31, 2014 and the balance sheet data as of March 31, 2014 from our unaudited interim financial statements incorporated by reference in this prospectus from our Quarterly Report on Form 10-Q for the quarter ended March 31, 2014, or our March 2014 Quarterly Report. You should read this data together with our financial statements and related notes, as well as the information under the captions “Selected Financial Data” and “Management’s Discussion and Analysis of Financial Condition and Results of Operations” appearing in our 2013 Annual Report and our March 2014 Quarterly Report, which are incorporated by reference herein. Our historical results are not necessarily indicative of our future results, and results of interim periods are not necessarily indicative of results for the entire year.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9"/>
          </w:tcPr>
          <w:p>
            <w:pPr>
              <w:jc w:val="right"/>
              <w:ind w:right="672"/>
              <w:spacing w:after="0" w:line="129"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5,664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8"/>
                <w:szCs w:val="18"/>
                <w:color w:val="auto"/>
              </w:rPr>
            </w:pPr>
          </w:p>
        </w:tc>
        <w:tc>
          <w:tcPr>
            <w:tcW w:w="1240" w:type="dxa"/>
            <w:vAlign w:val="bottom"/>
            <w:gridSpan w:val="3"/>
          </w:tcPr>
          <w:p>
            <w:pPr>
              <w:jc w:val="right"/>
              <w:ind w:right="472"/>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(6,561)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(15,985)</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(32,280)</w:t>
            </w:r>
          </w:p>
        </w:tc>
        <w:tc>
          <w:tcPr>
            <w:tcW w:w="100" w:type="dxa"/>
            <w:vAlign w:val="bottom"/>
          </w:tcPr>
          <w:p>
            <w:pPr>
              <w:spacing w:after="0"/>
              <w:rPr>
                <w:sz w:val="19"/>
                <w:szCs w:val="19"/>
                <w:color w:val="auto"/>
              </w:rPr>
            </w:pPr>
          </w:p>
        </w:tc>
        <w:tc>
          <w:tcPr>
            <w:tcW w:w="1240" w:type="dxa"/>
            <w:vAlign w:val="bottom"/>
            <w:gridSpan w:val="3"/>
          </w:tcPr>
          <w:p>
            <w:pPr>
              <w:jc w:val="right"/>
              <w:ind w:right="412"/>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(6,849)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(16,334)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(35,070)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12"/>
              <w:spacing w:after="0"/>
              <w:rPr>
                <w:sz w:val="20"/>
                <w:szCs w:val="20"/>
                <w:color w:val="auto"/>
              </w:rPr>
            </w:pPr>
            <w:r>
              <w:rPr>
                <w:rFonts w:ascii="Arial" w:cs="Arial" w:eastAsia="Arial" w:hAnsi="Arial"/>
                <w:sz w:val="18"/>
                <w:szCs w:val="18"/>
                <w:color w:val="auto"/>
              </w:rPr>
              <w:t>(6,735)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(13,630)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(8,205)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(14.87)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12"/>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4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Shares used in computing net loss per share attributable to</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stockholders, basic and diluted</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1,617,384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1,377,207</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3,382,489</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w w:val="84"/>
              </w:rPr>
              <w:t>2,893,997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21,582,435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As of March 31, 2014</w:t>
            </w:r>
          </w:p>
        </w:tc>
        <w:tc>
          <w:tcPr>
            <w:tcW w:w="0" w:type="dxa"/>
            <w:vAlign w:val="bottom"/>
          </w:tcPr>
          <w:p>
            <w:pPr>
              <w:spacing w:after="0"/>
              <w:rPr>
                <w:sz w:val="1"/>
                <w:szCs w:val="1"/>
                <w:color w:val="auto"/>
              </w:rPr>
            </w:pPr>
          </w:p>
        </w:tc>
      </w:tr>
      <w:tr>
        <w:trPr>
          <w:trHeight w:val="115"/>
        </w:trPr>
        <w:tc>
          <w:tcPr>
            <w:tcW w:w="2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left="16"/>
              <w:spacing w:after="0" w:line="115" w:lineRule="exact"/>
              <w:rPr>
                <w:sz w:val="20"/>
                <w:szCs w:val="20"/>
                <w:color w:val="auto"/>
              </w:rPr>
            </w:pPr>
            <w:r>
              <w:rPr>
                <w:rFonts w:ascii="Arial" w:cs="Arial" w:eastAsia="Arial" w:hAnsi="Arial"/>
                <w:sz w:val="12"/>
                <w:szCs w:val="12"/>
                <w:b w:val="1"/>
                <w:bCs w:val="1"/>
                <w:color w:val="auto"/>
              </w:rPr>
              <w:t>As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10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Adjusted</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476"/>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52"/>
              <w:spacing w:after="0"/>
              <w:rPr>
                <w:sz w:val="20"/>
                <w:szCs w:val="20"/>
                <w:color w:val="auto"/>
              </w:rPr>
            </w:pPr>
            <w:r>
              <w:rPr>
                <w:rFonts w:ascii="Arial" w:cs="Arial" w:eastAsia="Arial" w:hAnsi="Arial"/>
                <w:sz w:val="18"/>
                <w:szCs w:val="18"/>
                <w:color w:val="auto"/>
              </w:rPr>
              <w:t>$165,397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$226,037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162,825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52"/>
              <w:spacing w:after="0"/>
              <w:rPr>
                <w:sz w:val="20"/>
                <w:szCs w:val="20"/>
                <w:color w:val="auto"/>
              </w:rPr>
            </w:pPr>
            <w:r>
              <w:rPr>
                <w:rFonts w:ascii="Arial" w:cs="Arial" w:eastAsia="Arial" w:hAnsi="Arial"/>
                <w:sz w:val="18"/>
                <w:szCs w:val="18"/>
                <w:color w:val="auto"/>
              </w:rPr>
              <w:t>172,707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233,347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(92,869)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352"/>
              <w:spacing w:after="0"/>
              <w:rPr>
                <w:sz w:val="20"/>
                <w:szCs w:val="20"/>
                <w:color w:val="auto"/>
              </w:rPr>
            </w:pPr>
            <w:r>
              <w:rPr>
                <w:rFonts w:ascii="Arial" w:cs="Arial" w:eastAsia="Arial" w:hAnsi="Arial"/>
                <w:sz w:val="18"/>
                <w:szCs w:val="18"/>
                <w:color w:val="auto"/>
              </w:rPr>
              <w:t>165,714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226,354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70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147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620" w:hanging="423"/>
        <w:spacing w:after="0" w:line="259"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(a) Notes 2 and 14 to our audited financial statements included in our 2013 Annual Report incorporated by reference herein and (b) Notes 2 and 11 to our interim financial statements included in our March 2014 Quarterly Report incorporated herein by reference for an explanation of the calculations of our basic and diluted net loss per share attributable to common stockholders.</w:t>
      </w:r>
    </w:p>
    <w:p>
      <w:pPr>
        <w:spacing w:after="0" w:line="59" w:lineRule="exact"/>
        <w:rPr>
          <w:rFonts w:ascii="Arial" w:cs="Arial" w:eastAsia="Arial" w:hAnsi="Arial"/>
          <w:sz w:val="18"/>
          <w:szCs w:val="18"/>
          <w:color w:val="auto"/>
        </w:rPr>
      </w:pPr>
    </w:p>
    <w:p>
      <w:pPr>
        <w:jc w:val="both"/>
        <w:ind w:left="620" w:hanging="423"/>
        <w:spacing w:after="0" w:line="255"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as-adjusted balance sheet data reflects the sale of 1,368,709 shares of common stock offered by us in this offering at an assumed public offering price of $47.49 per share, which is the last reported sale price of our common stock on The NASDAQ Global Select Market on June 20, 2014, after deducting estimated underwriting discounts and commissions and estimated offering expenses payable by us. We will not receive any proceeds from any sale of shares of our common stock in this offering by the selling stockholders; accordingly, there is no impact upon the adjusted balance sheet for these sales.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investing in our common stock, you should consider carefully the risks described below, together with the other information contained in this prospectus or incorporated by reference in this prospectus, including the risks and uncertainties discussed under “Risk Factors” in our Quarterly Report on Form 10-Q for the quarter ended March 31, 2014, which are incorporated by reference herein in their entirety.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as-adjusted book value per share of our tangible assets after subtracting our liabilities. As a result, investors purchasing shares of common stock in this offering will incur immediate dilution of $40.29 per share, based on an assumed public offering price of $47.49 per share, which is the last reported sale price of our common stock on The NASDAQ Global Select Market on June 20, 2014, and our as-adjusted net tangible book value as of March 31, 2014 after giving effect to this offering. For information on how the foregoing amounts were calculated, see “Dilution.”</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and the exercise of stock options granted to our employees. In addition, as of March 31, 2014, we had outstanding options and warrants to purchase 2,749,782 shares of our common stock;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outstanding as of March 31, 2014, and an assumed offering price per share of $47.49 as of June 20, 2014, upon the closing of this offering we will have outstanding a total of approximately 31,418,359 shares of common stock. Of these shares, the shares of our common stock sold in our initial public offering, which was completed in February 2014, are currently freely tradable, and the shares to be sold in this offering, plus any shares sold upon exercise of the underwriters’ option to purchase additional shares, will be freely tradable, without restriction, in the public market immediately following this offering. J.P. Morgan Securities LLC and Morgan Stanley &amp; Co. LLC, however, may, in their sole discretion, permit our officers, directors and stockholders who are subject to these lock-up agreements to sell shares prior to the expiration of the lock-up agreements.</w:t>
      </w:r>
    </w:p>
    <w:p>
      <w:pPr>
        <w:spacing w:after="0" w:line="37"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As of March 31, 2014, we had a total of 30,049,650 shares of common stock issued and outstanding. The lock-up agreements pertaining to our initial public offering will expire on July 29, 2014, following which at least approximately 23.4 million shares of common stock will be eligible for sale in the public market, subject to any additional restrictions, including a lock-up in connection with this offering. The lock-up agreements pertaining to this offering will expire</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90 days from the date of this prospectus, following which approximately million shares of common stock will be eligible for sale in the public market, all of which shares are held by current directors, executive officers and other affiliates and may be subject to Rule 144 under the Securities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as of March 31, 2014, approximately 5.5 million shares of common stock that are either subject to outstanding options, reserved for future issuance under our equity incentive plans,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After this offering, the holders of approximately million shares of our common stock, or million including the shares underlying outstanding warrants, will be entitled to rights with respect to the registration of their shares under the Securities Act, subject to the vesting schedules and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receive only limited proceeds from this offering and will have broad discretion in the use of the net proceeds to us from this offering; we may not use the offering proceeds that we receive effectively.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receive only limited proceeds from this offering, as a portion of the proceeds will be paid to the selling stockholders. We will receive net proceeds</w:t>
      </w:r>
    </w:p>
    <w:p>
      <w:pPr>
        <w:spacing w:after="0" w:line="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of only $ million from this offering, after deducting the estimated underwriting discounts and commissions and estimated offering expenses payable by us.</w:t>
      </w:r>
    </w:p>
    <w:p>
      <w:pPr>
        <w:spacing w:after="0" w:line="5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management will have broad discretion in the application of the net proceeds to us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our management to apply these funds effectively could harm our business. Pending their use, we may invest the net proceeds to us from this offering in investment-grade, interest-bearing securities. These investments may not yield a favorable return to our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prospectus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3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timing of commencing our clinical studies and reporting results from same;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likelihood of regulatory approvals for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market opportunities for commercializing our product candidates;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initiation, timing, progress, and results of future preclinical studies and clinical studies, and our research and development programs;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and expansion of our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supply of our product candidates;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Any forward-looking statements in this prospectus reflect our current views with respect to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and elsewhere and incorporated by reference in this prospectus.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This prospectus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estimate that the net proceeds to us from the sale of $65.0 million of common stock offered by us in this offering will be approximately $60.6 million, based on an assumed public offering price of $47.49 per share, which is the last reported sale price of our common stock on The NASDAQ Global Select Market on June 20, 2014, after deducting the estimated underwriting discounts and commissions and estimated offering expenses payable by us. We will not receive any of the proceeds from any sale of shares in this offering by the selling stockholders.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intend to use the net proceeds to us of this offering, together with our existing cash, cash equivalents and short-term investments, for the following purposes:</w:t>
      </w:r>
    </w:p>
    <w:p>
      <w:pPr>
        <w:spacing w:after="0" w:line="51" w:lineRule="exact"/>
        <w:rPr>
          <w:sz w:val="20"/>
          <w:szCs w:val="20"/>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advancement of our clinical and preclinical pipeline, including potential new formulations of or indications for our existing product candidates or potential new product candidates;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investment in early-stage research capabilities and general infrastructure;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remainder for other ongoing research and development, working capital, and other general corporate purposes.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expected use of net proceeds to us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may also use a portion of the net proceeds to us to in-license, acquire, or invest in additional businesses, technologies, products, or assets. Although we have no specific agreements, commitments, or understandings with respect to any in-license or acquisition, we evaluate such opportunities and engage in related discussions with other companies from time to time. Due to the many variables inherent to the development of our product candidates, we cannot currently predict the stage of development we expect the net proceeds to us of this offering to achieve for our clinical studies and product candidates.</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amount and timing of our actual expenditures will depend upon numerous factors, including the results of our research and development efforts, the timing and success of preclinical studies, our ongoing clinical studies or clinical studies we may commence in the future and the timing of regulatory submissions. As a result, our management will have broad discretion over the use of the net proceeds to us from this offering.</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Pending the use of the proceeds to us from this offering, we intend to invest these proceeds in interest-bearing, investment-grade securities, certificates of deposit, or government securities.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estimate that, with our current operating plan, the proceeds from this offering, together with our existing cash, cash equivalents and short-term investments, will fund our activities through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common stock has been publicly traded on The NASDAQ Global Select Market under the symbol “RARE” since January 31, 2014. Prior to that time, there was no public market for our common stock. The following table sets forth the high and low sale prices per share for our common stock on The NASDAQ Global Select Market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3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First Quarter (beginning January 31, 2014)</w:t>
            </w:r>
          </w:p>
        </w:tc>
        <w:tc>
          <w:tcPr>
            <w:tcW w:w="4360" w:type="dxa"/>
            <w:vAlign w:val="bottom"/>
            <w:gridSpan w:val="3"/>
          </w:tcPr>
          <w:p>
            <w:pPr>
              <w:jc w:val="center"/>
              <w:ind w:left="2932"/>
              <w:spacing w:after="0"/>
              <w:rPr>
                <w:sz w:val="20"/>
                <w:szCs w:val="20"/>
                <w:color w:val="auto"/>
              </w:rPr>
            </w:pPr>
            <w:r>
              <w:rPr>
                <w:rFonts w:ascii="Arial" w:cs="Arial" w:eastAsia="Arial" w:hAnsi="Arial"/>
                <w:sz w:val="18"/>
                <w:szCs w:val="18"/>
                <w:color w:val="auto"/>
                <w:w w:val="90"/>
              </w:rPr>
              <w:t>$69.77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$35.15</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June 20, 2014)</w:t>
            </w:r>
          </w:p>
        </w:tc>
        <w:tc>
          <w:tcPr>
            <w:tcW w:w="4360" w:type="dxa"/>
            <w:vAlign w:val="bottom"/>
            <w:gridSpan w:val="3"/>
            <w:shd w:val="clear" w:color="auto" w:fill="CCEEFF"/>
          </w:tcPr>
          <w:p>
            <w:pPr>
              <w:jc w:val="center"/>
              <w:ind w:left="2932"/>
              <w:spacing w:after="0"/>
              <w:rPr>
                <w:sz w:val="20"/>
                <w:szCs w:val="20"/>
                <w:color w:val="auto"/>
              </w:rPr>
            </w:pPr>
            <w:r>
              <w:rPr>
                <w:rFonts w:ascii="Arial" w:cs="Arial" w:eastAsia="Arial" w:hAnsi="Arial"/>
                <w:sz w:val="18"/>
                <w:szCs w:val="18"/>
                <w:color w:val="auto"/>
                <w:w w:val="90"/>
              </w:rPr>
              <w:t>$60.00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$32.02</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On June 20, 2014, the last reported sale price of our common stock on The NASDAQ Global Select Market was $47.49 per share. As of June 20, 2014, we had approximately 67 holders of record of our common stock. This number does not include beneficial owners whose shares are held by nominees in street name.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never declared or paid cash dividends on our common stock. Although we have paid dividends to our holders of preferred stock in the past, including a $4.3 million cash dividend paid in February 2014 in connection with our initial public offering, all dividends were agreed to at the time of the private placement financings. We currently intend to retain all available funds and any future earnings, if any, to fund the development and expansion of our business, and we do not anticipate paying any cash dividends on our common stock in the foreseeable future. Any future determination to pay dividends will be made at the discretion of our board of directors or any authorized committee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March 31, 2014:</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an as-adjusted basis to reflect the issuance and sale by us approximately $65.0 million of our common stock in this offering at an assumed public offering price of $47.49 per share, which was the last reported sale price of our common stock on The NASDAQ Global Select Market on June 20, 2014, after deducting estimated underwriting discounts and commissions and estimated offering expenses payable by us.</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You should read this information together with our financial statements and related notes and the information under the captions “Selected Financial Data” and “Management’s Discussion and Analysis of Financial Condition and Results of Operations,” appearing in our 2013 Annual Report and March 2014 Quarterly Report, incorporated by reference in this prospectus. For more details on how you can obtain our Commission reports and other information, you should read the section of the prospectus entitled “Where You Can Find More Information.”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As of March 31, 2014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6"/>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and per share data)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226,037</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Preferred stock, par value $0.001 per share—25,000,000 shares authorized; no shares issued or outstanding, actual and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adjusted</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w w:val="89"/>
              </w:rPr>
              <w:t>Common stock, par value $0.001 per share—250,000,000 shares authorized; 30,049,650 shares issued and outstanding,</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actual; 250,000,000 shares authorized, 31,418,359 shares issued and outstanding, as adjusted</w:t>
            </w:r>
          </w:p>
        </w:tc>
        <w:tc>
          <w:tcPr>
            <w:tcW w:w="1620" w:type="dxa"/>
            <w:vAlign w:val="bottom"/>
            <w:gridSpan w:val="3"/>
          </w:tcPr>
          <w:p>
            <w:pPr>
              <w:jc w:val="right"/>
              <w:ind w:right="59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258,599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gridSpan w:val="3"/>
          </w:tcPr>
          <w:p>
            <w:pPr>
              <w:jc w:val="right"/>
              <w:ind w:right="5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(92,869)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165,714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capitalization</w:t>
            </w:r>
          </w:p>
        </w:tc>
        <w:tc>
          <w:tcPr>
            <w:tcW w:w="16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common stock issued and outstanding in the table above excludes the following shares as of March 31, 2014:</w:t>
      </w:r>
    </w:p>
    <w:p>
      <w:pPr>
        <w:spacing w:after="0" w:line="90" w:lineRule="exact"/>
        <w:rPr>
          <w:sz w:val="20"/>
          <w:szCs w:val="20"/>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2,396,323 shares of common stock issuable upon the exercise of outstanding stock options as of March 31, 2014 having a weighted-average exercise price of $6.35 per share;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353,459 shares of common stock issuable upon the exercise of outstanding warrants as of March 31, 2014 having a weighted-average exercise price of $3.01 per share;</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2,167,000 shares of common stock reserved for issuance pursuant to future equity awards under our 2014 Incentive Plan as of March 31, 2014, as well as any future increases in the number of shares of our common stock reserved for future issuance under this plan; and</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600,000 shares of common stock reserved for future issuance under our 2014 Employee Stock Purchase Plan, or 2014 ESPP, as well as any future increases in the number of shares of our common stock reserved for future issuance under the 2014 ESPP.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public offering price per share of our common stock and the as-adjusted net tangible book value per share of our common stock immediately after this offering.</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Net tangible book value per share is determined by dividing our total tangible assets less our total liabilities by the number of shares of common stock outstanding. Our historical net tangible book value as of March 31, 2014 was approximately $165.7 million, or $5.51 per share.</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shares of common stock in this offering and the as-adjusted net tangible book value per share of common stock immediately after completion of this offering. After giving effect to the sale of 1,368,709 shares of common stock in this offering by us at an assumed public offering price of $47.49 per share, which is the last reported sale price of our common stock on The NASDAQ Global Select Market on June 20, 2014, and after deducting the estimated underwriting discounts and commissions and estimated offering expenses payable by us, our as-adjusted net tangible book value as of March 31, 2014 would have been $226.4 million, or $7.20 per share. This represents an immediate increase in net tangible book value of $1.69 per share to existing stockholders and an immediate dilution of $40.29 per share to investors participating in this offering, as illustrated in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Historical net tangible book value per share as of March 31, 2014</w:t>
            </w:r>
          </w:p>
        </w:tc>
        <w:tc>
          <w:tcPr>
            <w:tcW w:w="2720" w:type="dxa"/>
            <w:vAlign w:val="bottom"/>
            <w:gridSpan w:val="3"/>
          </w:tcPr>
          <w:p>
            <w:pPr>
              <w:jc w:val="right"/>
              <w:ind w:right="420"/>
              <w:spacing w:after="0"/>
              <w:rPr>
                <w:sz w:val="20"/>
                <w:szCs w:val="20"/>
                <w:color w:val="auto"/>
              </w:rPr>
            </w:pPr>
            <w:r>
              <w:rPr>
                <w:rFonts w:ascii="Arial" w:cs="Arial" w:eastAsia="Arial" w:hAnsi="Arial"/>
                <w:sz w:val="18"/>
                <w:szCs w:val="18"/>
                <w:color w:val="auto"/>
              </w:rPr>
              <w:t>$5.51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as-adjusted net tangible book value per share attributable to new investors</w:t>
            </w:r>
          </w:p>
        </w:tc>
        <w:tc>
          <w:tcPr>
            <w:tcW w:w="18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As-adjusted net tangible book value per share after this offering</w:t>
            </w:r>
          </w:p>
        </w:tc>
        <w:tc>
          <w:tcPr>
            <w:tcW w:w="2720" w:type="dxa"/>
            <w:vAlign w:val="bottom"/>
            <w:gridSpan w:val="3"/>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calculations exclude the following shares as of March 31, 2014:</w:t>
      </w:r>
    </w:p>
    <w:p>
      <w:pPr>
        <w:spacing w:after="0" w:line="90" w:lineRule="exact"/>
        <w:rPr>
          <w:sz w:val="20"/>
          <w:szCs w:val="20"/>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2,396,323 shares of common stock issuable upon the exercise of outstanding stock options as of March 31, 2014 having a weighted-average exercise price of $6.35 per share;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353,459 shares of common stock issuable upon the exercise of outstanding warrants as of March 31, 2014 having a weighted-average exercise price of $3.01 per share;</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2,167,000 shares of common stock reserved for issuance pursuant to future equity awards under our 2014 Incentive Plan as of March 31, 2014, as well as any future increases in the number of shares of our common stock reserved for future issuance under this plan; and</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600,000 shares of common stock reserved for future issuance under our 2014 Employee Stock Purchase Plan, or 2014 ESPP, as well as any future increases in the number of shares of our common stock reserved for future issuance under the 2014 ESPP.</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securities or convertible debt securities in the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following is a description of transactions since January 1, 2010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Purchases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 Financing</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June 16, 2011, we sold an aggregate of 18,052,464 shares of our Series A convertible preferred stock to eight investors at a purchase price of $1.034 per share, for an aggregate purchase price of approximately $15.0 million in cash and $3.7 million in converted bridge notes. On July 16, 2012, we sold, pursuant to a second tranche closing, an aggregate of 14,604,895 shares of our Series A convertible preferred stock to six investors at a purchase price of $1.034 per share, for an aggregate purchase price of $15.1 million in cash. The table below sets forth the aggregate number of shares of Series A convertible preferred stock sold to our directors, executive officers or holders of more than 5% of our capital stock, or an immediate family member thereof, as applicable: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5860" w:type="dxa"/>
            <w:vAlign w:val="bottom"/>
            <w:vMerge w:val="restart"/>
          </w:tcPr>
          <w:p>
            <w:pPr>
              <w:spacing w:after="0"/>
              <w:rPr>
                <w:sz w:val="14"/>
                <w:szCs w:val="14"/>
                <w:color w:val="auto"/>
              </w:rPr>
            </w:pPr>
          </w:p>
        </w:tc>
        <w:tc>
          <w:tcPr>
            <w:tcW w:w="2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Number of Shares of Series A</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00" w:type="dxa"/>
            <w:vAlign w:val="bottom"/>
            <w:tcBorders>
              <w:bottom w:val="single" w:sz="8" w:color="auto"/>
            </w:tcBorders>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232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8"/>
              </w:rPr>
              <w:t>Convertible Preferred Stock</w:t>
            </w:r>
          </w:p>
        </w:tc>
        <w:tc>
          <w:tcPr>
            <w:tcW w:w="64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Emil D. Kakkis, M.D., Ph.D.</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1,814,944</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1,876,471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William Aliski</w:t>
            </w:r>
          </w:p>
        </w:tc>
        <w:tc>
          <w:tcPr>
            <w:tcW w:w="2320" w:type="dxa"/>
            <w:vAlign w:val="bottom"/>
            <w:gridSpan w:val="2"/>
          </w:tcPr>
          <w:p>
            <w:pPr>
              <w:jc w:val="right"/>
              <w:ind w:right="620"/>
              <w:spacing w:after="0"/>
              <w:rPr>
                <w:sz w:val="20"/>
                <w:szCs w:val="20"/>
                <w:color w:val="auto"/>
              </w:rPr>
            </w:pPr>
            <w:r>
              <w:rPr>
                <w:rFonts w:ascii="Arial" w:cs="Arial" w:eastAsia="Arial" w:hAnsi="Arial"/>
                <w:sz w:val="18"/>
                <w:szCs w:val="18"/>
                <w:color w:val="auto"/>
              </w:rPr>
              <w:t>247,049</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and Series A Convertible Preferred Stock Warrants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June 30, 2010, we entered into a Note and Warrant Purchase Agreement with Emil D. Kakkis, M.D., Ph.D. Pursuant to the Note and Warrant Purchase Agreement, we issued a convertible promissory note in the amount of $1.0 million to Dr. Kakkis and also issued him a warrant to purchase up to 241,803 shares of our Series A convertible preferred stock. Emil D. Kakkis, M.D., Ph.D. is our President and Chief Executive Officer and one of our directors.</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23, 2011, we entered into a Note and Warrant Purchase Agreement with William Aliski. Pursuant to the Note and Warrant Purchase Agreement, we issued a convertible promissory note in the amount of $250,000 to Mr. Aliski and also issued him a warrant to purchase up to 84,631 shares of our Series A convertible preferred stock. William Aliski is one of our directors.</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14, 2011, we entered into a Note and Warrant Purchase Agreement with Emil D. Kakkis, M.D., Ph.D. Pursuant to the Note and Warrant Purchase Agreement, we issued a convertible promissory note in the amount of $300,000 to Dr. Kakkis and also issued him a warrant to purchase up to 72,541 shares of our Series A convertible preferred stock.</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14, 2011, we entered into a second Note and Warrant Purchase Agreement with Emil D. Kakkis, M.D., Ph.D. Pursuant to the Note and Warrant Purchase Agreement, we issued a convertible promissory note in the amount of $500,000 to Dr. Kakkis and also issued him a warrant to purchase up to 120,901 shares of our Series A convertible preferred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 Financing</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On December 18, 2012, we sold an aggregate of 27,081,680 shares of our Series B convertible preferred stock to 34 investors at a purchase price of $2.769 per share, for an aggregate purchase price of approximately $75 million in cash. The table below sets forth the aggregate number of shares of Series B convertible preferred stock sold to our directors, executive officers or holders of more than 5% of our capital stock, or an immediate family member thereof, as applicable:</w:t>
      </w:r>
    </w:p>
    <w:tbl>
      <w:tblPr>
        <w:tblLayout w:type="fixed"/>
        <w:tblInd w:w="0" w:type="dxa"/>
        <w:tblCellMar>
          <w:top w:w="0" w:type="dxa"/>
          <w:left w:w="0" w:type="dxa"/>
          <w:bottom w:w="0" w:type="dxa"/>
          <w:right w:w="0" w:type="dxa"/>
        </w:tblCellMar>
      </w:tblPr>
      <w:tr>
        <w:trPr>
          <w:trHeight w:val="15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5780" w:type="dxa"/>
            <w:vAlign w:val="bottom"/>
            <w:vMerge w:val="restart"/>
          </w:tcPr>
          <w:p>
            <w:pPr>
              <w:spacing w:after="0"/>
              <w:rPr>
                <w:sz w:val="13"/>
                <w:szCs w:val="13"/>
                <w:color w:val="auto"/>
              </w:rPr>
            </w:pPr>
          </w:p>
        </w:tc>
        <w:tc>
          <w:tcPr>
            <w:tcW w:w="17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84"/>
              </w:rPr>
              <w:t>Number of Shares of Series B</w:t>
            </w: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00" w:type="dxa"/>
            <w:vAlign w:val="bottom"/>
            <w:tcBorders>
              <w:bottom w:val="single" w:sz="8" w:color="auto"/>
            </w:tcBorders>
            <w:vMerge w:val="continue"/>
          </w:tcPr>
          <w:p>
            <w:pPr>
              <w:spacing w:after="0"/>
              <w:rPr>
                <w:sz w:val="14"/>
                <w:szCs w:val="14"/>
                <w:color w:val="auto"/>
              </w:rPr>
            </w:pPr>
          </w:p>
        </w:tc>
        <w:tc>
          <w:tcPr>
            <w:tcW w:w="5780" w:type="dxa"/>
            <w:vAlign w:val="bottom"/>
            <w:vMerge w:val="continue"/>
          </w:tcPr>
          <w:p>
            <w:pPr>
              <w:spacing w:after="0"/>
              <w:rPr>
                <w:sz w:val="14"/>
                <w:szCs w:val="14"/>
                <w:color w:val="auto"/>
              </w:rPr>
            </w:pPr>
          </w:p>
        </w:tc>
        <w:tc>
          <w:tcPr>
            <w:tcW w:w="17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9"/>
              </w:rPr>
              <w:t>Convertible Preferred Stock</w:t>
            </w:r>
          </w:p>
        </w:tc>
        <w:tc>
          <w:tcPr>
            <w:tcW w:w="134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2"/>
              </w:rPr>
              <w:t>Total Purchase Price</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TPG Biotechnology Partners III, L.P.</w:t>
            </w: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541,634</w:t>
            </w:r>
          </w:p>
        </w:tc>
        <w:tc>
          <w:tcPr>
            <w:tcW w:w="1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Beacon Bioventures Fund II Limited Partnership</w:t>
            </w:r>
          </w:p>
        </w:tc>
        <w:tc>
          <w:tcPr>
            <w:tcW w:w="1700" w:type="dxa"/>
            <w:vAlign w:val="bottom"/>
          </w:tcPr>
          <w:p>
            <w:pPr>
              <w:jc w:val="right"/>
              <w:spacing w:after="0"/>
              <w:rPr>
                <w:sz w:val="20"/>
                <w:szCs w:val="20"/>
                <w:color w:val="auto"/>
              </w:rPr>
            </w:pPr>
            <w:r>
              <w:rPr>
                <w:rFonts w:ascii="Arial" w:cs="Arial" w:eastAsia="Arial" w:hAnsi="Arial"/>
                <w:sz w:val="18"/>
                <w:szCs w:val="18"/>
                <w:color w:val="auto"/>
              </w:rPr>
              <w:t>541,634</w:t>
            </w:r>
          </w:p>
        </w:tc>
        <w:tc>
          <w:tcPr>
            <w:tcW w:w="16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HealthCap VI L.P.</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481,452</w:t>
            </w:r>
          </w:p>
        </w:tc>
        <w:tc>
          <w:tcPr>
            <w:tcW w:w="16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Entities affiliated with A.M. Pappas Life Science Ventures IV, L.P.</w:t>
            </w:r>
          </w:p>
        </w:tc>
        <w:tc>
          <w:tcPr>
            <w:tcW w:w="1700" w:type="dxa"/>
            <w:vAlign w:val="bottom"/>
          </w:tcPr>
          <w:p>
            <w:pPr>
              <w:jc w:val="right"/>
              <w:spacing w:after="0"/>
              <w:rPr>
                <w:sz w:val="20"/>
                <w:szCs w:val="20"/>
                <w:color w:val="auto"/>
              </w:rPr>
            </w:pPr>
            <w:r>
              <w:rPr>
                <w:rFonts w:ascii="Arial" w:cs="Arial" w:eastAsia="Arial" w:hAnsi="Arial"/>
                <w:sz w:val="18"/>
                <w:szCs w:val="18"/>
                <w:color w:val="auto"/>
              </w:rPr>
              <w:t>240,727</w:t>
            </w:r>
          </w:p>
        </w:tc>
        <w:tc>
          <w:tcPr>
            <w:tcW w:w="16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666,669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 in our Initial Public Offering</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connection with our initial public offering, or IPO, the underwriters allocated shares of our common stock in the offering to certain of our greater than 5% holders on the same terms as the other shares that were offered and sold in our IPO. These allocations included allocations of 240,000 shares to Adage Capital Partners, L.P. and 175,000 shares to Beacon Bioventures Fund II Limited Partnership. All of these shares were sold at $21.00, which was the price at which our common stock was sold in the IPO.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certain of our stockholders have entered into an investor rights agreement pursuant to which these stockholders have, among other things, registration rights under the Securities Act of 1933, as amended, with respect to common stock that they hold. See “Description of Capital Stock — Registration Rights” for a further description of the terms of this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Related Party Transactions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have adopted a related person transaction approval policy that governs the review, approval and/or ratification of related person transactions. Pursuant to this policy, if we want to enter into a transaction with a related person or an affiliate or immediate family member of a related person, our Chief Financial Officer will review the proposed transaction to determine, based on applicable NASDAQ and SEC rules, if such transaction qualifies as a related person transaction. If the Chief Financial Officer determines that the proposed transaction is a related person transaction, then the proposed transaction shall be submitted to the Audit Committee for pre-approval at the next regular or special Audit Committee meeting; if the Chief Financial Officer, in consultation with the Chief Executive Officer, determines that it is not practicable to wait until the next meeting of the Audit Committee, then the Chief Financial Officer shall submit the proposed transaction to the chairperson of the Audit Committee. In the event that our Chief Executive Officer or Chief Financial Officer becomes aware of a related person transaction that has not been previously approved or previously ratified under our related person transaction approval policy, the transaction, if pending or ongoing, will be promptly submitted to the Audit Committee or the chairperson of the Audit Committee for consideration. If the transaction is already completed, the Audit Committee or the chairperson of the Audit Committee shall evaluate the transaction to determine if rescission of the transaction and/or any disciplinary action is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PRINCIPAL AND SELLING STOCKHOLDERS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June 20, 2014 by:</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directors and executive officers as a group;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number of shares beneficially owned by each entity, person, director, executive officer or selling stockholder is determined in accordance with the rules of the SEC and the information is not necessarily indicative of beneficial ownership for any other purpose. Under such rules, beneficial ownership includes any shares over which the individual or entity has sole or shared voting power or investment power as well as any shares that the individual or entity has the right to acquire within 60 days of June 20,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 or entity.</w:t>
      </w:r>
    </w:p>
    <w:p>
      <w:pPr>
        <w:spacing w:after="0" w:line="6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percentage of shares beneficially owned is computed on the basis of 30,059,288 shares of our common stock outstanding as of June 20, 2014. Shares of our common stock that a person or entity has the right to acquire within 60 days of June 20, 2014 are deemed outstanding for purposes of computing the percentage ownership of the person or entity holding such rights, but are not deemed outstanding for purposes of computing the percentage ownership of any other person or entity, except with respect to the percentage ownership of all directors and executive officers as a group. Unless otherwise indicated below, the address for each beneficial owner listed is c/o Ultragenyx Pharmaceutical Inc., at 60 Leveroni Court, Novato, California 94949.</w:t>
      </w:r>
    </w:p>
    <w:p>
      <w:pPr>
        <w:spacing w:after="0" w:line="3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in the table below with respect to each selling stockholder has been obtained from that selling stockholder. When we refer to the “selling stockholder” in this prospectus, we mean those persons listed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table below as offering shares, as well as the pledgees, donees, assignees, transferees, successors and others who may hold any of the selling stockholders’ interest.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tcPr>
          <w:p>
            <w:pPr>
              <w:jc w:val="center"/>
              <w:ind w:left="92"/>
              <w:spacing w:after="0" w:line="149" w:lineRule="exact"/>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gridSpan w:val="3"/>
          </w:tcPr>
          <w:p>
            <w:pPr>
              <w:jc w:val="center"/>
              <w:ind w:left="92"/>
              <w:spacing w:after="0" w:line="149" w:lineRule="exact"/>
              <w:rPr>
                <w:sz w:val="20"/>
                <w:szCs w:val="20"/>
                <w:color w:val="auto"/>
              </w:rPr>
            </w:pPr>
            <w:r>
              <w:rPr>
                <w:rFonts w:ascii="Arial" w:cs="Arial" w:eastAsia="Arial" w:hAnsi="Arial"/>
                <w:sz w:val="14"/>
                <w:szCs w:val="14"/>
                <w:b w:val="1"/>
                <w:bCs w:val="1"/>
                <w:color w:val="auto"/>
                <w:w w:val="85"/>
              </w:rPr>
              <w:t>Assuming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0" w:type="dxa"/>
            <w:vAlign w:val="bottom"/>
            <w:gridSpan w:val="3"/>
          </w:tcPr>
          <w:p>
            <w:pPr>
              <w:jc w:val="center"/>
              <w:ind w:left="258"/>
              <w:spacing w:after="0" w:line="149" w:lineRule="exact"/>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to be Sold if</w:t>
            </w:r>
          </w:p>
        </w:tc>
        <w:tc>
          <w:tcPr>
            <w:tcW w:w="940" w:type="dxa"/>
            <w:vAlign w:val="bottom"/>
            <w:gridSpan w:val="3"/>
          </w:tcPr>
          <w:p>
            <w:pPr>
              <w:jc w:val="center"/>
              <w:ind w:left="92"/>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0" w:type="dxa"/>
            <w:vAlign w:val="bottom"/>
            <w:gridSpan w:val="3"/>
          </w:tcPr>
          <w:p>
            <w:pPr>
              <w:jc w:val="center"/>
              <w:ind w:left="238"/>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940" w:type="dxa"/>
            <w:vAlign w:val="bottom"/>
            <w:gridSpan w:val="3"/>
          </w:tcPr>
          <w:p>
            <w:pPr>
              <w:jc w:val="center"/>
              <w:ind w:left="112"/>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0" w:type="dxa"/>
            <w:vAlign w:val="bottom"/>
            <w:gridSpan w:val="3"/>
          </w:tcPr>
          <w:p>
            <w:pPr>
              <w:jc w:val="center"/>
              <w:ind w:left="258"/>
              <w:spacing w:after="0" w:line="149" w:lineRule="exact"/>
              <w:rPr>
                <w:sz w:val="20"/>
                <w:szCs w:val="20"/>
                <w:color w:val="auto"/>
              </w:rPr>
            </w:pPr>
            <w:r>
              <w:rPr>
                <w:rFonts w:ascii="Arial" w:cs="Arial" w:eastAsia="Arial" w:hAnsi="Arial"/>
                <w:sz w:val="14"/>
                <w:szCs w:val="14"/>
                <w:b w:val="1"/>
                <w:bCs w:val="1"/>
                <w:color w:val="auto"/>
                <w:w w:val="86"/>
              </w:rPr>
              <w:t>Owned Before</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 be</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3"/>
          </w:tcPr>
          <w:p>
            <w:pPr>
              <w:jc w:val="center"/>
              <w:ind w:left="92"/>
              <w:spacing w:after="0" w:line="149" w:lineRule="exact"/>
              <w:rPr>
                <w:sz w:val="20"/>
                <w:szCs w:val="20"/>
                <w:color w:val="auto"/>
              </w:rPr>
            </w:pPr>
            <w:r>
              <w:rPr>
                <w:rFonts w:ascii="Arial" w:cs="Arial" w:eastAsia="Arial" w:hAnsi="Arial"/>
                <w:sz w:val="14"/>
                <w:szCs w:val="14"/>
                <w:b w:val="1"/>
                <w:bCs w:val="1"/>
                <w:color w:val="auto"/>
                <w:w w:val="87"/>
              </w:rPr>
              <w:t>Option in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340" w:type="dxa"/>
            <w:vAlign w:val="bottom"/>
            <w:vMerge w:val="restart"/>
          </w:tcPr>
          <w:p>
            <w:pPr>
              <w:spacing w:after="0"/>
              <w:rPr>
                <w:sz w:val="14"/>
                <w:szCs w:val="14"/>
                <w:color w:val="auto"/>
              </w:rPr>
            </w:pPr>
          </w:p>
        </w:tc>
        <w:tc>
          <w:tcPr>
            <w:tcW w:w="120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b w:val="1"/>
                <w:bCs w:val="1"/>
                <w:color w:val="auto"/>
                <w:w w:val="91"/>
              </w:rPr>
              <w:t>Offering</w:t>
            </w:r>
          </w:p>
        </w:tc>
        <w:tc>
          <w:tcPr>
            <w:tcW w:w="3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Sold in</w:t>
            </w:r>
          </w:p>
        </w:tc>
        <w:tc>
          <w:tcPr>
            <w:tcW w:w="82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Borders>
              <w:bottom w:val="single" w:sz="8" w:color="auto"/>
            </w:tcBorders>
          </w:tcPr>
          <w:p>
            <w:pPr>
              <w:spacing w:after="0"/>
              <w:rPr>
                <w:sz w:val="14"/>
                <w:szCs w:val="14"/>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Option in</w:t>
            </w:r>
          </w:p>
        </w:tc>
        <w:tc>
          <w:tcPr>
            <w:tcW w:w="940" w:type="dxa"/>
            <w:vAlign w:val="bottom"/>
            <w:tcBorders>
              <w:bottom w:val="single" w:sz="8" w:color="auto"/>
            </w:tcBorders>
            <w:gridSpan w:val="3"/>
          </w:tcPr>
          <w:p>
            <w:pPr>
              <w:jc w:val="center"/>
              <w:ind w:left="92"/>
              <w:spacing w:after="0"/>
              <w:rPr>
                <w:sz w:val="20"/>
                <w:szCs w:val="20"/>
                <w:color w:val="auto"/>
              </w:rPr>
            </w:pPr>
            <w:r>
              <w:rPr>
                <w:rFonts w:ascii="Arial" w:cs="Arial" w:eastAsia="Arial" w:hAnsi="Arial"/>
                <w:sz w:val="14"/>
                <w:szCs w:val="14"/>
                <w:b w:val="1"/>
                <w:bCs w:val="1"/>
                <w:color w:val="auto"/>
                <w:w w:val="88"/>
              </w:rPr>
              <w:t>Full</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120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8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Offering</w:t>
            </w:r>
          </w:p>
        </w:tc>
        <w:tc>
          <w:tcPr>
            <w:tcW w:w="820" w:type="dxa"/>
            <w:vAlign w:val="bottom"/>
          </w:tcPr>
          <w:p>
            <w:pPr>
              <w:spacing w:after="0" w:line="12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w:t>
            </w:r>
          </w:p>
        </w:tc>
        <w:tc>
          <w:tcPr>
            <w:tcW w:w="14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6"/>
              </w:rPr>
              <w:t>Full</w:t>
            </w:r>
          </w:p>
        </w:tc>
        <w:tc>
          <w:tcPr>
            <w:tcW w:w="9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90"/>
        </w:trPr>
        <w:tc>
          <w:tcPr>
            <w:tcW w:w="4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Owning Greater than 5%:</w:t>
            </w:r>
          </w:p>
        </w:tc>
        <w:tc>
          <w:tcPr>
            <w:tcW w:w="7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TPG Biotechnology Partners III, L.P.</w:t>
            </w:r>
            <w:r>
              <w:rPr>
                <w:rFonts w:ascii="Arial" w:cs="Arial" w:eastAsia="Arial" w:hAnsi="Arial"/>
                <w:sz w:val="11"/>
                <w:szCs w:val="11"/>
                <w:color w:val="auto"/>
              </w:rPr>
              <w:t>(1)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3,085,240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10.3%</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Beacon Bioventures Fund II Limited Partnership</w:t>
            </w:r>
            <w:r>
              <w:rPr>
                <w:rFonts w:ascii="Arial" w:cs="Arial" w:eastAsia="Arial" w:hAnsi="Arial"/>
                <w:sz w:val="11"/>
                <w:szCs w:val="11"/>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3,260,240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HealthCap VI, L.P.</w:t>
            </w:r>
            <w:r>
              <w:rPr>
                <w:rFonts w:ascii="Arial" w:cs="Arial" w:eastAsia="Arial" w:hAnsi="Arial"/>
                <w:sz w:val="11"/>
                <w:szCs w:val="11"/>
                <w:color w:val="auto"/>
              </w:rPr>
              <w:t>(3)</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2,742,436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Adage Capital Partners, L.P.</w:t>
            </w:r>
            <w:r>
              <w:rPr>
                <w:rFonts w:ascii="Arial" w:cs="Arial" w:eastAsia="Arial" w:hAnsi="Arial"/>
                <w:sz w:val="11"/>
                <w:szCs w:val="11"/>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1,867,713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Eran Nadav, Ph.D.</w:t>
            </w:r>
            <w:r>
              <w:rPr>
                <w:rFonts w:ascii="Arial" w:cs="Arial" w:eastAsia="Arial" w:hAnsi="Arial"/>
                <w:sz w:val="11"/>
                <w:szCs w:val="11"/>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Mårten Steen, M.D., Ph.D.</w:t>
            </w:r>
            <w:r>
              <w:rPr>
                <w:rFonts w:ascii="Arial" w:cs="Arial" w:eastAsia="Arial" w:hAnsi="Arial"/>
                <w:sz w:val="11"/>
                <w:szCs w:val="11"/>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rPr>
              <w:t>2,917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Aliski</w:t>
            </w:r>
            <w:r>
              <w:rPr>
                <w:rFonts w:ascii="Arial" w:cs="Arial" w:eastAsia="Arial" w:hAnsi="Arial"/>
                <w:sz w:val="11"/>
                <w:szCs w:val="11"/>
                <w:color w:val="auto"/>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Matthew K. Fust</w:t>
            </w:r>
            <w:r>
              <w:rPr>
                <w:rFonts w:ascii="Arial" w:cs="Arial" w:eastAsia="Arial" w:hAnsi="Arial"/>
                <w:sz w:val="11"/>
                <w:szCs w:val="11"/>
                <w:color w:val="auto"/>
              </w:rPr>
              <w:t>(8)</w:t>
            </w:r>
          </w:p>
        </w:tc>
        <w:tc>
          <w:tcPr>
            <w:tcW w:w="740" w:type="dxa"/>
            <w:vAlign w:val="bottom"/>
          </w:tcPr>
          <w:p>
            <w:pPr>
              <w:jc w:val="right"/>
              <w:spacing w:after="0"/>
              <w:rPr>
                <w:sz w:val="20"/>
                <w:szCs w:val="20"/>
                <w:color w:val="auto"/>
              </w:rPr>
            </w:pPr>
            <w:r>
              <w:rPr>
                <w:rFonts w:ascii="Arial" w:cs="Arial" w:eastAsia="Arial" w:hAnsi="Arial"/>
                <w:sz w:val="18"/>
                <w:szCs w:val="18"/>
                <w:color w:val="auto"/>
              </w:rPr>
              <w:t>7,917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 B. Siegall, Ph.D.</w:t>
            </w:r>
            <w:r>
              <w:rPr>
                <w:rFonts w:ascii="Arial" w:cs="Arial" w:eastAsia="Arial" w:hAnsi="Arial"/>
                <w:sz w:val="11"/>
                <w:szCs w:val="11"/>
                <w:color w:val="auto"/>
              </w:rPr>
              <w:t>(9)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Emil D. Kakkis, M.D., Ph.D</w:t>
            </w:r>
            <w:r>
              <w:rPr>
                <w:rFonts w:ascii="Arial" w:cs="Arial" w:eastAsia="Arial" w:hAnsi="Arial"/>
                <w:sz w:val="11"/>
                <w:szCs w:val="11"/>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3,326,181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11.0%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Kassberg</w:t>
            </w:r>
            <w:r>
              <w:rPr>
                <w:rFonts w:ascii="Arial" w:cs="Arial" w:eastAsia="Arial" w:hAnsi="Arial"/>
                <w:sz w:val="11"/>
                <w:szCs w:val="11"/>
                <w:color w:val="auto"/>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172,230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Shalini Sharp</w:t>
            </w:r>
            <w:r>
              <w:rPr>
                <w:rFonts w:ascii="Arial" w:cs="Arial" w:eastAsia="Arial" w:hAnsi="Arial"/>
                <w:sz w:val="11"/>
                <w:szCs w:val="11"/>
                <w:color w:val="auto"/>
              </w:rPr>
              <w:t>(12)</w:t>
            </w:r>
          </w:p>
        </w:tc>
        <w:tc>
          <w:tcPr>
            <w:tcW w:w="740" w:type="dxa"/>
            <w:vAlign w:val="bottom"/>
          </w:tcPr>
          <w:p>
            <w:pPr>
              <w:jc w:val="right"/>
              <w:spacing w:after="0"/>
              <w:rPr>
                <w:sz w:val="20"/>
                <w:szCs w:val="20"/>
                <w:color w:val="auto"/>
              </w:rPr>
            </w:pPr>
            <w:r>
              <w:rPr>
                <w:rFonts w:ascii="Arial" w:cs="Arial" w:eastAsia="Arial" w:hAnsi="Arial"/>
                <w:sz w:val="18"/>
                <w:szCs w:val="18"/>
                <w:color w:val="auto"/>
              </w:rPr>
              <w:t>108,184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r>
              <w:rPr>
                <w:rFonts w:ascii="Arial" w:cs="Arial" w:eastAsia="Arial" w:hAnsi="Arial"/>
                <w:sz w:val="11"/>
                <w:szCs w:val="11"/>
                <w:color w:val="auto"/>
              </w:rPr>
              <w:t>(13)</w:t>
            </w:r>
            <w:r>
              <w:rPr>
                <w:rFonts w:ascii="Arial" w:cs="Arial" w:eastAsia="Arial" w:hAnsi="Arial"/>
                <w:sz w:val="18"/>
                <w:szCs w:val="18"/>
                <w:color w:val="auto"/>
              </w:rPr>
              <w:t xml:space="preserve"> (8 persons)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3,692,191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common stock.</w:t>
      </w:r>
    </w:p>
    <w:p>
      <w:pPr>
        <w:spacing w:after="0" w:line="90" w:lineRule="exact"/>
        <w:rPr>
          <w:sz w:val="20"/>
          <w:szCs w:val="20"/>
          <w:color w:val="auto"/>
        </w:rPr>
      </w:pPr>
    </w:p>
    <w:p>
      <w:pPr>
        <w:jc w:val="both"/>
        <w:ind w:left="460" w:hanging="452"/>
        <w:spacing w:after="0" w:line="309"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information set forth in a Form 4 filed with the SEC by TPG Group Holdings (SBS) Advisors, Inc. on February 7, 2014. TPG Biotechnology Partners III, L.P. is a Delaware limited partnership, whose general partner is TPG Biotechnology GenPar III, L.P., a Delaware limited partnership, whose general partner is TPG Biotechnology GenPar III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or Group Advisors, a Delaware corporation. Messrs. David Bonderman and James G. Coulter are officers and sole shareholders of Group Advisors and may therefore be deemed to be the beneficial owners of the shares held by TPG Biotechnology Partners III, L.P. Each of Messrs. Bonderman and Coulter and TPG Biotechnology Partners III, L.P. expressly disclaims beneficial ownership of the securities listed above except to the extent of any pecuniary interest therein. The address for Messrs. Bonderman and Coulter and TPG Biotechnology Partners III, L.P. is c/o TPG Global, LLC, 301 Commerce Street, Suite 3300, Fort Worth, TX 76102.</w:t>
      </w:r>
    </w:p>
    <w:p>
      <w:pPr>
        <w:spacing w:after="0" w:line="27" w:lineRule="exact"/>
        <w:rPr>
          <w:rFonts w:ascii="Arial" w:cs="Arial" w:eastAsia="Arial" w:hAnsi="Arial"/>
          <w:sz w:val="15"/>
          <w:szCs w:val="15"/>
          <w:color w:val="auto"/>
        </w:rPr>
      </w:pPr>
    </w:p>
    <w:p>
      <w:pPr>
        <w:jc w:val="both"/>
        <w:ind w:left="46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 by FMR LLC on February 14, 2014. Beacon Bioventures Advisors Fund II Limited Partnership is the general partner of Beacon Bioventures Fund II Limited Partnership. Beacon Bioventures Advisors Fund II Limited Partnership is solely managed by Northern Neck Investors LLC, its general partner and investment manager. Northern Neck Investors LLC is owned by the shareholders and certain employees of FMR LLC, including certain members of the family of Edward C. Johnson 3d. 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Each of the individuals and entities listed above expressly disclaims beneficial ownership of the securities listed above except to the extent of any pecuniary interest therein. The address for each of the individuals and entities listed above is 82 Devonshire Street, Boston, Massachusetts 02109.</w:t>
      </w:r>
    </w:p>
    <w:p>
      <w:pPr>
        <w:spacing w:after="0" w:line="62" w:lineRule="exact"/>
        <w:rPr>
          <w:sz w:val="20"/>
          <w:szCs w:val="20"/>
          <w:color w:val="auto"/>
        </w:rPr>
      </w:pPr>
    </w:p>
    <w:p>
      <w:pPr>
        <w:jc w:val="both"/>
        <w:ind w:left="4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HealthCap VI GP SA, L.L.C. (“</w:t>
      </w:r>
      <w:r>
        <w:rPr>
          <w:rFonts w:ascii="Arial" w:cs="Arial" w:eastAsia="Arial" w:hAnsi="Arial"/>
          <w:sz w:val="18"/>
          <w:szCs w:val="18"/>
          <w:b w:val="1"/>
          <w:bCs w:val="1"/>
          <w:i w:val="1"/>
          <w:iCs w:val="1"/>
          <w:color w:val="auto"/>
        </w:rPr>
        <w:t>HCSA</w:t>
      </w:r>
      <w:r>
        <w:rPr>
          <w:rFonts w:ascii="Arial" w:cs="Arial" w:eastAsia="Arial" w:hAnsi="Arial"/>
          <w:sz w:val="18"/>
          <w:szCs w:val="18"/>
          <w:color w:val="auto"/>
        </w:rPr>
        <w:t>”) is the sole general partner of HealthCap VI, L.P. HCSA has voting and dispositive power over the shares held by HealthCap VI, L.P. HCSA disclaims beneficial ownership of such shares, except to the extent of its pecuniary interest therein. Francois Kaiser, Dag Richter, and Daniel Schafer, the members of the board of HCSA, share voting and dispositive power over the shares held by HealthCap VI, L.P. and may be deemed to have indirect beneficial ownership of the shares held by such entities. The members of the board of HCSA disclaim beneficial ownership of shares held by HealthCap VI, L.P. except to the extent of any pecuniary interest therein. The address of HealthCap VI, L.P. is c/o HealthCap VI GP SA, 18, Avenue d Ouchy, 1006 Lausanne, Switzerland.</w:t>
      </w:r>
    </w:p>
    <w:p>
      <w:pPr>
        <w:spacing w:after="0" w:line="63"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Adage Capital Partners, GP, LLC (“</w:t>
      </w:r>
      <w:r>
        <w:rPr>
          <w:rFonts w:ascii="Arial" w:cs="Arial" w:eastAsia="Arial" w:hAnsi="Arial"/>
          <w:sz w:val="16"/>
          <w:szCs w:val="16"/>
          <w:b w:val="1"/>
          <w:bCs w:val="1"/>
          <w:i w:val="1"/>
          <w:iCs w:val="1"/>
          <w:color w:val="auto"/>
        </w:rPr>
        <w:t>ACPGP</w:t>
      </w:r>
      <w:r>
        <w:rPr>
          <w:rFonts w:ascii="Arial" w:cs="Arial" w:eastAsia="Arial" w:hAnsi="Arial"/>
          <w:sz w:val="16"/>
          <w:szCs w:val="16"/>
          <w:color w:val="auto"/>
        </w:rPr>
        <w:t>”), serves as the general partner of Adage Capital Partners, L.P., a Delaware limited partnership (the “</w:t>
      </w:r>
      <w:r>
        <w:rPr>
          <w:rFonts w:ascii="Arial" w:cs="Arial" w:eastAsia="Arial" w:hAnsi="Arial"/>
          <w:sz w:val="16"/>
          <w:szCs w:val="16"/>
          <w:b w:val="1"/>
          <w:bCs w:val="1"/>
          <w:i w:val="1"/>
          <w:iCs w:val="1"/>
          <w:color w:val="auto"/>
        </w:rPr>
        <w:t>Fund</w:t>
      </w:r>
      <w:r>
        <w:rPr>
          <w:rFonts w:ascii="Arial" w:cs="Arial" w:eastAsia="Arial" w:hAnsi="Arial"/>
          <w:sz w:val="16"/>
          <w:szCs w:val="16"/>
          <w:color w:val="auto"/>
        </w:rPr>
        <w:t>”) and as such has discretion over the portfolio of securities beneficially owned by the Fund. Adage Capital Advisors, LLC, a Delaware limited liability company (“</w:t>
      </w:r>
      <w:r>
        <w:rPr>
          <w:rFonts w:ascii="Arial" w:cs="Arial" w:eastAsia="Arial" w:hAnsi="Arial"/>
          <w:sz w:val="16"/>
          <w:szCs w:val="16"/>
          <w:b w:val="1"/>
          <w:bCs w:val="1"/>
          <w:i w:val="1"/>
          <w:iCs w:val="1"/>
          <w:color w:val="auto"/>
        </w:rPr>
        <w:t>ACA</w:t>
      </w:r>
      <w:r>
        <w:rPr>
          <w:rFonts w:ascii="Arial" w:cs="Arial" w:eastAsia="Arial" w:hAnsi="Arial"/>
          <w:sz w:val="16"/>
          <w:szCs w:val="16"/>
          <w:color w:val="auto"/>
        </w:rPr>
        <w:t>”),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 The address of Adage Capital Partners, L.P. is 200 Clarendon Street, 52</w:t>
      </w:r>
      <w:r>
        <w:rPr>
          <w:rFonts w:ascii="Arial" w:cs="Arial" w:eastAsia="Arial" w:hAnsi="Arial"/>
          <w:sz w:val="10"/>
          <w:szCs w:val="10"/>
          <w:color w:val="auto"/>
        </w:rPr>
        <w:t>nd</w:t>
      </w:r>
      <w:r>
        <w:rPr>
          <w:rFonts w:ascii="Arial" w:cs="Arial" w:eastAsia="Arial" w:hAnsi="Arial"/>
          <w:sz w:val="16"/>
          <w:szCs w:val="16"/>
          <w:color w:val="auto"/>
        </w:rPr>
        <w:t xml:space="preserve"> Floor, Boston, MA 02116.</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2,917 shares of common stock issuable pursuant to stock options exercisable within 60 days of June 20, 2014.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2,917 shares of common stock issuable pursuant to stock options exercisable within 60 days of June 20, 2014.</w:t>
      </w:r>
    </w:p>
    <w:p>
      <w:pPr>
        <w:spacing w:after="0" w:line="9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 36,903 shares of common stock, (b) 29,108 shares of common stock that may be acquired pursuant to the exercise of a warrant held by Mr. Aliski and (c) 2,917 shares of common stock issuable pursuant to stock options exercisable within 60 days of June 20, 2014.</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5,000 shares of common stock and (b) 2,917 shares of common stock issuable pursuant to stock options exercisable within 60 days of June 20, 2014.</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2,917 shares of common stock issuable pursuant to stock options exercisable within 60 days of June 20, 2014.</w:t>
      </w:r>
    </w:p>
    <w:p>
      <w:pPr>
        <w:spacing w:after="0" w:line="90"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(a) 2,552,241 shares of common stock held by the Emil Kakkis and Jenny Soriano Living Trust, dated June 18, 2009, (b) 624,240 shares of common stock held by Dr. Kakkis and (c) 149,700 shares of common stock that may be acquired pursuant to the exercise of warrants held by Dr. Kakkis. Dr. Kakkis shares voting and dispositive power over the 2,552,241 shares of common stock held by the Emil Kakkis and Jenny Soriano Living Trust, dated June 18, 2009; each of Dr. Kakkis and Dr. Soriano is a trustee of such trust. Dr. Kakkis has sole voting and dispositive power over the 624,240 shares of common stock held by him and the 149,700 shares of common stock that may be acquired pursuant to the exercise of warrants held by Dr. Kakkis.</w:t>
      </w:r>
    </w:p>
    <w:p>
      <w:pPr>
        <w:spacing w:after="0" w:line="3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125,804 shares of common stock and (b) 46,426 shares of common stock issuable pursuant to stock options exercisable within 60 days of June 20, 2014.</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84,255 shares of common stock and (b) 23,929 shares of common stock issuable pursuant to stock options exercisable within 60 days of June 20, 2014.</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(a) 3,428,443 shares held by our directors and officers and entities affiliated with certain of our directors, (b) 178,808 shares of common stock that may be acquired pursuant to the exercise of warrants by certain of our directors and officers, and (c) 84,940 shares of common stock issuable pursuant to stock options exercisable within 60 days of June 20, 2014 held by our directors and officers.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authorized capital stock consists of 250,000,000 shares of common stock, par value $0.001 per share, and 25,000,000 shares of preferred stock, par value $0.001 per share. The following description of our capital stock is intended as a summary only and is qualified in its entirety by reference to our amended and restated certificate of incorporation, and amended and restated by-laws, copies of which are incorporated by reference as exhibits to the registration statement, of which this prospectus forms a part, and to the applicable provisions of the Delaware General Corporation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2014, there were 30,049,650 shares of our common stock outstanding, held of record by approximately 65 stockholders. Based on shares</w:t>
      </w:r>
    </w:p>
    <w:p>
      <w:pPr>
        <w:spacing w:after="0" w:line="38" w:lineRule="exact"/>
        <w:rPr>
          <w:sz w:val="20"/>
          <w:szCs w:val="20"/>
          <w:color w:val="auto"/>
        </w:rPr>
      </w:pPr>
    </w:p>
    <w:p>
      <w:pPr>
        <w:spacing w:after="0"/>
        <w:tabs>
          <w:tab w:leader="none" w:pos="6420" w:val="left"/>
        </w:tabs>
        <w:rPr>
          <w:sz w:val="20"/>
          <w:szCs w:val="20"/>
          <w:color w:val="auto"/>
        </w:rPr>
      </w:pPr>
      <w:r>
        <w:rPr>
          <w:rFonts w:ascii="Arial" w:cs="Arial" w:eastAsia="Arial" w:hAnsi="Arial"/>
          <w:sz w:val="18"/>
          <w:szCs w:val="18"/>
          <w:color w:val="auto"/>
        </w:rPr>
        <w:t>outstanding as of March 31, 2014, upon completion of this offering, there will be</w:t>
      </w:r>
      <w:r>
        <w:rPr>
          <w:sz w:val="20"/>
          <w:szCs w:val="20"/>
          <w:color w:val="auto"/>
        </w:rPr>
        <w:tab/>
      </w:r>
      <w:r>
        <w:rPr>
          <w:rFonts w:ascii="Arial" w:cs="Arial" w:eastAsia="Arial" w:hAnsi="Arial"/>
          <w:sz w:val="15"/>
          <w:szCs w:val="15"/>
          <w:color w:val="auto"/>
        </w:rPr>
        <w:t>shares of our common stock outstanding.</w:t>
      </w:r>
    </w:p>
    <w:p>
      <w:pPr>
        <w:spacing w:after="0" w:line="8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below in “Anti-Takeover Effects of Delaware Law, Our Certificate of Incorporation and Our By-laws,” the affirmative vote of a majority of our outstanding shares of capital stock is generally required to take action under our amended and restated certificate of incorporation and amended and restated by-laws.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board of directors is authorized, without action by the stockholders, to designate and issue up to an aggregate of 25,000,000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or preventing a change in control of our company and might harm the market price of our common stock.</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board of directors will make any determination to issue such shares based on its judgment as to our best interests and the best interests of our stockholders. We have no current plans to issue any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2014, warrants to purchase a total of 353,459 shares of our common stock were outstanding with an exercise price of $3.01 per share. These warrants are exercisable immediately and each expire on the first to occur of (i) the closing date of any reorganization, consolidation or merger of the Company, transfer of all or substantially all of the assets of the Company or any simultaneous sale of more than a majority of the then outstanding securities of the Company other than a mere reincorporation transaction, or (ii) the 10 year anniversary of the date of such warrant which in the case of the outstanding warrants of the Company is June 2020, February 2021 and June 2021,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party to an amended and restated investors’ rights agreement, dated as of December 18, 2012, with certain holders of our common stock. Following</w:t>
      </w:r>
    </w:p>
    <w:p>
      <w:pPr>
        <w:spacing w:after="0" w:line="5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offering, the holders of approximately million shares, or million including the shares underlying outstanding warrants, will have the right to require us to register their shares under the Securities Act of 1933, as amended. These shares will represent approximately % of our outstanding common stock after this offering, or approximately % if the underwriters exercise their option to purchase additional shares in full. These shares also may be sold under</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144 under the Securities Act of 1933, depending on their holding period and subject to restrictions in the case of shares held by persons deemed to be our affiliates. The registration rights will terminate (i) on February 5, 2019, which is the fifth anniversary of the closing of our initial public offering, or (ii) after this offering, as to any holder of registrable securities, when such holder holds 1% or less of our common stock and all registrable securities held by such holder can be sold in any 90-day period without registration in compliance with Rule 144.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Under the amended and restated investors’ rights agreement, beginning July 29, 2014, which is the date that is 180 days after the effective date of the registration statement for our initial public offering, or 45 days following the effective date of any other Company-initiated registration statement, the holders of at least 50% of the registrable shares (or a lesser percentage if the anticipated aggregate offering price is not less than $10 million) then outstanding can, on not more than two occasions, demand that we file a registration statement or request that their shares be included on a registration statement that we are otherwise filing, in either case, registering the resale of their shares of common stock. We are required to use our best efforts to effect the registration and will pay all registration expenses, other than underwriting discounts and commissions, related to any demand registration.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we propose to register any of our securities under the Securities Act for our own account or the account of any other holder, the “significant holders” (as defined in the amended and restated investors’ rights agreement) are entitled to notice of such registration and to request that we include registrable shares for resale on such registration statement, subject to the right of any underwriter to limit the number of shares included in such registration.</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will pay all registration expenses, other than underwriting discounts and commissions, related to any piggyback registration. The amended and restated investors’ rights agreement contains customary cross-indemnification provisions, pursuant to which we are obligated to indemnify the selling stockholders, in the event of misstatements or omissions in the registration statement attributable to us and they are obligated to indemnify us for misstatements or omissions attributable to them.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The holders of at least 10% of the registrable securities outstanding can make a written request that we register their shares on Form S-3 if we are eligible to file a registration statement on Form S-3 and if the aggregate price to the public of the shares offered is at least $1 million. These stockholders may make an unlimited number of requests for registration on Form S-3. However, we will not be required to effect a registration on Form S-3 if we determine that such a registration would be seriously detrimental to us and our stockholders or if we have already effected three registration statements on Form S-3 in the 12-month period preceding the date of the request. We will pay all registration expenses, other than underwriting discounts and commissions, related to any S-3 registration.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our Certificate of Incorporation and Our By-laws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accordance with our certificate of incorporation, our board is divided into three classes serving three-year terms, with one class being elected each year. Our certificate of incorporation also provides that directors may be removed only for cause. Furthermore, any vacancy on our board of directors, however occurring, including a vacancy resulting from an increase in the size of our board, may only be filled by a resolution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and by-laws provide that, subject to any rights of holders of any series of preferred stock, only the board or the chairman of the board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By-laws and Certificate of Incorporation</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required by the Delaware General Corporation Law, any 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directors, stockholders, the amendment of our by-laws and certificate of incorporation and exclusive jurisdiction of Delaware Courts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certificate of incorporation provides for 25,000,000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6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w:t>
      </w:r>
    </w:p>
    <w:p>
      <w:pPr>
        <w:spacing w:after="0" w:line="51" w:lineRule="exact"/>
        <w:rPr>
          <w:sz w:val="20"/>
          <w:szCs w:val="20"/>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5" w:lineRule="exact"/>
        <w:rPr>
          <w:rFonts w:ascii="Arial" w:cs="Arial" w:eastAsia="Arial" w:hAnsi="Arial"/>
          <w:sz w:val="16"/>
          <w:szCs w:val="16"/>
          <w:color w:val="auto"/>
        </w:rPr>
      </w:pPr>
    </w:p>
    <w:p>
      <w:pPr>
        <w:jc w:val="both"/>
        <w:ind w:left="900" w:right="2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Delaware law in the types of lawsuits to which it applies, the provision may have the effect of discouraging lawsuits against our directors and officers.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“RARE”.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 15th Avenue, Brooklyn, New York 11219.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As of March 31, 2014, based on the number of shares of our common stock then outstanding and an assumed public offering price of $47.49 per share, upon the closing of this offering, and assuming no exercise of outstanding options or warrants, we would have had outstanding an aggregate of approximately 31,418,359 shares of common stock. Of these shares, the 6,624,423 shares sold in our initial public offering (other than any shares purchased by our then-existing investors and directors and officers), the 2,105,706 shares of common stock to be sold in this offering, including both the shares sold by us and any shares sold by the selling stockholders, and any shares sold upon exercise of the underwriters’ option to purchase additional shares, will be freely tradable in the public market without restriction or further registration under the Securities Act of 1933, as amended, or the Securities Act, unless the shares are held by any of our “affiliates” as such term is defined in Rule 144 of the Securities Act. All remaining shares of common stock held by existing stockholders immediately prior to the completion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this offering, we, our directors, our executive officers, and each of the selling stockholders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90 days after the date of this prospectus, except with the prior written consent of J.P. Morgan Securities LLC and Morgan Stanley &amp; Co. LLC, together the representatives of the underwriters. The representatives of the underwriters have advised us that they have no current intent or arrangement to release any of the shares subject to the lock-up agreements prior to the expiration of the lock-up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Securities Exchange Act of 1934, as amended, or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such shares in the public market without complying with any of the requirements of Rule 144 (subject to the lock-up agreement referred to above, if applicable).</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62" w:lineRule="exact"/>
        <w:rPr>
          <w:sz w:val="20"/>
          <w:szCs w:val="20"/>
          <w:color w:val="auto"/>
        </w:rPr>
      </w:pPr>
    </w:p>
    <w:p>
      <w:pPr>
        <w:jc w:val="both"/>
        <w:ind w:left="900" w:hanging="319"/>
        <w:spacing w:after="0" w:line="306" w:lineRule="auto"/>
        <w:tabs>
          <w:tab w:leader="none" w:pos="880" w:val="left"/>
        </w:tabs>
        <w:rPr>
          <w:sz w:val="20"/>
          <w:szCs w:val="20"/>
          <w:color w:val="auto"/>
        </w:rPr>
      </w:pPr>
      <w:r>
        <w:rPr>
          <w:rFonts w:ascii="Arial" w:cs="Arial" w:eastAsia="Arial" w:hAnsi="Arial"/>
          <w:sz w:val="16"/>
          <w:szCs w:val="16"/>
          <w:color w:val="auto"/>
        </w:rPr>
        <w:t>•</w:t>
        <w:tab/>
        <w:t>one percent of the number of common shares then outstanding, which will equal approximately shares of common stock immediately after this offering (calculated on the basis of the number of shares of our common stock outstanding as of March 31, 2014, the assumptions described above and assuming no exercise of the underwriter’s option to purchase additional shares and no exercise of outstanding options or warrants); or</w:t>
      </w:r>
    </w:p>
    <w:p>
      <w:pPr>
        <w:spacing w:after="0" w:line="26"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general, under Rule 701 of the Securities Act, any of our employees, directors, officers, consultants or advisors, other than our affiliates, who purchased shares from us in connection with a qualified compensatory stock plan or other written agreement in compliance with Rule 701 before the effective date of a registration statement under the Securities Act is entitled to rely on Rule 701 to resell such shares in reliance on Rule 144. An affiliate of the issuer can resell shares in reliance on Rule 144 without having to comply with the holding period requirements of Rule 144, and a non-affiliate of the issuer can resell shares in reliance on Rule 144 without having to comply with the holding period requirements of Rule 144 and without regard to the volume of such sales or the availability of public information about the issuer.</w:t>
      </w:r>
    </w:p>
    <w:p>
      <w:pPr>
        <w:spacing w:after="0" w:line="6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 and Employee Stock Purchase Plan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filed with the SEC a registration statement under the Securities Act covering the shares of common stock that we may issue (i) upon exercise of outstanding options under the 2011 Equity Incentive Plan, as amended, exercise of outstanding options under the 2014 Incentive Plan, and options reserved for issuance under the 2014 Incentive Plan, and (ii) pursuant to the 2014 Employee Stock Purchase Plan. Such registration statement was filed and became effective in March 2014. Accordingly, shares registered under such registration statement are available for sale in the open market, subject to Rule 144 volume limitations for affiliates and the lock-up agreements described above, if applicable.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or the Code, Treasury Regulations promulgated under the Code, judicial decisions, and published rulings and administrative pronouncements of the U.S. Internal Revenue Service, or IRS, in effect as of the date of this offering. These authorities may change or be subject to differing interpretations. Any such change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regarding the tax consequences of the purchase, ownership and disposition of our common stock.</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discussion, a “non-U.S. holder” is any beneficial owner of our common stock that is neither a “U.S. person” nor a partnership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federal income tax purposes. A U.S. person is any of the following:</w:t>
      </w:r>
    </w:p>
    <w:p>
      <w:pPr>
        <w:spacing w:after="0" w:line="8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9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on our common stock, such distributions of cash or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in the section titled “— Sale or Other Taxable Disposition.”</w:t>
      </w:r>
    </w:p>
    <w:p>
      <w:pPr>
        <w:spacing w:after="0" w:line="6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Dividends paid to a non-U.S. holder of our common stock generally will be subject to U.S. federal withholding tax at a rate of 30% of the gross amount of the dividends (or such lower rate specified by an applicable income tax treaty). Even if a non-U.S. holder is eligible for a lower treaty rate, dividend payments will generally be subject to withholding at a 30% rate (rather than the lower treaty rate) unless the non-U.S. holder provides a valid IRS Form W-8BEN or W-8BEN-E (or applicable successor form) certifying such holder’s qualification for the reduced rate.</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Non-U.S. holders who do not timely provide us or our paying agent with the required certification, but who qualify for a reduced treaty rate, may obtain a refund of any excess amounts withheld by timely filing an appropriate claim for refund with the IRS. Non-U.S. holders should consult their tax advisors regarding their entitlement to benefits under a tax treaty.</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Subject to the discussions below regarding backup withholding and foreign accounts, 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U.S. federal withholding tax. To claim the exemption, the non-U.S. holder must furnish to us or our paying agent a valid IRS Form W-8ECI (or applicable successor form), certifying that the dividends are effectively connected with the non-U.S. holder’s conduct of a trade or business within the United States.</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Any dividends paid on our common stock that are effectively connected with a non-U.S. holder’s U.S. trade or business (and, if required by an applicable tax treaty, attributable to a permanent establishment maintained by the non-U.S. holder in the United States) generally will be subject to U.S. federal income tax on a net income basis in the same manner as if such holder were a U.S. person. A non-U.S. holder that is a corporation also may, under certain circumstances, be subject to a branch profits tax at a rate of 30% (or such lower rate specified by an applicable tax treaty) on any effectively connected dividends that it receives. Non-U.S. holders should consult their tax advisors regarding any applicable tax treaties that may provide for different rules.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the discussions below regarding backup withholding and foreign accounts, a non-U.S. holder will not be subject to U.S. federal income tax on any gain realized upon the sale or other disposition of our common stock unless:</w:t>
      </w:r>
    </w:p>
    <w:p>
      <w:pPr>
        <w:spacing w:after="0" w:line="51" w:lineRule="exact"/>
        <w:rPr>
          <w:sz w:val="20"/>
          <w:szCs w:val="20"/>
          <w:color w:val="auto"/>
        </w:rPr>
      </w:pPr>
    </w:p>
    <w:p>
      <w:pPr>
        <w:ind w:left="9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a USRPHC, for U.S. federal income tax purposes.</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Gain described in the first bullet point above will generally be subject to U.S. federal income tax on a net income basis at the regular graduated U.S. federal income tax rates. If a non-U.S. holder is eligible for the benefits of a tax treaty between the United States and its country of residence, any such gain will be subject to U.S. federal income tax in the manner specified by the treaty. To claim the benefit of a treaty, a non-U.S. holder must properly submit an IRS Form W-8BEN (or suitable successor or substitute form). A non-U.S. holder that is a foreign corporation also may be subject to a branch profits tax at a rate of 30% (or such lower rate specified by an applicable income tax treaty) on such effectively connected gain, as adjusted for certain items.</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6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With respect to the third bullet point above, we believe we are not currently and do not anticipate becoming a USRPHC. However, because the determination of whether we are a USRPHC depends on the fair market value of our USRPIs relative to the fair market value of our other business assets and our non-U.S. real property interests,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or constructively, 5% or less of our common stock throughout the shorter of the five-year period ending on the date of the sale or other disposition or the non-U.S. holder’s holding period.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 non-U.S. holder will not be subject to backup withholding with respect to payments of dividends on our common stock we make to the non-U.S. holder, provided the holder certifies its non-U.S. status, such as by providing a valid IRS Form W-8BEN, W-8ECI, or other applicable IRS Form, or otherwise establishes an exemption. However, information returns will be filed with the IRS in connection with any dividends on our common stock paid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U.S.-related financial intermediaries, unless the beneficial owner certifies under penalty of perjury that it is a non-U.S. holder on Form W-8BEN or other applicable form or such owner otherwise establishes an exemption.</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Tax on Payments Made to Foreign Accounts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Legislation incorporating provisions referred to as the Foreign Account Tax Compliance Act, or “FATCA,” was enacted March 18, 2010. A 30% withholding tax may be imposed on dividends paid on, and the gross proceeds from the sale or other disposition of, our common stock paid to a “foreign financial institution” (as defined in the Code) or to a “non-financial foreign entity” (as defined in the Code) (whether such foreign financial institution or non-financial foreign entity is the beneficial owner or an intermediary), unless (1) in the case of a foreign financial institution, the entity undertakes certain diligence and reporting obligations, (2) in the case of a non-financial foreign entity, the entity either certifies that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U.S. persons or U.S.-owned foreign entities (as defined in applicable Treasury Regulations), annually report certain information about such accounts, and withhold 30% on payments to non-compliant foreign financial institutions and certain other account holders. Foreign governments may enter into an agreement with the IRS to implement FATCA in a different manner. Under current IRS guidance, FATCA withholding will apply to payments of dividends on our common stock made on or after July 1, 2014, and to payments of gross proceeds from the sale or other disposition of such stock on or after January 1, 2017. Prospective investors should consult their tax advisors regarding these withholding provisions.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and the selling stockholders are offering the shares of common stock described in this prospectus through a number of underwriters. J.P. Morgan Securities LLC and Morgan Stanley &amp; Co. LLC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severally agreed to sell to the underwriters, and each underwriter has severally agreed to purchase, at the public offering price less the underwriting discounts and commissions set forth on the cover of this prospectus, the number of shares of common stock listed next to its name in the following table:</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60" w:type="dxa"/>
            <w:vAlign w:val="bottom"/>
          </w:tcPr>
          <w:p>
            <w:pPr>
              <w:jc w:val="center"/>
              <w:ind w:left="9252"/>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9960" w:type="dxa"/>
            <w:vAlign w:val="bottom"/>
          </w:tcPr>
          <w:p>
            <w:pPr>
              <w:jc w:val="center"/>
              <w:ind w:left="9252"/>
              <w:spacing w:after="0" w:line="148" w:lineRule="exact"/>
              <w:rPr>
                <w:sz w:val="20"/>
                <w:szCs w:val="20"/>
                <w:color w:val="auto"/>
              </w:rPr>
            </w:pPr>
            <w:r>
              <w:rPr>
                <w:rFonts w:ascii="Arial" w:cs="Arial" w:eastAsia="Arial" w:hAnsi="Arial"/>
                <w:sz w:val="14"/>
                <w:szCs w:val="14"/>
                <w:b w:val="1"/>
                <w:bCs w:val="1"/>
                <w:color w:val="auto"/>
                <w:w w:val="7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6985</wp:posOffset>
            </wp:positionV>
            <wp:extent cx="6089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3690" cy="163195"/>
                    </a:xfrm>
                    <a:prstGeom prst="rect">
                      <a:avLst/>
                    </a:prstGeom>
                    <a:noFill/>
                  </pic:spPr>
                </pic:pic>
              </a:graphicData>
            </a:graphic>
          </wp:anchor>
        </w:drawing>
      </w:r>
    </w:p>
    <w:p>
      <w:pPr>
        <w:spacing w:after="0" w:line="12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common stock directly to the public at the public offering price set forth on the cover of this prospectus and</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 certain dealers at that price less a concession not in excess of $ per share. Any such dealers may resell shares to certain other brokers or dealers at a discount of up to $ per share from the public offering price. After the public offering of the shares, the offering price and other selling terms may be changed by the underwriters. Sales of shares made outside of the United States may be made by affiliates of the underwriters.</w:t>
      </w:r>
    </w:p>
    <w:p>
      <w:pPr>
        <w:spacing w:after="0" w:line="28" w:lineRule="exact"/>
        <w:rPr>
          <w:sz w:val="20"/>
          <w:szCs w:val="20"/>
          <w:color w:val="auto"/>
        </w:rPr>
      </w:pPr>
    </w:p>
    <w:p>
      <w:pPr>
        <w:ind w:left="460"/>
        <w:spacing w:after="0"/>
        <w:tabs>
          <w:tab w:leader="none" w:pos="5380" w:val="left"/>
        </w:tabs>
        <w:rPr>
          <w:sz w:val="20"/>
          <w:szCs w:val="20"/>
          <w:color w:val="auto"/>
        </w:rPr>
      </w:pPr>
      <w:r>
        <w:rPr>
          <w:rFonts w:ascii="Arial" w:cs="Arial" w:eastAsia="Arial" w:hAnsi="Arial"/>
          <w:sz w:val="18"/>
          <w:szCs w:val="18"/>
          <w:color w:val="auto"/>
        </w:rPr>
        <w:t>The underwriters have been granted an option to buy up to</w:t>
      </w:r>
      <w:r>
        <w:rPr>
          <w:sz w:val="20"/>
          <w:szCs w:val="20"/>
          <w:color w:val="auto"/>
        </w:rPr>
        <w:tab/>
      </w:r>
      <w:r>
        <w:rPr>
          <w:rFonts w:ascii="Arial" w:cs="Arial" w:eastAsia="Arial" w:hAnsi="Arial"/>
          <w:sz w:val="15"/>
          <w:szCs w:val="15"/>
          <w:color w:val="auto"/>
        </w:rPr>
        <w:t>additional shares of common stock to cover sales of shares by the underwriters which</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and the selling</w:t>
      </w:r>
    </w:p>
    <w:p>
      <w:pPr>
        <w:spacing w:after="0" w:line="3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stockholders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tbl>
      <w:tblPr>
        <w:tblLayout w:type="fixed"/>
        <w:tblInd w:w="460" w:type="dxa"/>
        <w:tblCellMar>
          <w:top w:w="0" w:type="dxa"/>
          <w:left w:w="0" w:type="dxa"/>
          <w:bottom w:w="0" w:type="dxa"/>
          <w:right w:w="0" w:type="dxa"/>
        </w:tblCellMar>
      </w:tblPr>
      <w:tr>
        <w:trPr>
          <w:trHeight w:val="156"/>
        </w:trPr>
        <w:tc>
          <w:tcPr>
            <w:tcW w:w="39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300" w:type="dxa"/>
            <w:vAlign w:val="bottom"/>
            <w:gridSpan w:val="2"/>
          </w:tcPr>
          <w:p>
            <w:pPr>
              <w:jc w:val="center"/>
              <w:ind w:right="1260"/>
              <w:spacing w:after="0" w:line="156" w:lineRule="exact"/>
              <w:rPr>
                <w:sz w:val="20"/>
                <w:szCs w:val="20"/>
                <w:color w:val="auto"/>
              </w:rPr>
            </w:pPr>
            <w:r>
              <w:rPr>
                <w:rFonts w:ascii="Arial" w:cs="Arial" w:eastAsia="Arial" w:hAnsi="Arial"/>
                <w:sz w:val="14"/>
                <w:szCs w:val="14"/>
                <w:b w:val="1"/>
                <w:bCs w:val="1"/>
                <w:color w:val="auto"/>
                <w:w w:val="92"/>
              </w:rPr>
              <w:t>Without</w:t>
            </w:r>
          </w:p>
        </w:tc>
        <w:tc>
          <w:tcPr>
            <w:tcW w:w="1100" w:type="dxa"/>
            <w:vAlign w:val="bottom"/>
            <w:gridSpan w:val="2"/>
          </w:tcPr>
          <w:p>
            <w:pPr>
              <w:ind w:left="240"/>
              <w:spacing w:after="0" w:line="156" w:lineRule="exact"/>
              <w:rPr>
                <w:sz w:val="20"/>
                <w:szCs w:val="20"/>
                <w:color w:val="auto"/>
              </w:rPr>
            </w:pPr>
            <w:r>
              <w:rPr>
                <w:rFonts w:ascii="Arial" w:cs="Arial" w:eastAsia="Arial" w:hAnsi="Arial"/>
                <w:sz w:val="14"/>
                <w:szCs w:val="14"/>
                <w:b w:val="1"/>
                <w:bCs w:val="1"/>
                <w:color w:val="auto"/>
              </w:rPr>
              <w:t>With full</w:t>
            </w:r>
          </w:p>
        </w:tc>
      </w:tr>
      <w:tr>
        <w:trPr>
          <w:trHeight w:val="149"/>
        </w:trPr>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0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exercise of option</w:t>
            </w: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exercise of option</w:t>
            </w:r>
          </w:p>
        </w:tc>
      </w:tr>
      <w:tr>
        <w:trPr>
          <w:trHeight w:val="149"/>
        </w:trPr>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0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to purchase</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 purchase</w:t>
            </w:r>
          </w:p>
        </w:tc>
      </w:tr>
      <w:tr>
        <w:trPr>
          <w:trHeight w:val="161"/>
        </w:trPr>
        <w:tc>
          <w:tcPr>
            <w:tcW w:w="39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5"/>
              </w:rPr>
              <w:t>additional shares</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additional shares</w:t>
            </w:r>
          </w:p>
        </w:tc>
      </w:tr>
      <w:tr>
        <w:trPr>
          <w:trHeight w:val="210"/>
        </w:trPr>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91"/>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424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 excluding the underwriting discounts and commissions, will be approximately $460,000. We have agreed to reimburse the underwriters for all expenses relating to the clearance of this offering with the Financial Industry Regulatory Authority (in an amount not to exceed $25,000).</w:t>
      </w:r>
    </w:p>
    <w:p>
      <w:pPr>
        <w:spacing w:after="0" w:line="2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4" w:lineRule="exact"/>
        <w:rPr>
          <w:sz w:val="20"/>
          <w:szCs w:val="20"/>
          <w:color w:val="auto"/>
        </w:rPr>
      </w:pPr>
    </w:p>
    <w:p>
      <w:pPr>
        <w:jc w:val="both"/>
        <w:ind w:firstLine="456"/>
        <w:spacing w:after="0" w:line="305" w:lineRule="auto"/>
        <w:rPr>
          <w:sz w:val="20"/>
          <w:szCs w:val="20"/>
          <w:color w:val="auto"/>
        </w:rPr>
      </w:pPr>
      <w:r>
        <w:rPr>
          <w:rFonts w:ascii="Arial" w:cs="Arial" w:eastAsia="Arial" w:hAnsi="Arial"/>
          <w:sz w:val="15"/>
          <w:szCs w:val="15"/>
          <w:color w:val="auto"/>
        </w:rPr>
        <w:t>We have agreed that we will not (i) 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of 1933, as amended (the “Securities Act”),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our common stock or any such other securities (regardless of whether any of these transactions are to be settled by the delivery of shares of our common stock or such other securities, in cash or otherwise), in each case without the prior written consent of J.P. Morgan Securities LLC and Morgan Stanley &amp; Co. LLC for a period of 90 days after the date of this prospectus, other than (i) the shares of our common stock to be sold hereunder, (ii) any shares of our common stock issued upon the exercise of options granted under our existing management incentive plans or warrants described as outstanding in the registration statement of which this prospectus forms a part, (iii) any options and other awards granted under an equity incentive plan described in the registration statement of which this prospectus forms a part, (iv) our filing of any registration statement on Form S-8 or a successor form thereto relating to an equity incentive plan described in the registration statement of which this prospectus forms a part, and (v)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(v) shall not exceed five percent (5%) of the total number of outstanding shares of common stock immediately following the issuance and sale of the shares of common stock in this offering and (y) the recipient of any such shares of common stock and securities issued pursuant to this clause (v) during the 90-day restricted period described above shall enter into a lock-up agreement.</w:t>
      </w:r>
    </w:p>
    <w:p>
      <w:pPr>
        <w:spacing w:after="0" w:line="247"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6"/>
          <w:szCs w:val="16"/>
          <w:color w:val="auto"/>
        </w:rPr>
        <w:t>Our directors and executive officers as well as the selling stockholders have entered into lock-up agreements with the underwriters prior to the commencement of this offering pursuant to which each of these persons or entities, with limited exceptions, for a period of 90 days after the date of this prospectus, may not, without the prior written consent of J.P. Morgan Securities LLC and Morgan Stanley &amp; Co.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shareholders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our common stock or such other securities, whether any such transaction described in clause (1) or</w:t>
      </w:r>
    </w:p>
    <w:p>
      <w:pPr>
        <w:spacing w:after="0" w:line="5" w:lineRule="exact"/>
        <w:rPr>
          <w:sz w:val="20"/>
          <w:szCs w:val="20"/>
          <w:color w:val="auto"/>
        </w:rPr>
      </w:pPr>
    </w:p>
    <w:p>
      <w:pPr>
        <w:jc w:val="both"/>
        <w:ind w:firstLine="8"/>
        <w:spacing w:after="0" w:line="255" w:lineRule="auto"/>
        <w:tabs>
          <w:tab w:leader="none" w:pos="2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The restrictions described in the immediately preceding paragraph to do not apply to:</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any security convertible into or exercisable or exchangeable for common stock):</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as a bona fide gift;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party subject to the lock-up restrictions or the immediate family of such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investment fund or other entity controlled or managed, or under common control or management by the party subject to the lock-up restrictions or the immediate family of such person;</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to the legal representative, heir, beneficiary or a member of the immediate family of the party subject to the lockup restrictions;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distributions to partners, members or stockholders of the party subject to the lock-up restrictions,</w:t>
      </w:r>
    </w:p>
    <w:p>
      <w:pPr>
        <w:spacing w:after="0" w:line="90"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above five subclauses, (i) each donee or distributee shall sign and deliver a</w:t>
      </w:r>
      <w:r>
        <w:rPr>
          <w:rFonts w:ascii="Arial" w:cs="Arial" w:eastAsia="Arial" w:hAnsi="Arial"/>
          <w:sz w:val="18"/>
          <w:szCs w:val="18"/>
          <w:i w:val="1"/>
          <w:iCs w:val="1"/>
          <w:color w:val="auto"/>
        </w:rPr>
        <w:t xml:space="preserve"> </w:t>
      </w:r>
      <w:r>
        <w:rPr>
          <w:rFonts w:ascii="Arial" w:cs="Arial" w:eastAsia="Arial" w:hAnsi="Arial"/>
          <w:sz w:val="18"/>
          <w:szCs w:val="18"/>
          <w:color w:val="auto"/>
        </w:rPr>
        <w:t>lock-up letter substantially in the form executed by the party subject to the lock up restrictions and (ii) no filing under Section 16(a) of the Exchange Act, reporting a reduction in beneficial ownership of shares of common stock, shall be required or shall be voluntarily made during the restricted period (other than a filing on Form 5);</w:t>
      </w:r>
    </w:p>
    <w:p>
      <w:pPr>
        <w:spacing w:after="0" w:line="6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jc w:val="both"/>
        <w:ind w:left="900"/>
        <w:spacing w:after="0" w:line="255" w:lineRule="auto"/>
        <w:rPr>
          <w:rFonts w:ascii="Arial" w:cs="Arial" w:eastAsia="Arial" w:hAnsi="Arial"/>
          <w:sz w:val="16"/>
          <w:szCs w:val="16"/>
          <w:color w:val="auto"/>
        </w:rPr>
      </w:pPr>
      <w:r>
        <w:rPr>
          <w:rFonts w:ascii="Arial" w:cs="Arial" w:eastAsia="Arial" w:hAnsi="Arial"/>
          <w:sz w:val="18"/>
          <w:szCs w:val="18"/>
          <w:color w:val="auto"/>
        </w:rPr>
        <w:t>(i) such plan does not provide for the transfer of common stock during the restricted period and (ii) no filing under the Exchange Act or other public announcement shall be required or voluntarily made by or on behalf of the party subject to the lock-up restrictions regarding the establishment of such plan;</w:t>
      </w:r>
    </w:p>
    <w:p>
      <w:pPr>
        <w:spacing w:after="0" w:line="63" w:lineRule="exact"/>
        <w:rPr>
          <w:rFonts w:ascii="Arial" w:cs="Arial" w:eastAsia="Arial" w:hAnsi="Arial"/>
          <w:sz w:val="16"/>
          <w:szCs w:val="16"/>
          <w:color w:val="auto"/>
        </w:rPr>
      </w:pPr>
    </w:p>
    <w:p>
      <w:pPr>
        <w:jc w:val="both"/>
        <w:ind w:left="900" w:hanging="325"/>
        <w:spacing w:after="0" w:line="335"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exercise of options to purchase shares of common stock granted under any stock incentive plan or stock purchase plan of the Company, provided that the underlying shares shall continue to be subject to the restrictions on transfer set forth in this agreement and provided further that no filing under Section 16(a) of the Exchange Act shall be required or shall be voluntarily made during the restricted period (other than a filing on Form 5);</w:t>
      </w:r>
    </w:p>
    <w:p>
      <w:pPr>
        <w:spacing w:after="0" w:line="7" w:lineRule="exact"/>
        <w:rPr>
          <w:rFonts w:ascii="Arial" w:cs="Arial" w:eastAsia="Arial" w:hAnsi="Arial"/>
          <w:sz w:val="15"/>
          <w:szCs w:val="15"/>
          <w:color w:val="auto"/>
        </w:rPr>
      </w:pPr>
    </w:p>
    <w:p>
      <w:pPr>
        <w:jc w:val="both"/>
        <w:ind w:left="90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(whether for cash, cashless, or net exercise) of warrants to purchase shares of common stock (or any security convertible into or exercisable or exchangeable for common stock), provided that the underlying shares shall continue to be subject to the lock-up restrictions and provided further that, other than in respect of warrants that will expire or automatically exercise by their terms in connection with this offering, no filing under Section 16(a) of the Exchange Act shall be required or shall be voluntarily made during the restricted period (other than a filing on Form 5);</w:t>
      </w:r>
    </w:p>
    <w:p>
      <w:pPr>
        <w:spacing w:after="0" w:line="61" w:lineRule="exact"/>
        <w:rPr>
          <w:rFonts w:ascii="Arial" w:cs="Arial" w:eastAsia="Arial" w:hAnsi="Arial"/>
          <w:sz w:val="18"/>
          <w:szCs w:val="18"/>
          <w:color w:val="auto"/>
        </w:rPr>
      </w:pPr>
    </w:p>
    <w:p>
      <w:pPr>
        <w:jc w:val="both"/>
        <w:ind w:left="900" w:hanging="325"/>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common stock) to the Company or sold in connection with a vesting event of the Company’s securities or upon the exercise of options to purchase the Company’s securities, on a “cashless” or “net exercise” basis or to cover tax withholding obligations of the party subject to the lock-up restrictions in connection with such vesting or exercise provided that no filing under Section 16(a) of the Exchange Act shall be required or shall be voluntarily made during the restricted period (other than a filing on Form 5);</w:t>
      </w:r>
    </w:p>
    <w:p>
      <w:pPr>
        <w:spacing w:after="0" w:line="31" w:lineRule="exact"/>
        <w:rPr>
          <w:rFonts w:ascii="Arial" w:cs="Arial" w:eastAsia="Arial" w:hAnsi="Arial"/>
          <w:sz w:val="16"/>
          <w:szCs w:val="16"/>
          <w:color w:val="auto"/>
        </w:rPr>
      </w:pPr>
    </w:p>
    <w:p>
      <w:pPr>
        <w:jc w:val="both"/>
        <w:ind w:left="900" w:hanging="325"/>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transfer or disposition of the shares of common stock (or any security convertible into or exercisable or exchangeable for common stock) held by the party subject to the lock-up restrictions that occurs by operation of law, such as pursuant to a qualified domestic order or in connection with a divorce settlement provided that each transferee shall sign and deliver a lock-up letter substantially in the form executed by the party subject to the lock-up restrictions;</w:t>
      </w:r>
    </w:p>
    <w:p>
      <w:pPr>
        <w:spacing w:after="0" w:line="62" w:lineRule="exact"/>
        <w:rPr>
          <w:rFonts w:ascii="Arial" w:cs="Arial" w:eastAsia="Arial" w:hAnsi="Arial"/>
          <w:sz w:val="18"/>
          <w:szCs w:val="18"/>
          <w:color w:val="auto"/>
        </w:rPr>
      </w:pPr>
    </w:p>
    <w:p>
      <w:pPr>
        <w:jc w:val="both"/>
        <w:ind w:left="900" w:hanging="325"/>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pursuant to a bona fide third party tender offer, merger, consolidation or other similar transaction made to all holders of the common stock involving a change of control of the Company, provided that in the event that the tender offer, merger, consolidation or other such transaction is not completed, the common stock owned by the party subject to the lock-up restrictions shall remain subject to such restrictions;</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transactions by any person other than us relating to shares of common stock or other securities acquired in open market transactions after the completion of the offering of the shares, provided that no filing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under Section 16(a) of the Exchange Act is required or voluntarily made in connection with subsequent sales of the common stock or other securities acquired in such open market transactions (other than a filing on Form 5); or</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securities to be sold pursuant to the underwriting agreement.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of 1933, as amended.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“RARE.”</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4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jc w:val="both"/>
        <w:ind w:firstLine="464"/>
        <w:spacing w:after="0" w:line="259" w:lineRule="auto"/>
        <w:tabs>
          <w:tab w:leader="none" w:pos="7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our common shares in circumstances in which Section 21(1) of the FSMA does not apply to us; and</w:t>
      </w:r>
    </w:p>
    <w:p>
      <w:pPr>
        <w:spacing w:after="0" w:line="59" w:lineRule="exact"/>
        <w:rPr>
          <w:rFonts w:ascii="Arial" w:cs="Arial" w:eastAsia="Arial" w:hAnsi="Arial"/>
          <w:sz w:val="18"/>
          <w:szCs w:val="18"/>
          <w:color w:val="auto"/>
        </w:rPr>
      </w:pPr>
    </w:p>
    <w:p>
      <w:pPr>
        <w:ind w:right="20" w:firstLine="464"/>
        <w:spacing w:after="0" w:line="268" w:lineRule="auto"/>
        <w:tabs>
          <w:tab w:leader="none" w:pos="7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our common shares in, from or otherwise involving the United Kingdom.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62" w:lineRule="exact"/>
        <w:rPr>
          <w:sz w:val="20"/>
          <w:szCs w:val="20"/>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firstLine="464"/>
        <w:spacing w:after="0" w:line="259" w:lineRule="auto"/>
        <w:tabs>
          <w:tab w:leader="none" w:pos="7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59" w:lineRule="exact"/>
        <w:rPr>
          <w:rFonts w:ascii="Arial" w:cs="Arial" w:eastAsia="Arial" w:hAnsi="Arial"/>
          <w:sz w:val="18"/>
          <w:szCs w:val="18"/>
          <w:color w:val="auto"/>
        </w:rPr>
      </w:pPr>
    </w:p>
    <w:p>
      <w:pPr>
        <w:ind w:firstLine="464"/>
        <w:spacing w:after="0" w:line="268" w:lineRule="auto"/>
        <w:tabs>
          <w:tab w:leader="none" w:pos="7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5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6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Gibson, Dunn &amp; Crutcher LLP, San Francisco, California will pass upon the validity of the shares of common stock offered hereby. Certain legal matters in connection with this offering will be passed upon for the underwriters by Latham &amp; Watkins LLP, Costa Mesa, California.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We are required to file annual, quarterly and special reports, proxy statements and other information with the SEC. You may read and copy any document filed by us at the SEC’s Public Reference Room at 100 F Street, N.E., Washington, D.C. 20549. Please call the SEC at 1-800-SEC-0330 for further information on the public reference room. Our filings with the SEC are also available to the public at the SEC’s Internet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filed a registration statement, of which this prospectus is a part, covering the securities offered hereby. As allowed by SEC rules, this prospectus does not include all of the information contained in the registration statement and the included exhibits, financial statements and schedules. You are referred to the registration statement, the included exhibits, financial statements and schedules for further information. This prospectus is qualified in its entirety by such other information.</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We are subject to the information and periodic reporting requirements of the Exchange Act and, in accordance therewith, file periodic reports, proxy statements and other information with the SEC. Such periodic reports, proxy statements and other information are available for inspection and copying at the public reference room and website of the SEC referred to above. We maintain a website at </w:t>
      </w:r>
      <w:r>
        <w:rPr>
          <w:rFonts w:ascii="Arial" w:cs="Arial" w:eastAsia="Arial" w:hAnsi="Arial"/>
          <w:sz w:val="18"/>
          <w:szCs w:val="18"/>
          <w:i w:val="1"/>
          <w:iCs w:val="1"/>
          <w:color w:val="auto"/>
        </w:rPr>
        <w:t>www.ultragenyx.com</w:t>
      </w:r>
      <w:r>
        <w:rPr>
          <w:rFonts w:ascii="Arial" w:cs="Arial" w:eastAsia="Arial" w:hAnsi="Arial"/>
          <w:sz w:val="18"/>
          <w:szCs w:val="18"/>
          <w:color w:val="auto"/>
        </w:rPr>
        <w:t>.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2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001-36276).</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2013, filed with the SEC on March 24,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2014, filed with the SEC on May 12, 2014;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May 23, 2014;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5, 2014 and February 25, 2014 (other than the portions of those reports not deemed to be filed).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We will furnish without charge to you, on written or oral request, a copy of any or all of the documents incorporated by reference, including exhibits to these documents. You should direct any requests for documents to Ultragenyx Pharmaceutical Inc., 60 Leveroni Court, Novato, California, 94949. Copies of the above reports may also be accessed from our web site at </w:t>
      </w:r>
      <w:r>
        <w:rPr>
          <w:rFonts w:ascii="Arial" w:cs="Arial" w:eastAsia="Arial" w:hAnsi="Arial"/>
          <w:sz w:val="18"/>
          <w:szCs w:val="18"/>
          <w:i w:val="1"/>
          <w:iCs w:val="1"/>
          <w:color w:val="auto"/>
        </w:rPr>
        <w:t>http://www.ultragenyx.com</w:t>
      </w:r>
      <w:r>
        <w:rPr>
          <w:rFonts w:ascii="Arial" w:cs="Arial" w:eastAsia="Arial" w:hAnsi="Arial"/>
          <w:sz w:val="18"/>
          <w:szCs w:val="18"/>
          <w:color w:val="auto"/>
        </w:rPr>
        <w:t>.</w:t>
      </w:r>
    </w:p>
    <w:p>
      <w:pPr>
        <w:spacing w:after="0" w:line="5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75565</wp:posOffset>
            </wp:positionV>
            <wp:extent cx="3910330" cy="14751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1033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Common stock</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Morgan Stanley</w:t>
      </w:r>
    </w:p>
    <w:p>
      <w:pPr>
        <w:spacing w:after="0" w:line="125" w:lineRule="exact"/>
        <w:rPr>
          <w:sz w:val="20"/>
          <w:szCs w:val="20"/>
          <w:color w:val="auto"/>
        </w:rPr>
      </w:pPr>
    </w:p>
    <w:p>
      <w:pPr>
        <w:sectPr>
          <w:pgSz w:w="11900" w:h="16838" w:orient="portrait"/>
          <w:cols w:equalWidth="0" w:num="2">
            <w:col w:w="8480" w:space="720"/>
            <w:col w:w="22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Cowen and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Baird</w:t>
      </w:r>
    </w:p>
    <w:p>
      <w:pPr>
        <w:spacing w:after="0" w:line="200" w:lineRule="exact"/>
        <w:rPr>
          <w:sz w:val="20"/>
          <w:szCs w:val="20"/>
          <w:color w:val="auto"/>
        </w:rPr>
      </w:pPr>
    </w:p>
    <w:p>
      <w:pPr>
        <w:spacing w:after="0" w:line="2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2014</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jc w:val="both"/>
        <w:ind w:firstLine="456"/>
        <w:spacing w:after="0" w:line="331" w:lineRule="auto"/>
        <w:rPr>
          <w:sz w:val="20"/>
          <w:szCs w:val="20"/>
          <w:color w:val="auto"/>
        </w:rPr>
      </w:pPr>
      <w:r>
        <w:rPr>
          <w:rFonts w:ascii="Arial" w:cs="Arial" w:eastAsia="Arial" w:hAnsi="Arial"/>
          <w:sz w:val="16"/>
          <w:szCs w:val="16"/>
          <w:color w:val="auto"/>
        </w:rPr>
        <w:t>The following table sets forth the costs and expenses, other than the underwriting discounts and commissions, payable by the registrant in connection with the sale of common stock being registered. All amounts are estimates except for the SEC registration fee and the FINRA filing fee.</w:t>
      </w:r>
    </w:p>
    <w:tbl>
      <w:tblPr>
        <w:tblLayout w:type="fixed"/>
        <w:tblInd w:w="0" w:type="dxa"/>
        <w:tblCellMar>
          <w:top w:w="0" w:type="dxa"/>
          <w:left w:w="0" w:type="dxa"/>
          <w:bottom w:w="0" w:type="dxa"/>
          <w:right w:w="0" w:type="dxa"/>
        </w:tblCellMar>
      </w:tblPr>
      <w:tr>
        <w:trPr>
          <w:trHeight w:val="15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0"/>
              </w:rPr>
              <w:t>Item</w:t>
            </w:r>
          </w:p>
        </w:tc>
        <w:tc>
          <w:tcPr>
            <w:tcW w:w="6480" w:type="dxa"/>
            <w:vAlign w:val="bottom"/>
            <w:vMerge w:val="restart"/>
          </w:tcPr>
          <w:p>
            <w:pPr>
              <w:spacing w:after="0"/>
              <w:rPr>
                <w:sz w:val="13"/>
                <w:szCs w:val="13"/>
                <w:color w:val="auto"/>
              </w:rPr>
            </w:pPr>
          </w:p>
        </w:tc>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line="150"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3840" w:type="dxa"/>
            <w:vAlign w:val="bottom"/>
          </w:tcPr>
          <w:p>
            <w:pPr>
              <w:spacing w:after="0"/>
              <w:rPr>
                <w:sz w:val="14"/>
                <w:szCs w:val="14"/>
                <w:color w:val="auto"/>
              </w:rPr>
            </w:pPr>
          </w:p>
        </w:tc>
        <w:tc>
          <w:tcPr>
            <w:tcW w:w="8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to be paid</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SEC registration fee</w:t>
            </w:r>
          </w:p>
        </w:tc>
        <w:tc>
          <w:tcPr>
            <w:tcW w:w="3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115,000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135,000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Blue Sky, qualification fees and expenses</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460,000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3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39"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Article VI of our amended and restated certificate of incorporation (the “Charter”),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Charter provides that if the Delaware General Corporation Law is amended to authorize the further elimination or limitation of the liability of directors, then the liability of a director of our company shall be eliminated or limited to the fullest extent permitted by the Delaware General Corporation Law, as so amended.</w:t>
      </w:r>
    </w:p>
    <w:p>
      <w:pPr>
        <w:spacing w:after="0" w:line="6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Article VI of the Charter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provide that we will indemnify each of our directors and such officers to the fullest extent permitted by law and the Charter.</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also maintain an insurance policy that covers certain liabilities of directors and officers of our company arising out of claims based on acts or omissions in their capacities as directors or officers.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attached hereto as exhibit 1.1, the underwriters will agree to indemnify, under certain conditions, us, our directors, our officers and persons who control us within the meaning of the Securities Act against certain liabilities.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 Financing</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June 16, 2011, we sold an aggregate of 18,052,464 shares of our Series A convertible preferred stock to eight investors at a purchase price of $1.034 per share, for an aggregate purchase price of approximately $15.0 million in cash and $3.7 million in converted bridge notes. On July 16, 2012, we sold, pursuant to a second tranche closing, an aggregate of 14,604,895 shares of our Series A convertible preferred stock to six investors at a purchase price of $1.034 per share, for an aggregate purchase price of $15.1 million in cash. We claimed exemption from registration under the Securities Act for the sale and issuance of these securities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Paid-in-Kind Dividends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August 16, 2012, we issued an aggregate of 1,193,088 shares of our Series A convertible preferred stock to holders of our Series A convertible preferred stock in accordance with Article IV.B.1.(a) of our Certificate of Incorporation that was filed with the Secretary of State of the State of Delaware on June 13, 2011. We claimed exemption from registration under the Securities Act for the sale and issuance of these securities by virtue of Section 4(a)(2) and/or Regulation D promulgated thereunder as transactions not involving any public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December 14, 2012, we issued an aggregate of 499,447 shares of our Series A convertible preferred stock to holders of our Series A convertible preferred stock in accordance with Article IV.B.1.(a) of our Certificate of Incorporation that was filed with the Secretary of State of the State of Delaware on June 13, 2011. We claimed exemption from registration under the Securities Act for the sale and issuance of these securities by virtue of Section 4(a)(2) and/or Regulation D promulgated thereunder as transactions not involving any public offering.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 Financing</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December 18, 2012, we sold an aggregate of 27,081,680 shares of our Series B convertible preferred stock to 34 investors at a purchase price of $2.7694 per share, for an aggregate purchase price of approximately $75 million in cash. We claimed exemption from registration under the Securities Act for the sale and issuance of these securities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From November 17, 2011 through March 23, 2014, we granted stock options to employees under our 2011 Equity Incentive Plan, as amended, covering an aggregate of 3,446,580 shares of common stock, at a weighted-average average exercise price of $4.61 per share. Of these, options covering an aggregate of 262,098 shares were cancelled without being exercised and we sold an aggregate of 788,130 shares of common stock to employees for cash consideration in the aggregate amount of $0.3 million upon the exercise of stock options.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claimed exemption from registration under the Securities Act for these sales and issuances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jc w:val="both"/>
        <w:ind w:left="460" w:hanging="452"/>
        <w:spacing w:after="0" w:line="289"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Novato, California, on June 25, 2014.</w:t>
      </w:r>
    </w:p>
    <w:p>
      <w:pPr>
        <w:spacing w:after="0" w:line="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ULTRAGENYX PHARMACEUTICAL INC.</w:t>
      </w:r>
    </w:p>
    <w:p>
      <w:pPr>
        <w:spacing w:after="0" w:line="231"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MIL</w:t>
      </w:r>
      <w:r>
        <w:rPr>
          <w:rFonts w:ascii="Arial" w:cs="Arial" w:eastAsia="Arial" w:hAnsi="Arial"/>
          <w:sz w:val="18"/>
          <w:szCs w:val="18"/>
          <w:color w:val="auto"/>
        </w:rPr>
        <w:t xml:space="preserve"> D. K</w:t>
      </w:r>
      <w:r>
        <w:rPr>
          <w:rFonts w:ascii="Arial" w:cs="Arial" w:eastAsia="Arial" w:hAnsi="Arial"/>
          <w:sz w:val="14"/>
          <w:szCs w:val="14"/>
          <w:color w:val="auto"/>
        </w:rPr>
        <w:t>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Emil D. Kakkis, M.D., Ph.D.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Emil D. Kakkis and Shalini Sharp,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3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Title</w:t>
            </w:r>
          </w:p>
        </w:tc>
        <w:tc>
          <w:tcPr>
            <w:tcW w:w="880" w:type="dxa"/>
            <w:vAlign w:val="bottom"/>
          </w:tcPr>
          <w:p>
            <w:pPr>
              <w:spacing w:after="0"/>
              <w:rPr>
                <w:sz w:val="14"/>
                <w:szCs w:val="14"/>
                <w:color w:val="auto"/>
              </w:rPr>
            </w:pPr>
          </w:p>
        </w:tc>
        <w:tc>
          <w:tcPr>
            <w:tcW w:w="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4"/>
        </w:trPr>
        <w:tc>
          <w:tcPr>
            <w:tcW w:w="186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MIL</w:t>
            </w:r>
            <w:r>
              <w:rPr>
                <w:rFonts w:ascii="Arial" w:cs="Arial" w:eastAsia="Arial" w:hAnsi="Arial"/>
                <w:sz w:val="18"/>
                <w:szCs w:val="18"/>
                <w:color w:val="auto"/>
              </w:rPr>
              <w:t xml:space="preserve"> D. K</w:t>
            </w:r>
            <w:r>
              <w:rPr>
                <w:rFonts w:ascii="Arial" w:cs="Arial" w:eastAsia="Arial" w:hAnsi="Arial"/>
                <w:sz w:val="14"/>
                <w:szCs w:val="14"/>
                <w:color w:val="auto"/>
              </w:rPr>
              <w:t>AKKIS</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Director, President and Chief Executive Officer</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8"/>
        </w:trPr>
        <w:tc>
          <w:tcPr>
            <w:tcW w:w="5080" w:type="dxa"/>
            <w:vAlign w:val="bottom"/>
            <w:gridSpan w:val="4"/>
          </w:tcPr>
          <w:p>
            <w:pPr>
              <w:jc w:val="center"/>
              <w:spacing w:after="0"/>
              <w:rPr>
                <w:sz w:val="20"/>
                <w:szCs w:val="20"/>
                <w:color w:val="auto"/>
              </w:rPr>
            </w:pPr>
            <w:r>
              <w:rPr>
                <w:rFonts w:ascii="Arial" w:cs="Arial" w:eastAsia="Arial" w:hAnsi="Arial"/>
                <w:sz w:val="18"/>
                <w:szCs w:val="18"/>
                <w:color w:val="auto"/>
                <w:w w:val="93"/>
              </w:rPr>
              <w:t>Emil D. Kakkis, M.D., Ph.D.</w:t>
            </w:r>
          </w:p>
        </w:tc>
        <w:tc>
          <w:tcPr>
            <w:tcW w:w="4280" w:type="dxa"/>
            <w:vAlign w:val="bottom"/>
            <w:gridSpan w:val="3"/>
          </w:tcPr>
          <w:p>
            <w:pPr>
              <w:jc w:val="center"/>
              <w:ind w:right="160"/>
              <w:spacing w:after="0" w:line="202" w:lineRule="exact"/>
              <w:rPr>
                <w:sz w:val="20"/>
                <w:szCs w:val="20"/>
                <w:color w:val="auto"/>
              </w:rPr>
            </w:pPr>
            <w:r>
              <w:rPr>
                <w:rFonts w:ascii="Arial" w:cs="Arial" w:eastAsia="Arial" w:hAnsi="Arial"/>
                <w:sz w:val="18"/>
                <w:szCs w:val="18"/>
                <w:i w:val="1"/>
                <w:iCs w:val="1"/>
                <w:color w:val="auto"/>
                <w:w w:val="91"/>
              </w:rPr>
              <w:t>(Principal Executive Officer)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7"/>
        </w:trPr>
        <w:tc>
          <w:tcPr>
            <w:tcW w:w="186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HALINI</w:t>
            </w:r>
            <w:r>
              <w:rPr>
                <w:rFonts w:ascii="Arial" w:cs="Arial" w:eastAsia="Arial" w:hAnsi="Arial"/>
                <w:sz w:val="18"/>
                <w:szCs w:val="18"/>
                <w:color w:val="auto"/>
              </w:rPr>
              <w:t xml:space="preserve"> S</w:t>
            </w:r>
            <w:r>
              <w:rPr>
                <w:rFonts w:ascii="Arial" w:cs="Arial" w:eastAsia="Arial" w:hAnsi="Arial"/>
                <w:sz w:val="14"/>
                <w:szCs w:val="14"/>
                <w:color w:val="auto"/>
              </w:rPr>
              <w:t>HARP</w:t>
            </w:r>
          </w:p>
        </w:tc>
        <w:tc>
          <w:tcPr>
            <w:tcW w:w="428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Senior Vice President, Chief Financial Officer</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8"/>
        </w:trPr>
        <w:tc>
          <w:tcPr>
            <w:tcW w:w="1860" w:type="dxa"/>
            <w:vAlign w:val="bottom"/>
          </w:tcPr>
          <w:p>
            <w:pPr>
              <w:spacing w:after="0"/>
              <w:rPr>
                <w:sz w:val="18"/>
                <w:szCs w:val="18"/>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8"/>
                <w:szCs w:val="18"/>
                <w:color w:val="auto"/>
                <w:w w:val="89"/>
              </w:rPr>
              <w:t>Shalini Sharp</w:t>
            </w:r>
          </w:p>
        </w:tc>
        <w:tc>
          <w:tcPr>
            <w:tcW w:w="4280" w:type="dxa"/>
            <w:vAlign w:val="bottom"/>
            <w:gridSpan w:val="3"/>
          </w:tcPr>
          <w:p>
            <w:pPr>
              <w:jc w:val="center"/>
              <w:ind w:right="160"/>
              <w:spacing w:after="0" w:line="202" w:lineRule="exact"/>
              <w:rPr>
                <w:sz w:val="20"/>
                <w:szCs w:val="20"/>
                <w:color w:val="auto"/>
              </w:rPr>
            </w:pPr>
            <w:r>
              <w:rPr>
                <w:rFonts w:ascii="Arial" w:cs="Arial" w:eastAsia="Arial" w:hAnsi="Arial"/>
                <w:sz w:val="18"/>
                <w:szCs w:val="18"/>
                <w:i w:val="1"/>
                <w:iCs w:val="1"/>
                <w:color w:val="auto"/>
                <w:w w:val="94"/>
              </w:rPr>
              <w:t>(Principal Financial Officer)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7"/>
        </w:trPr>
        <w:tc>
          <w:tcPr>
            <w:tcW w:w="5080" w:type="dxa"/>
            <w:vAlign w:val="bottom"/>
            <w:tcBorders>
              <w:bottom w:val="single" w:sz="8" w:color="auto"/>
            </w:tcBorders>
            <w:gridSpan w:val="4"/>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HEODORE</w:t>
            </w:r>
            <w:r>
              <w:rPr>
                <w:rFonts w:ascii="Arial" w:cs="Arial" w:eastAsia="Arial" w:hAnsi="Arial"/>
                <w:sz w:val="18"/>
                <w:szCs w:val="18"/>
                <w:color w:val="auto"/>
              </w:rPr>
              <w:t xml:space="preserve"> A. H</w:t>
            </w:r>
            <w:r>
              <w:rPr>
                <w:rFonts w:ascii="Arial" w:cs="Arial" w:eastAsia="Arial" w:hAnsi="Arial"/>
                <w:sz w:val="14"/>
                <w:szCs w:val="14"/>
                <w:color w:val="auto"/>
              </w:rPr>
              <w:t>UIZENGA</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Corporate Controller</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8"/>
        </w:trPr>
        <w:tc>
          <w:tcPr>
            <w:tcW w:w="5080" w:type="dxa"/>
            <w:vAlign w:val="bottom"/>
            <w:gridSpan w:val="4"/>
          </w:tcPr>
          <w:p>
            <w:pPr>
              <w:jc w:val="center"/>
              <w:spacing w:after="0"/>
              <w:rPr>
                <w:sz w:val="20"/>
                <w:szCs w:val="20"/>
                <w:color w:val="auto"/>
              </w:rPr>
            </w:pPr>
            <w:r>
              <w:rPr>
                <w:rFonts w:ascii="Arial" w:cs="Arial" w:eastAsia="Arial" w:hAnsi="Arial"/>
                <w:sz w:val="18"/>
                <w:szCs w:val="18"/>
                <w:color w:val="auto"/>
                <w:w w:val="88"/>
              </w:rPr>
              <w:t>Theodore A. Huizenga</w:t>
            </w:r>
          </w:p>
        </w:tc>
        <w:tc>
          <w:tcPr>
            <w:tcW w:w="4280" w:type="dxa"/>
            <w:vAlign w:val="bottom"/>
            <w:gridSpan w:val="3"/>
          </w:tcPr>
          <w:p>
            <w:pPr>
              <w:jc w:val="center"/>
              <w:ind w:right="160"/>
              <w:spacing w:after="0" w:line="202" w:lineRule="exact"/>
              <w:rPr>
                <w:sz w:val="20"/>
                <w:szCs w:val="20"/>
                <w:color w:val="auto"/>
              </w:rPr>
            </w:pPr>
            <w:r>
              <w:rPr>
                <w:rFonts w:ascii="Arial" w:cs="Arial" w:eastAsia="Arial" w:hAnsi="Arial"/>
                <w:sz w:val="18"/>
                <w:szCs w:val="18"/>
                <w:i w:val="1"/>
                <w:iCs w:val="1"/>
                <w:color w:val="auto"/>
                <w:w w:val="92"/>
              </w:rPr>
              <w:t>(Principal Accounting Officer)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4"/>
          </w:tcPr>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RAN</w:t>
            </w:r>
            <w:r>
              <w:rPr>
                <w:rFonts w:ascii="Arial" w:cs="Arial" w:eastAsia="Arial" w:hAnsi="Arial"/>
                <w:sz w:val="18"/>
                <w:szCs w:val="18"/>
                <w:color w:val="auto"/>
              </w:rPr>
              <w:t xml:space="preserve"> N</w:t>
            </w:r>
            <w:r>
              <w:rPr>
                <w:rFonts w:ascii="Arial" w:cs="Arial" w:eastAsia="Arial" w:hAnsi="Arial"/>
                <w:sz w:val="14"/>
                <w:szCs w:val="14"/>
                <w:color w:val="auto"/>
              </w:rPr>
              <w:t>ADAV</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Chairman of the Board</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7"/>
        </w:trPr>
        <w:tc>
          <w:tcPr>
            <w:tcW w:w="1860" w:type="dxa"/>
            <w:vAlign w:val="bottom"/>
          </w:tcPr>
          <w:p>
            <w:pPr>
              <w:spacing w:after="0"/>
              <w:rPr>
                <w:sz w:val="18"/>
                <w:szCs w:val="18"/>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8"/>
                <w:szCs w:val="18"/>
                <w:color w:val="auto"/>
                <w:w w:val="87"/>
              </w:rPr>
              <w:t>Eran Nadav,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8"/>
        </w:trPr>
        <w:tc>
          <w:tcPr>
            <w:tcW w:w="186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ATTHEW</w:t>
            </w:r>
            <w:r>
              <w:rPr>
                <w:rFonts w:ascii="Arial" w:cs="Arial" w:eastAsia="Arial" w:hAnsi="Arial"/>
                <w:sz w:val="18"/>
                <w:szCs w:val="18"/>
                <w:color w:val="auto"/>
                <w:w w:val="98"/>
              </w:rPr>
              <w:t xml:space="preserve"> K. F</w:t>
            </w:r>
            <w:r>
              <w:rPr>
                <w:rFonts w:ascii="Arial" w:cs="Arial" w:eastAsia="Arial" w:hAnsi="Arial"/>
                <w:sz w:val="14"/>
                <w:szCs w:val="14"/>
                <w:color w:val="auto"/>
                <w:w w:val="98"/>
              </w:rPr>
              <w:t>UST</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7"/>
        </w:trPr>
        <w:tc>
          <w:tcPr>
            <w:tcW w:w="1860" w:type="dxa"/>
            <w:vAlign w:val="bottom"/>
          </w:tcPr>
          <w:p>
            <w:pPr>
              <w:spacing w:after="0"/>
              <w:rPr>
                <w:sz w:val="18"/>
                <w:szCs w:val="18"/>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8"/>
                <w:szCs w:val="18"/>
                <w:color w:val="auto"/>
                <w:w w:val="92"/>
              </w:rPr>
              <w:t>Matthew K. Fust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8"/>
        </w:trPr>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LAY</w:t>
            </w:r>
            <w:r>
              <w:rPr>
                <w:rFonts w:ascii="Arial" w:cs="Arial" w:eastAsia="Arial" w:hAnsi="Arial"/>
                <w:sz w:val="18"/>
                <w:szCs w:val="18"/>
                <w:color w:val="auto"/>
              </w:rPr>
              <w:t xml:space="preserve"> B. S</w:t>
            </w:r>
            <w:r>
              <w:rPr>
                <w:rFonts w:ascii="Arial" w:cs="Arial" w:eastAsia="Arial" w:hAnsi="Arial"/>
                <w:sz w:val="14"/>
                <w:szCs w:val="14"/>
                <w:color w:val="auto"/>
              </w:rPr>
              <w:t>IEGALL</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7"/>
        </w:trPr>
        <w:tc>
          <w:tcPr>
            <w:tcW w:w="5080" w:type="dxa"/>
            <w:vAlign w:val="bottom"/>
            <w:gridSpan w:val="4"/>
          </w:tcPr>
          <w:p>
            <w:pPr>
              <w:jc w:val="center"/>
              <w:spacing w:after="0"/>
              <w:rPr>
                <w:sz w:val="20"/>
                <w:szCs w:val="20"/>
                <w:color w:val="auto"/>
              </w:rPr>
            </w:pPr>
            <w:r>
              <w:rPr>
                <w:rFonts w:ascii="Arial" w:cs="Arial" w:eastAsia="Arial" w:hAnsi="Arial"/>
                <w:sz w:val="18"/>
                <w:szCs w:val="18"/>
                <w:color w:val="auto"/>
                <w:w w:val="90"/>
              </w:rPr>
              <w:t>Clay B. Siegall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8"/>
        </w:trPr>
        <w:tc>
          <w:tcPr>
            <w:tcW w:w="186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ÅRTEN</w:t>
            </w:r>
            <w:r>
              <w:rPr>
                <w:rFonts w:ascii="Arial" w:cs="Arial" w:eastAsia="Arial" w:hAnsi="Arial"/>
                <w:sz w:val="18"/>
                <w:szCs w:val="18"/>
                <w:color w:val="auto"/>
                <w:w w:val="97"/>
              </w:rPr>
              <w:t xml:space="preserve"> S</w:t>
            </w:r>
            <w:r>
              <w:rPr>
                <w:rFonts w:ascii="Arial" w:cs="Arial" w:eastAsia="Arial" w:hAnsi="Arial"/>
                <w:sz w:val="14"/>
                <w:szCs w:val="14"/>
                <w:color w:val="auto"/>
                <w:w w:val="97"/>
              </w:rPr>
              <w:t>TEEN</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7"/>
        </w:trPr>
        <w:tc>
          <w:tcPr>
            <w:tcW w:w="5080" w:type="dxa"/>
            <w:vAlign w:val="bottom"/>
            <w:gridSpan w:val="4"/>
          </w:tcPr>
          <w:p>
            <w:pPr>
              <w:jc w:val="center"/>
              <w:spacing w:after="0"/>
              <w:rPr>
                <w:sz w:val="20"/>
                <w:szCs w:val="20"/>
                <w:color w:val="auto"/>
              </w:rPr>
            </w:pPr>
            <w:r>
              <w:rPr>
                <w:rFonts w:ascii="Arial" w:cs="Arial" w:eastAsia="Arial" w:hAnsi="Arial"/>
                <w:sz w:val="18"/>
                <w:szCs w:val="18"/>
                <w:color w:val="auto"/>
                <w:w w:val="89"/>
              </w:rPr>
              <w:t>Mårten Steen, M.D.,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38"/>
        </w:trPr>
        <w:tc>
          <w:tcPr>
            <w:tcW w:w="186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A</w:t>
            </w:r>
            <w:r>
              <w:rPr>
                <w:rFonts w:ascii="Arial" w:cs="Arial" w:eastAsia="Arial" w:hAnsi="Arial"/>
                <w:sz w:val="14"/>
                <w:szCs w:val="14"/>
                <w:color w:val="auto"/>
              </w:rPr>
              <w:t>LISKI</w:t>
            </w:r>
          </w:p>
        </w:tc>
        <w:tc>
          <w:tcPr>
            <w:tcW w:w="4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Director</w:t>
            </w:r>
          </w:p>
        </w:tc>
        <w:tc>
          <w:tcPr>
            <w:tcW w:w="150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June 25, 2014</w:t>
            </w:r>
          </w:p>
        </w:tc>
      </w:tr>
      <w:tr>
        <w:trPr>
          <w:trHeight w:val="217"/>
        </w:trPr>
        <w:tc>
          <w:tcPr>
            <w:tcW w:w="1860" w:type="dxa"/>
            <w:vAlign w:val="bottom"/>
          </w:tcPr>
          <w:p>
            <w:pPr>
              <w:spacing w:after="0"/>
              <w:rPr>
                <w:sz w:val="18"/>
                <w:szCs w:val="18"/>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8"/>
                <w:szCs w:val="18"/>
                <w:color w:val="auto"/>
                <w:w w:val="99"/>
              </w:rPr>
              <w:t>William Aliski</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21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9"/>
                <w:szCs w:val="19"/>
                <w:color w:val="auto"/>
              </w:rPr>
            </w:pPr>
          </w:p>
        </w:tc>
        <w:tc>
          <w:tcPr>
            <w:tcW w:w="6320" w:type="dxa"/>
            <w:vAlign w:val="bottom"/>
          </w:tcPr>
          <w:p>
            <w:pPr>
              <w:spacing w:after="0"/>
              <w:rPr>
                <w:sz w:val="19"/>
                <w:szCs w:val="19"/>
                <w:color w:val="auto"/>
              </w:rPr>
            </w:pPr>
          </w:p>
        </w:tc>
      </w:tr>
      <w:tr>
        <w:trPr>
          <w:trHeight w:val="168"/>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309"/>
        </w:trPr>
        <w:tc>
          <w:tcPr>
            <w:tcW w:w="50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540"/>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Amended and Restated Bylaws</w:t>
            </w:r>
          </w:p>
        </w:tc>
      </w:tr>
      <w:tr>
        <w:trPr>
          <w:trHeight w:val="54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June 30, 2010, issued to Emil D. Kakkis, M.D., Ph.D.</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88"/>
              </w:rPr>
              <w:t>Warrant, dated as of February 15, 2011, issued to the John and Cynthia Klock Charitable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Trust</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February 23, 2011, issued to William E. Aliski</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June 14, 2011, issued to Emil D. Kakkis, M.D., Ph.D.</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Warrant, dated as of June 14, 2011, issued to Emil D. Kakkis, M.D., Ph.D.</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1"/>
              </w:rPr>
              <w:t>Amended and Restated Investors’ Rights Agreement, dated as of December 18, 2012,</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among the Registrant and the investors named therein</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Opinion of Gibson, Dunn &amp; Crutcher LLP</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10.1†</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7"/>
              </w:rPr>
              <w:t>Collaboration and License Agreement, dated as of August 29, 2013, between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Registrant and Kyowa Hakko Kirin Co., Ltd.</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10.2†</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89"/>
              </w:rPr>
              <w:t>License Agreement, dated as of March 1, 2011, between the Registrant and AAIPharma</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Services Corp.</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10.3†</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88"/>
              </w:rPr>
              <w:t>License Agreement, dated as of September 20, 2012, between the Registrant and Baylor</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Institute</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10.4†</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7"/>
              </w:rPr>
              <w:t>Amendment to the License Agreement, dated as of March 22, 2013, between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Registrant and Baylor Research Institute</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10.5†</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2"/>
              </w:rPr>
              <w:t>Exclusive License Agreement, dated as of April 23, 2012, between the Registrant and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HIBM Research Group</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10.6†</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3"/>
              </w:rPr>
              <w:t>Collaboration and License Agreement, dated as of September 30, 2010, between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Registrant and Nobelpharma Co., Ltd.</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10.7†</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88"/>
              </w:rPr>
              <w:t>License Agreement, dated as of September 1, 2012, between the Registrant and St. Jude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Children’s Research Hospital</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10.8†</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0"/>
              </w:rPr>
              <w:t>Exclusive License Agreement, dated as of November 22, 2010, between the Registrant</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and Saint Louis University</w:t>
            </w:r>
          </w:p>
        </w:tc>
      </w:tr>
      <w:tr>
        <w:trPr>
          <w:trHeight w:val="318"/>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10.9†</w:t>
            </w:r>
          </w:p>
        </w:tc>
        <w:tc>
          <w:tcPr>
            <w:tcW w:w="4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8"/>
              </w:rPr>
              <w:t>Supply Agreement, dated as of November 19, 2012, between the Registrant and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CREMER OLEO GmbH &amp; Co KG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7151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tabs>
          <w:tab w:leader="none" w:pos="1120" w:val="left"/>
          <w:tab w:leader="none" w:pos="2200" w:val="left"/>
        </w:tabs>
        <w:rPr>
          <w:sz w:val="20"/>
          <w:szCs w:val="20"/>
          <w:color w:val="auto"/>
        </w:rPr>
      </w:pPr>
      <w:r>
        <w:rPr>
          <w:rFonts w:ascii="Arial" w:cs="Arial" w:eastAsia="Arial" w:hAnsi="Arial"/>
          <w:sz w:val="14"/>
          <w:szCs w:val="14"/>
          <w:b w:val="1"/>
          <w:bCs w:val="1"/>
          <w:u w:val="single" w:color="auto"/>
          <w:color w:val="auto"/>
        </w:rPr>
        <w:t>Form</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-6985</wp:posOffset>
            </wp:positionV>
            <wp:extent cx="5486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4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2/5/2014</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540" w:type="dxa"/>
            <w:vAlign w:val="bottom"/>
          </w:tcPr>
          <w:p>
            <w:pPr>
              <w:jc w:val="right"/>
              <w:ind w:right="212"/>
              <w:spacing w:after="0"/>
              <w:rPr>
                <w:sz w:val="20"/>
                <w:szCs w:val="20"/>
                <w:color w:val="auto"/>
              </w:rPr>
            </w:pPr>
            <w:r>
              <w:rPr>
                <w:rFonts w:ascii="Arial" w:cs="Arial" w:eastAsia="Arial" w:hAnsi="Arial"/>
                <w:sz w:val="18"/>
                <w:szCs w:val="18"/>
                <w:color w:val="auto"/>
              </w:rPr>
              <w:t>K</w:t>
            </w: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54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2/5/2014</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540" w:type="dxa"/>
            <w:vAlign w:val="bottom"/>
          </w:tcPr>
          <w:p>
            <w:pPr>
              <w:jc w:val="right"/>
              <w:ind w:right="212"/>
              <w:spacing w:after="0"/>
              <w:rPr>
                <w:sz w:val="20"/>
                <w:szCs w:val="20"/>
                <w:color w:val="auto"/>
              </w:rPr>
            </w:pPr>
            <w:r>
              <w:rPr>
                <w:rFonts w:ascii="Arial" w:cs="Arial" w:eastAsia="Arial" w:hAnsi="Arial"/>
                <w:sz w:val="18"/>
                <w:szCs w:val="18"/>
                <w:color w:val="auto"/>
              </w:rPr>
              <w:t>K</w:t>
            </w: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648"/>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864"/>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12/23/2013</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12/23/2013</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12/23/2013</w:t>
            </w: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11/8/2013</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12/23/2013</w:t>
            </w: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12/23/2013</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12/23/2013</w:t>
            </w: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540"/>
        </w:trPr>
        <w:tc>
          <w:tcPr>
            <w:tcW w:w="540" w:type="dxa"/>
            <w:vAlign w:val="bottom"/>
          </w:tcPr>
          <w:p>
            <w:pPr>
              <w:jc w:val="right"/>
              <w:ind w:right="212"/>
              <w:spacing w:after="0"/>
              <w:rPr>
                <w:sz w:val="20"/>
                <w:szCs w:val="20"/>
                <w:color w:val="auto"/>
              </w:rPr>
            </w:pPr>
            <w:r>
              <w:rPr>
                <w:rFonts w:ascii="Arial" w:cs="Arial" w:eastAsia="Arial" w:hAnsi="Arial"/>
                <w:sz w:val="18"/>
                <w:szCs w:val="18"/>
                <w:color w:val="auto"/>
                <w:w w:val="78"/>
              </w:rPr>
              <w:t>S-1</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12/23/2013</w:t>
            </w: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ectPr>
          <w:pgSz w:w="11900" w:h="16838" w:orient="portrait"/>
          <w:cols w:equalWidth="0" w:num="3">
            <w:col w:w="7240" w:space="420"/>
            <w:col w:w="2700" w:space="520"/>
            <w:col w:w="54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Incorporated by Reference</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4"/>
                <w:szCs w:val="14"/>
                <w:b w:val="1"/>
                <w:bCs w:val="1"/>
                <w:color w:val="auto"/>
              </w:rPr>
              <w:t>Filed</w:t>
            </w:r>
          </w:p>
        </w:tc>
      </w:tr>
      <w:tr>
        <w:trPr>
          <w:trHeight w:val="136"/>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1"/>
                <w:szCs w:val="11"/>
                <w:color w:val="auto"/>
              </w:rPr>
            </w:pPr>
          </w:p>
        </w:tc>
        <w:tc>
          <w:tcPr>
            <w:tcW w:w="6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Exhibit Description</w:t>
            </w:r>
          </w:p>
        </w:tc>
        <w:tc>
          <w:tcPr>
            <w:tcW w:w="420" w:type="dxa"/>
            <w:vAlign w:val="bottom"/>
          </w:tcPr>
          <w:p>
            <w:pPr>
              <w:spacing w:after="0"/>
              <w:rPr>
                <w:sz w:val="11"/>
                <w:szCs w:val="11"/>
                <w:color w:val="auto"/>
              </w:rPr>
            </w:pPr>
          </w:p>
        </w:tc>
        <w:tc>
          <w:tcPr>
            <w:tcW w:w="40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7"/>
              </w:rPr>
              <w:t>Form</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Number</w:t>
            </w:r>
          </w:p>
        </w:tc>
        <w:tc>
          <w:tcPr>
            <w:tcW w:w="50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Herewith</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w w:val="87"/>
              </w:rPr>
              <w:t>10.10†</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w w:val="94"/>
              </w:rPr>
              <w:t>Development and Clinical Supply Agreement, dated as of August 31, 2012, between the</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Registrant and Rentschler Biotechnologie GmbH</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10.11#</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w w:val="99"/>
              </w:rPr>
              <w:t>2011 Equity Incentive Plan (including forms of Stock Option Grant Notice and Stock</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10.11</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Option Agreement thereunder)</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10.12#</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Amendment to the 2011 Equity Incentive Plan</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10.13#</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2014 Incentive Plan</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 of Incentive Stock Option Agreement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10.14</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10.15#</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 of Non Statutory Stock Option Agreement (Employees)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10.15</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10.16#</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(Directors)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10.16</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 of Restricted Stock Unit Agreement (Employees)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10.17</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 of Restricted Stock Unit Agreement (Directors)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10.18</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10.19#</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2014 Employee Stock Purchase Plan</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10.20#</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w w:val="96"/>
              </w:rPr>
              <w:t>Executive Employment Agreement, dated as of June 15, 2011, between the Registrant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10.20</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and Emil D. Kakkis, M.D., Ph.D.</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10.21#</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Offer Letter, dated as of October 31, 2011, between the Registrant and Thomas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10.21</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Kassberg</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10.22#</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Offer Letter, dated as of March 12, 2012, between the Registrant and Shalini Sharp</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10.23#</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 of Indemnification Agreement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10-K</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3/24/2014</w:t>
            </w:r>
          </w:p>
        </w:tc>
        <w:tc>
          <w:tcPr>
            <w:tcW w:w="500" w:type="dxa"/>
            <w:vAlign w:val="bottom"/>
          </w:tcPr>
          <w:p>
            <w:pPr>
              <w:jc w:val="right"/>
              <w:spacing w:after="0"/>
              <w:rPr>
                <w:sz w:val="20"/>
                <w:szCs w:val="20"/>
                <w:color w:val="auto"/>
              </w:rPr>
            </w:pPr>
            <w:r>
              <w:rPr>
                <w:rFonts w:ascii="Arial" w:cs="Arial" w:eastAsia="Arial" w:hAnsi="Arial"/>
                <w:sz w:val="18"/>
                <w:szCs w:val="18"/>
                <w:color w:val="auto"/>
              </w:rPr>
              <w:t>10.23</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Standard Lease, dated as of July 5, 2011, between the Registrant and Condiotti</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Enterprises, Inc.</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License and Services Agreement, dated as of September 24, 2010, between the</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10.25</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Registrant and The Buck Institute for Age Research</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w w:val="95"/>
              </w:rPr>
              <w:t>Amendment No. 1 to License and Services Agreement, dated as of September 4, 2012,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11/8/2013</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between the Registrant and The Buck Institute for Research on Aging</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10.27#</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Corporate Bonus Plan</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1/17/2014</w:t>
            </w:r>
          </w:p>
        </w:tc>
        <w:tc>
          <w:tcPr>
            <w:tcW w:w="500" w:type="dxa"/>
            <w:vAlign w:val="bottom"/>
          </w:tcPr>
          <w:p>
            <w:pPr>
              <w:jc w:val="right"/>
              <w:spacing w:after="0"/>
              <w:rPr>
                <w:sz w:val="20"/>
                <w:szCs w:val="20"/>
                <w:color w:val="auto"/>
              </w:rPr>
            </w:pPr>
            <w:r>
              <w:rPr>
                <w:rFonts w:ascii="Arial" w:cs="Arial" w:eastAsia="Arial" w:hAnsi="Arial"/>
                <w:sz w:val="18"/>
                <w:szCs w:val="18"/>
                <w:color w:val="auto"/>
              </w:rPr>
              <w:t>10.27</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w w:val="95"/>
              </w:rPr>
              <w:t>Addendum #3 To The Lease By and Between the Registrant and Condiotti Enterprises,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2/25/2014</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Inc.</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Consent of Gibson, Dunn &amp; Crutcher LLP (included in Exhibit 5.1)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0" w:lineRule="exact"/>
        <w:rPr>
          <w:sz w:val="20"/>
          <w:szCs w:val="20"/>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information contained in this exhibit. Such information has been omitted and filed separately with the SEC.</w:t>
      </w:r>
    </w:p>
    <w:p>
      <w:pPr>
        <w:spacing w:after="0" w:line="5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ectPr>
          <w:pgSz w:w="11900" w:h="16838" w:orient="portrait"/>
          <w:cols w:equalWidth="0" w:num="1">
            <w:col w:w="11400"/>
          </w:cols>
          <w:pgMar w:left="240" w:top="459"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S-1) and related Prospectus of Ultragenyx Pharmaceuticals Inc. for the registration of shares of its common stock and to the incorporation by reference therein of our report dated March 24, 2014 with respect to the financial statements of Ultragenyx Pharmaceuticals Inc. for each of the three years in the period ended December 31, 2013, and for the period from April 22, 2010 (inception) to December 31, 2013, included in the Annual Report (Form 10-K) for the year ended December 31, 2013 filed with the Securities and Exchange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3"/>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2"/>
    </w:lvl>
    <w:lvl w:ilvl="1">
      <w:lvlJc w:val="left"/>
      <w:lvlText w:val="(%2)"/>
      <w:numFmt w:val="decimal"/>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2019-12-08T01:17:09Z</dcterms:created>
  <dcterms:modified xsi:type="dcterms:W3CDTF">2019-12-08T01:17:09Z</dcterms:modified>
</cp:coreProperties>
</file>