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re-20260917.htm"/>
      <w:bookmarkStart w:id="1" w:name="ksrare20260917"/>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sans-serif" w:hAnsi="sans-serif"/>
          <w:sz w:val="24"/>
        </w:rPr>
      </w:pPr>
      <w:r>
        <w:rPr>
          <w:rFonts w:ascii="sans-serif" w:hAnsi="sans-serif"/>
          <w:b/>
          <w:color w:val="000000"/>
          <w:sz w:val="36"/>
        </w:rPr>
        <w:t>UNITED STATES</w:t>
        <w:br/>
        <w:t>SECURITIES AND EXCHANGE COMMISSION</w:t>
        <w:br/>
      </w:r>
      <w:r>
        <w:rPr>
          <w:rFonts w:ascii="sans-serif" w:hAnsi="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sans-serif" w:hAnsi="sans-serif"/>
          <w:sz w:val="36"/>
        </w:rPr>
      </w:pPr>
      <w:r>
        <w:rPr>
          <w:rFonts w:ascii="sans-serif" w:hAnsi="sans-serif"/>
          <w:color w:val="000000"/>
          <w:sz w:val="36"/>
        </w:rPr>
        <w:t xml:space="preserve">FORM </w:t>
      </w:r>
      <w:r>
        <w:rPr>
          <w:rFonts w:ascii="sans-serif" w:hAnsi="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sans-serif" w:hAnsi="sans-serif"/>
          <w:b/>
          <w:color w:val="000000"/>
          <w:sz w:val="24"/>
        </w:rPr>
      </w:pPr>
      <w:r>
        <w:rPr>
          <w:rFonts w:ascii="sans-serif" w:hAnsi="sans-serif"/>
          <w:b/>
          <w:color w:val="000000"/>
          <w:sz w:val="24"/>
        </w:rPr>
        <w:t>CURRENT REPORT</w:t>
      </w:r>
    </w:p>
    <w:p>
      <w:pPr>
        <w:pStyle w:val="TextBody"/>
        <w:bidi w:val="0"/>
        <w:spacing w:before="180" w:after="12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7876" w:type="dxa"/>
        <w:jc w:val="left"/>
        <w:tblInd w:w="0" w:type="dxa"/>
        <w:tblLayout w:type="fixed"/>
        <w:tblCellMar>
          <w:top w:w="28" w:type="dxa"/>
          <w:left w:w="28" w:type="dxa"/>
          <w:bottom w:w="28" w:type="dxa"/>
          <w:right w:w="28" w:type="dxa"/>
        </w:tblCellMar>
      </w:tblPr>
      <w:tblGrid>
        <w:gridCol w:w="7876"/>
      </w:tblGrid>
      <w:tr>
        <w:trPr/>
        <w:tc>
          <w:tcPr>
            <w:tcW w:w="7876" w:type="dxa"/>
            <w:tcBorders/>
            <w:vAlign w:val="center"/>
          </w:tcPr>
          <w:p>
            <w:pPr>
              <w:pStyle w:val="TableContents"/>
              <w:bidi w:val="0"/>
              <w:spacing w:before="0" w:after="283"/>
              <w:jc w:val="left"/>
              <w:rPr>
                <w:sz w:val="4"/>
                <w:szCs w:val="4"/>
              </w:rPr>
            </w:pPr>
            <w:r>
              <w:rPr>
                <w:sz w:val="4"/>
                <w:szCs w:val="4"/>
              </w:rPr>
            </w:r>
          </w:p>
        </w:tc>
      </w:tr>
      <w:tr>
        <w:trPr/>
        <w:tc>
          <w:tcPr>
            <w:tcW w:w="787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of Report (Date of earliest event reported): September 17,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48"/>
        </w:rPr>
      </w:pPr>
      <w:r>
        <w:rPr>
          <w:rFonts w:ascii="sans-serif" w:hAnsi="sans-serif"/>
          <w:b/>
          <w:color w:val="000000"/>
          <w:sz w:val="48"/>
        </w:rPr>
        <w:t>Ultragenyx Pharmaceutical Inc.</w:t>
      </w:r>
    </w:p>
    <w:p>
      <w:pPr>
        <w:pStyle w:val="TextBody"/>
        <w:bidi w:val="0"/>
        <w:spacing w:before="60" w:after="283"/>
        <w:jc w:val="center"/>
        <w:rPr>
          <w:rFonts w:ascii="sans-serif" w:hAnsi="sans-serif"/>
          <w:b/>
          <w:color w:val="000000"/>
          <w:sz w:val="15"/>
        </w:rPr>
      </w:pPr>
      <w:r>
        <w:rPr>
          <w:rFonts w:ascii="sans-serif" w:hAnsi="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411" w:type="dxa"/>
        <w:jc w:val="left"/>
        <w:tblInd w:w="0" w:type="dxa"/>
        <w:tblLayout w:type="fixed"/>
        <w:tblCellMar>
          <w:top w:w="28" w:type="dxa"/>
          <w:left w:w="28" w:type="dxa"/>
          <w:bottom w:w="28" w:type="dxa"/>
          <w:right w:w="28" w:type="dxa"/>
        </w:tblCellMar>
      </w:tblPr>
      <w:tblGrid>
        <w:gridCol w:w="1216"/>
        <w:gridCol w:w="1104"/>
        <w:gridCol w:w="1114"/>
        <w:gridCol w:w="2296"/>
        <w:gridCol w:w="1681"/>
      </w:tblGrid>
      <w:tr>
        <w:trPr/>
        <w:tc>
          <w:tcPr>
            <w:tcW w:w="121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001-36276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27-2546083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(IRS Employer</w:t>
              <w:br/>
              <w:t>Identification No.)</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60 Leveroni Court</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Novato, California</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94949</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(Zip Code)</w:t>
            </w:r>
          </w:p>
        </w:tc>
      </w:tr>
    </w:tbl>
    <w:p>
      <w:pPr>
        <w:pStyle w:val="TextBody"/>
        <w:bidi w:val="0"/>
        <w:jc w:val="left"/>
        <w:rPr/>
      </w:pPr>
      <w:r>
        <w:rPr/>
        <w:t> </w:t>
      </w:r>
    </w:p>
    <w:tbl>
      <w:tblPr>
        <w:tblW w:w="7636" w:type="dxa"/>
        <w:jc w:val="left"/>
        <w:tblInd w:w="0" w:type="dxa"/>
        <w:tblLayout w:type="fixed"/>
        <w:tblCellMar>
          <w:top w:w="28" w:type="dxa"/>
          <w:left w:w="28" w:type="dxa"/>
          <w:bottom w:w="28" w:type="dxa"/>
          <w:right w:w="28" w:type="dxa"/>
        </w:tblCellMar>
      </w:tblPr>
      <w:tblGrid>
        <w:gridCol w:w="7636"/>
      </w:tblGrid>
      <w:tr>
        <w:trPr/>
        <w:tc>
          <w:tcPr>
            <w:tcW w:w="7636" w:type="dxa"/>
            <w:tcBorders/>
            <w:vAlign w:val="center"/>
          </w:tcPr>
          <w:p>
            <w:pPr>
              <w:pStyle w:val="TableContents"/>
              <w:bidi w:val="0"/>
              <w:spacing w:before="0" w:after="283"/>
              <w:jc w:val="left"/>
              <w:rPr>
                <w:sz w:val="4"/>
                <w:szCs w:val="4"/>
              </w:rPr>
            </w:pPr>
            <w:r>
              <w:rPr>
                <w:sz w:val="4"/>
                <w:szCs w:val="4"/>
              </w:rPr>
            </w:r>
          </w:p>
        </w:tc>
      </w:tr>
      <w:tr>
        <w:trPr/>
        <w:tc>
          <w:tcPr>
            <w:tcW w:w="7636" w:type="dxa"/>
            <w:tcBorders/>
            <w:tcMar>
              <w:top w:w="0" w:type="dxa"/>
              <w:left w:w="0" w:type="dxa"/>
              <w:bottom w:w="0" w:type="dxa"/>
              <w:right w:w="0" w:type="dxa"/>
            </w:tcMar>
            <w:vAlign w:val="center"/>
          </w:tcPr>
          <w:p>
            <w:pPr>
              <w:pStyle w:val="TableContents"/>
              <w:bidi w:val="0"/>
              <w:spacing w:before="0" w:after="283"/>
              <w:jc w:val="center"/>
              <w:rPr>
                <w:rFonts w:ascii="sans-serif" w:hAnsi="sans-serif"/>
                <w:sz w:val="20"/>
              </w:rPr>
            </w:pPr>
            <w:r>
              <w:rPr>
                <w:rFonts w:ascii="sans-serif" w:hAnsi="sans-serif"/>
                <w:b/>
                <w:color w:val="000000"/>
                <w:sz w:val="20"/>
              </w:rPr>
              <w:t>Registrant’s Telephone Number, Including Area Code:</w:t>
            </w:r>
            <w:r>
              <w:rPr>
                <w:rFonts w:ascii="sans-serif" w:hAnsi="sans-serif"/>
                <w:color w:val="000000"/>
                <w:sz w:val="20"/>
              </w:rPr>
              <w:t xml:space="preserve"> </w:t>
            </w:r>
            <w:r>
              <w:rPr>
                <w:rFonts w:ascii="sans-serif" w:hAnsi="sans-serif"/>
                <w:b/>
                <w:color w:val="000000"/>
                <w:sz w:val="20"/>
              </w:rPr>
              <w:t>415</w:t>
            </w:r>
            <w:r>
              <w:rPr>
                <w:rFonts w:ascii="sans-serif" w:hAnsi="sans-serif"/>
                <w:color w:val="000000"/>
                <w:sz w:val="20"/>
              </w:rPr>
              <w:t xml:space="preserve"> </w:t>
            </w:r>
            <w:r>
              <w:rPr>
                <w:rFonts w:ascii="sans-serif" w:hAnsi="sans-serif"/>
                <w:b/>
                <w:color w:val="000000"/>
                <w:sz w:val="20"/>
              </w:rPr>
              <w:t>483-8800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sans-serif" w:hAnsi="sans-serif"/>
          <w:b/>
          <w:color w:val="000000"/>
          <w:sz w:val="15"/>
        </w:rPr>
      </w:pPr>
      <w:r>
        <w:rPr>
          <w:rFonts w:ascii="sans-serif" w:hAnsi="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sans-serif" w:hAnsi="sans-serif"/>
          <w:color w:val="000000"/>
          <w:sz w:val="20"/>
        </w:rPr>
      </w:pPr>
      <w:r>
        <w:rPr>
          <w:rFonts w:ascii="sans-serif" w:hAnsi="sans-serif"/>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sans-serif" w:hAnsi="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sans-serif" w:hAnsi="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13e-4(c) under the Exchange Act (17 CFR 240.13e-4(c))</w:t>
      </w:r>
    </w:p>
    <w:p>
      <w:pPr>
        <w:pStyle w:val="TextBody"/>
        <w:bidi w:val="0"/>
        <w:spacing w:before="180" w:after="180"/>
        <w:jc w:val="center"/>
        <w:rPr>
          <w:rFonts w:ascii="sans-serif" w:hAnsi="sans-serif"/>
          <w:b/>
          <w:color w:val="000000"/>
          <w:sz w:val="20"/>
        </w:rPr>
      </w:pPr>
      <w:r>
        <w:rPr>
          <w:rFonts w:ascii="sans-serif" w:hAnsi="sans-serif"/>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3361"/>
        <w:gridCol w:w="146"/>
        <w:gridCol w:w="1201"/>
        <w:gridCol w:w="146"/>
        <w:gridCol w:w="507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Nasdaq Global Select Market</w:t>
            </w:r>
          </w:p>
        </w:tc>
      </w:tr>
    </w:tbl>
    <w:p>
      <w:pPr>
        <w:pStyle w:val="TextBody"/>
        <w:bidi w:val="0"/>
        <w:spacing w:before="240" w:after="283"/>
        <w:jc w:val="left"/>
        <w:rPr>
          <w:rFonts w:ascii="sans-serif" w:hAnsi="sans-serif"/>
          <w:color w:val="000000"/>
          <w:sz w:val="20"/>
        </w:rPr>
      </w:pPr>
      <w:r>
        <w:rPr>
          <w:rFonts w:ascii="sans-serif" w:hAnsi="sans-serif"/>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sans-serif" w:hAnsi="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sans-serif" w:hAnsi="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tbl>
      <w:tblPr>
        <w:tblW w:w="2837" w:type="dxa"/>
        <w:jc w:val="left"/>
        <w:tblInd w:w="0" w:type="dxa"/>
        <w:tblLayout w:type="fixed"/>
        <w:tblCellMar>
          <w:top w:w="28" w:type="dxa"/>
          <w:left w:w="28" w:type="dxa"/>
          <w:bottom w:w="28" w:type="dxa"/>
          <w:right w:w="28" w:type="dxa"/>
        </w:tblCellMar>
      </w:tblPr>
      <w:tblGrid>
        <w:gridCol w:w="1186"/>
        <w:gridCol w:w="1651"/>
      </w:tblGrid>
      <w:tr>
        <w:trPr/>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Item 8.01</w:t>
            </w:r>
          </w:p>
        </w:tc>
        <w:tc>
          <w:tcPr>
            <w:tcW w:w="165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Other Events.</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On September 17, 2026, Ultragenyx Pharmaceutical Inc. (“Ultragenyx” or the “Company”) announced that the U.S. Food and Drug Administration (the “FDA”) granted standard full approval of FAYUVI (rebisufligene etisparvovec-hopf), also known as UX111, for the treatment of pediatric patients with mucopolysaccharidosis type IIIA (MPS IIIA, Sanfilippo syndrome Type A). FAYUVI is the first-ever FDA-approved treatment for Sanfilippo syndrome Type A, a progressive and fatal neurodegenerative disease, and the second gene therapy approval for Ultragenyx. The Company received a Priority Review Voucher upon this approval.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sans-serif" w:hAnsi="sans-serif"/>
          <w:b/>
          <w:color w:val="000000"/>
          <w:sz w:val="20"/>
        </w:rPr>
      </w:pPr>
      <w:r>
        <w:rPr>
          <w:rFonts w:ascii="sans-serif" w:hAnsi="sans-serif"/>
          <w:b/>
          <w:color w:val="000000"/>
          <w:sz w:val="20"/>
        </w:rPr>
        <w:t>SIGNATURES</w:t>
      </w:r>
    </w:p>
    <w:p>
      <w:pPr>
        <w:pStyle w:val="TextBody"/>
        <w:bidi w:val="0"/>
        <w:spacing w:before="0" w:after="187"/>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hereunto duly authorized.</w:t>
      </w:r>
    </w:p>
    <w:tbl>
      <w:tblPr>
        <w:tblW w:w="9994" w:type="dxa"/>
        <w:jc w:val="left"/>
        <w:tblInd w:w="0" w:type="dxa"/>
        <w:tblLayout w:type="fixed"/>
        <w:tblCellMar>
          <w:top w:w="28" w:type="dxa"/>
          <w:left w:w="28" w:type="dxa"/>
          <w:bottom w:w="28" w:type="dxa"/>
          <w:right w:w="28" w:type="dxa"/>
        </w:tblCellMar>
      </w:tblPr>
      <w:tblGrid>
        <w:gridCol w:w="646"/>
        <w:gridCol w:w="2071"/>
        <w:gridCol w:w="481"/>
        <w:gridCol w:w="6796"/>
      </w:tblGrid>
      <w:tr>
        <w:trPr/>
        <w:tc>
          <w:tcPr>
            <w:tcW w:w="6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86" w:after="86"/>
              <w:jc w:val="left"/>
              <w:rPr>
                <w:rFonts w:ascii="sans-serif" w:hAnsi="sans-serif"/>
                <w:color w:val="000000"/>
                <w:sz w:val="20"/>
              </w:rPr>
            </w:pPr>
            <w:r>
              <w:rPr>
                <w:rFonts w:ascii="sans-serif" w:hAnsi="sans-serif"/>
                <w:color w:val="000000"/>
                <w:sz w:val="20"/>
              </w:rPr>
              <w:t>Ultragenyx Pharmaceutical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Date:</w:t>
            </w:r>
          </w:p>
        </w:tc>
        <w:tc>
          <w:tcPr>
            <w:tcW w:w="207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September 17, 2026</w:t>
            </w:r>
          </w:p>
        </w:tc>
        <w:tc>
          <w:tcPr>
            <w:tcW w:w="48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 xml:space="preserve">By: </w:t>
            </w:r>
          </w:p>
        </w:tc>
        <w:tc>
          <w:tcPr>
            <w:tcW w:w="67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/s/ Howard 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14" w:after="187"/>
              <w:jc w:val="left"/>
              <w:rPr>
                <w:rFonts w:ascii="sans-serif" w:hAnsi="sans-serif"/>
                <w:color w:val="000000"/>
                <w:sz w:val="20"/>
              </w:rPr>
            </w:pPr>
            <w:r>
              <w:rPr>
                <w:rFonts w:ascii="sans-serif" w:hAnsi="sans-serif"/>
                <w:color w:val="000000"/>
                <w:sz w:val="20"/>
              </w:rPr>
              <w:t>Howard Horn</w:t>
              <w:br/>
              <w:t>Executive Vice President, Chief Financial Officer, Corporate Strategy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436</Words>
  <Characters>2518</Characters>
  <CharactersWithSpaces>2955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